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15818939"/>
      <w:bookmarkStart w:id="1" w:name="_Toc481801204"/>
      <w:bookmarkStart w:id="2" w:name="OLE_LINK15"/>
      <w:bookmarkStart w:id="3" w:name="_Toc517262917"/>
      <w:bookmarkStart w:id="4" w:name="_Toc453597319"/>
      <w:bookmarkStart w:id="5" w:name="_Toc438987549"/>
      <w:bookmarkStart w:id="6" w:name="OLE_LINK13"/>
      <w:bookmarkStart w:id="7" w:name="_Toc418070112"/>
      <w:bookmarkStart w:id="8" w:name="_Toc415142861"/>
      <w:bookmarkStart w:id="9" w:name="OLE_LINK39"/>
      <w:bookmarkStart w:id="10" w:name="_Toc415143481"/>
      <w:bookmarkStart w:id="11" w:name="OLE_LINK24"/>
      <w:bookmarkStart w:id="12" w:name="OLE_LINK40"/>
      <w:r>
        <w:rPr>
          <w:lang w:eastAsia="zh-CN"/>
        </w:rPr>
        <w:t>低压开关柜</w:t>
      </w:r>
      <w:r>
        <w:rPr>
          <w:rFonts w:hint="eastAsia"/>
          <w:lang w:eastAsia="zh-CN"/>
        </w:rPr>
        <w:t>全球市场总体规模</w:t>
      </w:r>
    </w:p>
    <w:p>
      <w:pPr>
        <w:pStyle w:val="145"/>
        <w:jc w:val="left"/>
        <w:rPr>
          <w:lang w:eastAsia="zh-CN"/>
        </w:rPr>
      </w:pPr>
      <w:r>
        <w:rPr>
          <w:rFonts w:hint="eastAsia"/>
          <w:lang w:eastAsia="zh-CN"/>
        </w:rPr>
        <w:t>低压开关柜由一台或多台低压开关设备及相关控制、测量、信号、保护、调节等设备组成。主要用于三相交流50Hz额定电压0.4kV电路中接收和分配0.4kV系统电能，并对运行电路实现自动合闸控制、切断故障保护、监测和事件记录等功能。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3324225" cy="2876550"/>
            <wp:effectExtent l="0" t="0" r="0" b="0"/>
            <wp:docPr id="3" name="图片 3" descr="GCK抽出式低压开关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CK抽出式低压开关柜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9402" cy="2881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低压开关柜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66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6.8</w:t>
      </w:r>
      <w:r>
        <w:rPr>
          <w:rFonts w:hint="eastAsia"/>
          <w:lang w:eastAsia="zh-CN"/>
        </w:rPr>
        <w:t>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低压开关柜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40685"/>
            <wp:effectExtent l="0" t="0" r="2540" b="0"/>
            <wp:docPr id="205118091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低压开关柜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低压开关柜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34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15050" cy="6019800"/>
            <wp:effectExtent l="0" t="0" r="0" b="0"/>
            <wp:docPr id="11536204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低压开关柜</w:t>
      </w:r>
      <w:r>
        <w:rPr>
          <w:rFonts w:hint="eastAsia"/>
          <w:lang w:eastAsia="zh-CN"/>
        </w:rPr>
        <w:t>市场研究报告2023-2029，排名基于2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根据QYResearch头部企业研究中心调研，全球范围内低压开关柜生产商主要包括施耐德、伊顿、ABB、三菱电机、西门子、广州白云电器、明阳电气、Vertiv、TAKAOKA TOKO、Anord Mardix等。2022年，全球前十强厂商占有大约58.0%的市场份额。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lang w:eastAsia="zh-CN"/>
        </w:rPr>
        <w:t>低压开关柜</w:t>
      </w:r>
      <w:r>
        <w:rPr>
          <w:rFonts w:hint="eastAsia"/>
          <w:lang w:eastAsia="zh-CN"/>
        </w:rPr>
        <w:t>，全球市场规模，按产品类型细分，抽出式开关柜处于主导地位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55690" cy="2837815"/>
            <wp:effectExtent l="0" t="0" r="0" b="635"/>
            <wp:docPr id="4335642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564231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6772" cy="28430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71386730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低压开关柜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就产品类型而言，目前抽出式开关柜是最主要的细分产品，占据大约</w:t>
      </w:r>
      <w:r>
        <w:rPr>
          <w:lang w:eastAsia="zh-CN"/>
        </w:rPr>
        <w:t>63</w:t>
      </w:r>
      <w:r>
        <w:rPr>
          <w:rFonts w:hint="eastAsia"/>
          <w:lang w:eastAsia="zh-CN"/>
        </w:rPr>
        <w:t>%的份额。</w:t>
      </w:r>
    </w:p>
    <w:p>
      <w:pPr>
        <w:pStyle w:val="145"/>
        <w:rPr>
          <w:lang w:eastAsia="zh-CN"/>
        </w:rPr>
      </w:pPr>
      <w:bookmarkStart w:id="19" w:name="_GoBack"/>
      <w:bookmarkEnd w:id="19"/>
      <w:r>
        <w:rPr>
          <w:rFonts w:hint="eastAsia"/>
          <w:lang w:eastAsia="zh-CN"/>
        </w:rPr>
        <w:t>就产品类型而言，目前发电厂是最主要的需求来源，占据大约</w:t>
      </w:r>
      <w:r>
        <w:rPr>
          <w:lang w:eastAsia="zh-CN"/>
        </w:rPr>
        <w:t>28%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1、产业政策鼓励输配电及控制设备产业发展。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2、电力工业的快速发展有利于输配电及控制设备行业的发展。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1、市场竞争日趋激烈。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2、上下游产业影响。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行业发展趋势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智能化：智能化是利用现代电子技术、通信技术、计算机和网络技术与电力设备相结合，将正常和事故情况下配电网的监测、保护、控制、计量和管理有机地结合起来。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免维护：免维护产品的研发是输配电及控制设备制造商的目标和方向。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小型化、集成化：由于小型化输配电和控制设备具有节省空间、节约能源和材料、改善城市环境等优点，受到用户的青睐。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本文作者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rPr>
          <w:rFonts w:cs="Times New Roman"/>
          <w:kern w:val="0"/>
          <w:sz w:val="20"/>
          <w:szCs w:val="20"/>
        </w:rPr>
      </w:pPr>
      <w:r>
        <w:rPr>
          <w:rFonts w:hint="eastAsia" w:cs="Times New Roman"/>
          <w:kern w:val="0"/>
          <w:sz w:val="20"/>
          <w:szCs w:val="20"/>
        </w:rPr>
        <w:t>董家时--本文主要分析师</w:t>
      </w:r>
    </w:p>
    <w:p>
      <w:pPr>
        <w:pStyle w:val="145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广州分部分析师，作为</w:t>
      </w:r>
      <w:r>
        <w:rPr>
          <w:lang w:eastAsia="zh-CN"/>
        </w:rPr>
        <w:t>QYResearch</w:t>
      </w:r>
      <w:r>
        <w:rPr>
          <w:rFonts w:hint="eastAsia"/>
          <w:lang w:eastAsia="zh-CN"/>
        </w:rPr>
        <w:t>半导体设备和材料部门的成员，具有4年行研工作经验，主要研究方向是机器人、半导体设备、材料和导热粉末领域，部分细分研究课题包括塑封机、前驱体、电镀设备、导热球铝等，同时也从事细分市场报告的开发，并参与定制项目的撰写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2"/>
    <w:bookmarkStart w:id="14" w:name="_Hlk149300687"/>
    <w:bookmarkStart w:id="15" w:name="_Hlk149300688"/>
    <w:bookmarkStart w:id="16" w:name="_Hlk149300689"/>
    <w:bookmarkStart w:id="17" w:name="_Hlk149300690"/>
    <w:bookmarkStart w:id="18" w:name="_Hlk149300691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39B"/>
    <w:rsid w:val="000D2751"/>
    <w:rsid w:val="000D285D"/>
    <w:rsid w:val="000D2A32"/>
    <w:rsid w:val="000D2BC7"/>
    <w:rsid w:val="000D2DDD"/>
    <w:rsid w:val="000D2E10"/>
    <w:rsid w:val="000D2E53"/>
    <w:rsid w:val="000D2F88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27F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C41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8A0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1E3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09F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58D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8D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59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62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93D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chart" Target="charts/chart3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istrator\Desktop\&#20302;&#21387;&#24320;&#20851;&#26588;\&#35266;&#28857;&#25968;&#25454;&#22270;&#34920;&#27169;&#26495;-&#27169;&#26495;%202023122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20302;&#21387;&#24320;&#20851;&#26588;\&#35266;&#28857;&#25968;&#25454;&#22270;&#34920;&#27169;&#26495;-&#27169;&#26495;%2020231220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20302;&#21387;&#24320;&#20851;&#26588;\&#35266;&#28857;&#25968;&#25454;&#22270;&#34920;&#27169;&#26495;-&#27169;&#26495;%20202312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4013.50404797169</c:v>
                </c:pt>
                <c:pt idx="1">
                  <c:v>6573.78780402461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Book Antiqua" panose="02040602050305030304" pitchFamily="1" charset="0"/>
              </a:rPr>
              <a:t>Major Players and Ranking</a:t>
            </a:r>
            <a:endParaRPr lang="en-US" altLang="zh-CN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490358980718"/>
          <c:y val="0.0317460750307235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企业排序!$K$1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5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6"/>
            <c:invertIfNegative val="0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7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8"/>
            <c:invertIfNegative val="0"/>
            <c:bubble3D val="0"/>
            <c:spPr>
              <a:solidFill>
                <a:schemeClr val="accent5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9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30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1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2"/>
            <c:invertIfNegative val="0"/>
            <c:bubble3D val="0"/>
            <c:spPr>
              <a:solidFill>
                <a:schemeClr val="accent3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3"/>
            <c:invertIfNegative val="0"/>
            <c:bubble3D val="0"/>
            <c:spPr>
              <a:solidFill>
                <a:schemeClr val="accent4">
                  <a:lumMod val="50000"/>
                </a:schemeClr>
              </a:solidFill>
              <a:ln>
                <a:noFill/>
              </a:ln>
              <a:effectLst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dLbl>
              <c:idx val="12"/>
              <c:delete val="1"/>
            </c:dLbl>
            <c:dLbl>
              <c:idx val="13"/>
              <c:delete val="1"/>
            </c:dLbl>
            <c:dLbl>
              <c:idx val="14"/>
              <c:delete val="1"/>
            </c:dLbl>
            <c:dLbl>
              <c:idx val="15"/>
              <c:delete val="1"/>
            </c:dLbl>
            <c:dLbl>
              <c:idx val="16"/>
              <c:delete val="1"/>
            </c:dLbl>
            <c:dLbl>
              <c:idx val="17"/>
              <c:delete val="1"/>
            </c:dLbl>
            <c:dLbl>
              <c:idx val="18"/>
              <c:delete val="1"/>
            </c:dLbl>
            <c:dLbl>
              <c:idx val="19"/>
              <c:delete val="1"/>
            </c:dLbl>
            <c:dLbl>
              <c:idx val="20"/>
              <c:delete val="1"/>
            </c:dLbl>
            <c:dLbl>
              <c:idx val="21"/>
              <c:delete val="1"/>
            </c:dLbl>
            <c:dLbl>
              <c:idx val="22"/>
              <c:delete val="1"/>
            </c:dLbl>
            <c:dLbl>
              <c:idx val="23"/>
              <c:delete val="1"/>
            </c:dLbl>
            <c:dLbl>
              <c:idx val="24"/>
              <c:delete val="1"/>
            </c:dLbl>
            <c:dLbl>
              <c:idx val="25"/>
              <c:delete val="1"/>
            </c:dLbl>
            <c:dLbl>
              <c:idx val="26"/>
              <c:delete val="1"/>
            </c:dLbl>
            <c:dLbl>
              <c:idx val="27"/>
              <c:delete val="1"/>
            </c:dLbl>
            <c:dLbl>
              <c:idx val="28"/>
              <c:delete val="1"/>
            </c:dLbl>
            <c:dLbl>
              <c:idx val="29"/>
              <c:delete val="1"/>
            </c:dLbl>
            <c:dLbl>
              <c:idx val="30"/>
              <c:delete val="1"/>
            </c:dLbl>
            <c:dLbl>
              <c:idx val="31"/>
              <c:delete val="1"/>
            </c:dLbl>
            <c:dLbl>
              <c:idx val="32"/>
              <c:delete val="1"/>
            </c:dLbl>
            <c:dLbl>
              <c:idx val="33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企业排序!$C$2:$C$35</c:f>
              <c:strCache>
                <c:ptCount val="34"/>
                <c:pt idx="0">
                  <c:v>Senyuan Electric</c:v>
                </c:pt>
                <c:pt idx="1">
                  <c:v>LS Electric</c:v>
                </c:pt>
                <c:pt idx="2">
                  <c:v>Hyundai Electric</c:v>
                </c:pt>
                <c:pt idx="3">
                  <c:v>Beijing SIFANG</c:v>
                </c:pt>
                <c:pt idx="4">
                  <c:v>Jinguan Electric</c:v>
                </c:pt>
                <c:pt idx="5">
                  <c:v>Kongsberg</c:v>
                </c:pt>
                <c:pt idx="6">
                  <c:v>ESS Metron</c:v>
                </c:pt>
                <c:pt idx="7">
                  <c:v>Wetown</c:v>
                </c:pt>
                <c:pt idx="8">
                  <c:v>SAI Advanced Power Solutions</c:v>
                </c:pt>
                <c:pt idx="9">
                  <c:v>HONGFA</c:v>
                </c:pt>
                <c:pt idx="10">
                  <c:v>Shanghai Liangxin</c:v>
                </c:pt>
                <c:pt idx="11">
                  <c:v>Anhui Xinlong</c:v>
                </c:pt>
                <c:pt idx="12">
                  <c:v>Industrial Electric Mfg</c:v>
                </c:pt>
                <c:pt idx="13">
                  <c:v>Myers Power Products</c:v>
                </c:pt>
                <c:pt idx="14">
                  <c:v>Ziquan Energy</c:v>
                </c:pt>
                <c:pt idx="15">
                  <c:v>Togami Electric Mfg</c:v>
                </c:pt>
                <c:pt idx="16">
                  <c:v>Regal Rexnord Corporation</c:v>
                </c:pt>
                <c:pt idx="17">
                  <c:v>Jiangsu Daye</c:v>
                </c:pt>
                <c:pt idx="18">
                  <c:v>Hyosung Heavy Industries</c:v>
                </c:pt>
                <c:pt idx="19">
                  <c:v>Zhezhong Electric</c:v>
                </c:pt>
                <c:pt idx="20">
                  <c:v>Alfanar</c:v>
                </c:pt>
                <c:pt idx="21">
                  <c:v>Powell Industries</c:v>
                </c:pt>
                <c:pt idx="22">
                  <c:v>Shijiazhuang Kelin Electric</c:v>
                </c:pt>
                <c:pt idx="23">
                  <c:v>CHINT</c:v>
                </c:pt>
                <c:pt idx="24">
                  <c:v>Anord Mardix</c:v>
                </c:pt>
                <c:pt idx="25">
                  <c:v>TAKAOKA TOKO</c:v>
                </c:pt>
                <c:pt idx="26">
                  <c:v>Vertiv</c:v>
                </c:pt>
                <c:pt idx="27">
                  <c:v>Guangdong Mingyang Electric</c:v>
                </c:pt>
                <c:pt idx="28">
                  <c:v>Guangzhou Baiyun Electric Equipment</c:v>
                </c:pt>
                <c:pt idx="29">
                  <c:v>Mitsubishi Electric Corporation</c:v>
                </c:pt>
                <c:pt idx="30">
                  <c:v>Eaton</c:v>
                </c:pt>
                <c:pt idx="31">
                  <c:v>ABB</c:v>
                </c:pt>
                <c:pt idx="32">
                  <c:v>Siemens</c:v>
                </c:pt>
                <c:pt idx="33">
                  <c:v>Schneider Electric</c:v>
                </c:pt>
              </c:strCache>
            </c:strRef>
          </c:cat>
          <c:val>
            <c:numRef>
              <c:f>企业排序!$K$2:$K$35</c:f>
              <c:numCache>
                <c:formatCode>0.0%</c:formatCode>
                <c:ptCount val="3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0.00555066588540218</c:v>
                </c:pt>
                <c:pt idx="18">
                  <c:v>0.00756420998138586</c:v>
                </c:pt>
                <c:pt idx="19">
                  <c:v>0.00579685930626078</c:v>
                </c:pt>
                <c:pt idx="20">
                  <c:v>0.00892984233198348</c:v>
                </c:pt>
                <c:pt idx="21">
                  <c:v>0.00555066588540218</c:v>
                </c:pt>
                <c:pt idx="22">
                  <c:v>0.0124900574070846</c:v>
                </c:pt>
                <c:pt idx="23">
                  <c:v>0.0140137138388198</c:v>
                </c:pt>
                <c:pt idx="24">
                  <c:v>0.0169250375242121</c:v>
                </c:pt>
                <c:pt idx="25">
                  <c:v>0.0221198530871497</c:v>
                </c:pt>
                <c:pt idx="26">
                  <c:v>0.0203163104421026</c:v>
                </c:pt>
                <c:pt idx="27">
                  <c:v>0.0232042707991472</c:v>
                </c:pt>
                <c:pt idx="28">
                  <c:v>0.0504206178986006</c:v>
                </c:pt>
                <c:pt idx="29">
                  <c:v>0.0424877771186328</c:v>
                </c:pt>
                <c:pt idx="30">
                  <c:v>0.0760530692242734</c:v>
                </c:pt>
                <c:pt idx="31">
                  <c:v>0.0928866505238611</c:v>
                </c:pt>
                <c:pt idx="32">
                  <c:v>0.10400994445606</c:v>
                </c:pt>
                <c:pt idx="33">
                  <c:v>0.113525027799054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分类!$AJ$1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2"/>
                <c:pt idx="0">
                  <c:v>固定式开关柜</c:v>
                </c:pt>
                <c:pt idx="1">
                  <c:v>抽出式开关柜</c:v>
                </c:pt>
              </c:strCache>
            </c:strRef>
          </c:cat>
          <c:val>
            <c:numRef>
              <c:f>分类!$AJ$2:$AJ$10</c:f>
              <c:numCache>
                <c:formatCode>#,##0_);[Red]\(#,##0\)</c:formatCode>
                <c:ptCount val="2"/>
                <c:pt idx="0">
                  <c:v>1502.47</c:v>
                </c:pt>
                <c:pt idx="1">
                  <c:v>2511.04</c:v>
                </c:pt>
              </c:numCache>
            </c:numRef>
          </c:val>
        </c:ser>
        <c:ser>
          <c:idx val="1"/>
          <c:order val="1"/>
          <c:tx>
            <c:strRef>
              <c:f>分类!$AK$1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2"/>
                <c:pt idx="0">
                  <c:v>固定式开关柜</c:v>
                </c:pt>
                <c:pt idx="1">
                  <c:v>抽出式开关柜</c:v>
                </c:pt>
              </c:strCache>
            </c:strRef>
          </c:cat>
          <c:val>
            <c:numRef>
              <c:f>分类!$AK$2:$AK$10</c:f>
              <c:numCache>
                <c:formatCode>#,##0_);[Red]\(#,##0\)</c:formatCode>
                <c:ptCount val="2"/>
                <c:pt idx="0">
                  <c:v>2304.47</c:v>
                </c:pt>
                <c:pt idx="1">
                  <c:v>4269.32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0.33961</cdr:x>
      <cdr:y>0.15087</cdr:y>
    </cdr:from>
    <cdr:to>
      <cdr:x>0.64193</cdr:x>
      <cdr:y>0.45038</cdr:y>
    </cdr:to>
    <cdr:grpSp>
      <cdr:nvGrpSpPr>
        <cdr:cNvPr id="2" name="组合 1"/>
        <cdr:cNvGrpSpPr/>
      </cdr:nvGrpSpPr>
      <cdr:grpSpPr xmlns:a="http://schemas.openxmlformats.org/drawingml/2006/main">
        <a:xfrm rot="856638">
          <a:off x="2101748" y="443661"/>
          <a:ext cx="1870971" cy="880765"/>
          <a:chOff x="2472076" y="803781"/>
          <a:chExt cx="1347825" cy="93653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472076" y="803781"/>
            <a:ext cx="1347825" cy="93653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012677">
            <a:off x="2748354" y="1066973"/>
            <a:ext cx="690465" cy="376828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6.8%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280</Words>
  <Characters>1600</Characters>
  <Lines>13</Lines>
  <Paragraphs>3</Paragraphs>
  <TotalTime>656</TotalTime>
  <ScaleCrop>false</ScaleCrop>
  <LinksUpToDate>false</LinksUpToDate>
  <CharactersWithSpaces>1877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2024-01-17T10:00:20Z</dcterms:modified>
  <cp:revision>821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68B3E0D920744CE785A90DC3139A6876_12</vt:lpwstr>
  </property>
</Properties>
</file>