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53597319"/>
      <w:bookmarkStart w:id="1" w:name="_Toc517262917"/>
      <w:bookmarkStart w:id="2" w:name="_Toc418070112"/>
      <w:bookmarkStart w:id="3" w:name="_Toc438987549"/>
      <w:bookmarkStart w:id="4" w:name="_Toc481801204"/>
      <w:bookmarkStart w:id="5" w:name="OLE_LINK15"/>
      <w:bookmarkStart w:id="6" w:name="_Toc415818939"/>
      <w:bookmarkStart w:id="7" w:name="OLE_LINK13"/>
      <w:bookmarkStart w:id="8" w:name="OLE_LINK24"/>
      <w:bookmarkStart w:id="9" w:name="_Toc415143481"/>
      <w:bookmarkStart w:id="10" w:name="_Toc415142861"/>
      <w:bookmarkStart w:id="11" w:name="OLE_LINK40"/>
      <w:bookmarkStart w:id="12" w:name="OLE_LINK39"/>
      <w:r>
        <w:rPr>
          <w:lang w:eastAsia="zh-CN"/>
        </w:rPr>
        <w:t>超轻型飞行器</w:t>
      </w:r>
      <w:r>
        <w:rPr>
          <w:rFonts w:hint="eastAsia"/>
          <w:lang w:eastAsia="zh-CN"/>
        </w:rPr>
        <w:t>全球市场总体规模</w:t>
      </w:r>
    </w:p>
    <w:p>
      <w:pPr>
        <w:rPr>
          <w:rFonts w:hint="eastAsia"/>
          <w:lang w:eastAsia="zh-CN"/>
        </w:rPr>
      </w:pPr>
      <w:r>
        <w:rPr>
          <w:rFonts w:hint="eastAsia"/>
          <w:lang w:eastAsia="zh-CN"/>
        </w:rPr>
        <w:t>超轻型飞行器（VLA）是设计用于个人或娱乐用途、飞行训练和短途旅行的小型、轻量级飞行器。这些飞行器通常的最大起飞重量小于750公斤（1650磅），通常被归类为超轻型飞行器、微型飞行器或轻型运动飞机。超轻型飞行器以其简单性、价格实惠和易操作性而闻名，使得它们可以被广泛地接受，包括娱乐飞行员、飞行学校和爱好者。</w:t>
      </w:r>
    </w:p>
    <w:p>
      <w:pPr>
        <w:rPr>
          <w:rFonts w:hint="eastAsia"/>
          <w:lang w:eastAsia="zh-CN"/>
        </w:rPr>
      </w:pPr>
      <w:r>
        <w:t>超轻型飞行器，通常指由单人驾驶、仅用于娱乐或体育活动、不需要任何适航证的空中飞行器具。其供应链结构主要包括原材料供应商、零部件制造商、整机制造商、分销商和最终用户等。原材料主要包括铝合金、尼龙布、轻木或硬泡沫等轻质材料；零部件则包括发动机、螺旋桨、仪表等关键部件；整机制造商负责将原材料和零部件组装成完整的飞行器。</w:t>
      </w:r>
    </w:p>
    <w:p>
      <w:pPr>
        <w:rPr>
          <w:lang w:eastAsia="zh-CN"/>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hint="eastAsia"/>
          <w:lang w:eastAsia="zh-CN"/>
        </w:rPr>
        <w:t>预计2</w:t>
      </w:r>
      <w:r>
        <w:rPr>
          <w:lang w:eastAsia="zh-CN"/>
        </w:rPr>
        <w:t>030</w:t>
      </w:r>
      <w:r>
        <w:rPr>
          <w:rFonts w:hint="eastAsia"/>
          <w:lang w:eastAsia="zh-CN"/>
        </w:rPr>
        <w:t>年全球</w:t>
      </w:r>
      <w:r>
        <w:rPr>
          <w:lang w:eastAsia="zh-CN"/>
        </w:rPr>
        <w:t>超轻型飞行器</w:t>
      </w:r>
      <w:r>
        <w:rPr>
          <w:rFonts w:hint="eastAsia"/>
          <w:lang w:eastAsia="zh-CN"/>
        </w:rPr>
        <w:t>市场规模将达到</w:t>
      </w:r>
      <w:r>
        <w:rPr>
          <w:lang w:eastAsia="zh-CN"/>
        </w:rPr>
        <w:t>2.61</w:t>
      </w:r>
      <w:r>
        <w:rPr>
          <w:rFonts w:hint="eastAsia"/>
          <w:lang w:eastAsia="zh-CN"/>
        </w:rPr>
        <w:t>亿美元，未来几年年复合增长率CAGR为</w:t>
      </w:r>
      <w:r>
        <w:rPr>
          <w:lang w:eastAsia="zh-CN"/>
        </w:rPr>
        <w:t>6.2</w:t>
      </w:r>
      <w:r>
        <w:rPr>
          <w:rFonts w:hint="eastAsia"/>
          <w:lang w:eastAsia="zh-CN"/>
        </w:rPr>
        <w:t>%。</w:t>
      </w:r>
    </w:p>
    <w:p>
      <w:pPr>
        <w:pStyle w:val="145"/>
        <w:rPr>
          <w:lang w:eastAsia="zh-CN"/>
        </w:rPr>
      </w:pPr>
      <w:r>
        <w:rPr>
          <w:lang w:val="en-US" w:eastAsia="zh-CN"/>
        </w:rPr>
        <w:drawing>
          <wp:inline distT="0" distB="0" distL="0" distR="0">
            <wp:extent cx="4883785" cy="2746375"/>
            <wp:effectExtent l="0" t="0" r="0" b="0"/>
            <wp:docPr id="3" name="图片 3" descr="https://www.aeroturk.info/wp-content/uploads/2021/02/61-1-1024x5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s://www.aeroturk.info/wp-content/uploads/2021/02/61-1-1024x576.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890795" cy="2750177"/>
                    </a:xfrm>
                    <a:prstGeom prst="rect">
                      <a:avLst/>
                    </a:prstGeom>
                    <a:noFill/>
                    <a:ln>
                      <a:noFill/>
                    </a:ln>
                  </pic:spPr>
                </pic:pic>
              </a:graphicData>
            </a:graphic>
          </wp:inline>
        </w:drawing>
      </w:r>
    </w:p>
    <w:p>
      <w:pPr>
        <w:pStyle w:val="148"/>
        <w:rPr>
          <w:lang w:eastAsia="zh-CN"/>
        </w:rPr>
      </w:pPr>
      <w:r>
        <w:rPr>
          <w:lang w:eastAsia="zh-CN"/>
        </w:rPr>
        <w:t>超轻型飞行器</w:t>
      </w:r>
      <w:r>
        <w:rPr>
          <w:rFonts w:hint="eastAsia"/>
          <w:lang w:eastAsia="zh-CN"/>
        </w:rPr>
        <w:t>，全球市场总体规模</w:t>
      </w:r>
    </w:p>
    <w:p>
      <w:pPr>
        <w:pStyle w:val="145"/>
      </w:pPr>
      <w:r>
        <w:rPr>
          <w:lang w:val="en-US" w:eastAsia="zh-CN"/>
        </w:rPr>
        <w:drawing>
          <wp:inline distT="0" distB="0" distL="0" distR="0">
            <wp:extent cx="6188710" cy="2954655"/>
            <wp:effectExtent l="0" t="0" r="254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超轻型飞行器</w:t>
      </w:r>
      <w:r>
        <w:rPr>
          <w:rFonts w:hint="eastAsia"/>
          <w:lang w:eastAsia="zh-CN"/>
        </w:rPr>
        <w:t>市场研究报告2024-2030”</w:t>
      </w:r>
      <w:r>
        <w:rPr>
          <w:lang w:eastAsia="zh-CN"/>
        </w:rPr>
        <w:t>.</w:t>
      </w:r>
    </w:p>
    <w:p>
      <w:pPr>
        <w:pStyle w:val="145"/>
        <w:rPr>
          <w:lang w:eastAsia="zh-CN"/>
        </w:rPr>
      </w:pPr>
    </w:p>
    <w:p>
      <w:pPr>
        <w:pStyle w:val="148"/>
        <w:rPr>
          <w:lang w:eastAsia="zh-CN"/>
        </w:rPr>
      </w:pPr>
      <w:r>
        <w:rPr>
          <w:rFonts w:hint="eastAsia"/>
          <w:lang w:eastAsia="zh-CN"/>
        </w:rPr>
        <w:t>全球</w:t>
      </w:r>
      <w:r>
        <w:rPr>
          <w:lang w:eastAsia="zh-CN"/>
        </w:rPr>
        <w:t>超轻型飞行器</w:t>
      </w:r>
      <w:r>
        <w:rPr>
          <w:rFonts w:hint="eastAsia"/>
          <w:lang w:eastAsia="zh-CN"/>
        </w:rPr>
        <w:t>市场前</w:t>
      </w:r>
      <w:r>
        <w:rPr>
          <w:lang w:eastAsia="zh-CN"/>
        </w:rPr>
        <w:t>10</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rPr>
          <w:rFonts w:ascii="宋体" w:hAnsi="宋体" w:cs="宋体"/>
          <w:kern w:val="0"/>
          <w:sz w:val="24"/>
          <w:szCs w:val="24"/>
        </w:rPr>
      </w:pPr>
      <w:r>
        <w:drawing>
          <wp:inline distT="0" distB="0" distL="0" distR="0">
            <wp:extent cx="2253615" cy="387985"/>
            <wp:effectExtent l="0" t="0" r="0" b="0"/>
            <wp:docPr id="5" name="图片 5" descr="FLIGHT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LIGHT DESIG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303168" cy="396505"/>
                    </a:xfrm>
                    <a:prstGeom prst="rect">
                      <a:avLst/>
                    </a:prstGeom>
                    <a:noFill/>
                    <a:ln>
                      <a:noFill/>
                    </a:ln>
                  </pic:spPr>
                </pic:pic>
              </a:graphicData>
            </a:graphic>
          </wp:inline>
        </w:drawing>
      </w:r>
      <w:r>
        <w:drawing>
          <wp:inline distT="0" distB="0" distL="0" distR="0">
            <wp:extent cx="1880235" cy="761365"/>
            <wp:effectExtent l="0" t="0" r="5715" b="635"/>
            <wp:docPr id="8" name="图片 8" descr="Quicksilver Aircraf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uicksilver Aircraft - Wikipedi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07477" cy="772640"/>
                    </a:xfrm>
                    <a:prstGeom prst="rect">
                      <a:avLst/>
                    </a:prstGeom>
                    <a:noFill/>
                    <a:ln>
                      <a:noFill/>
                    </a:ln>
                  </pic:spPr>
                </pic:pic>
              </a:graphicData>
            </a:graphic>
          </wp:inline>
        </w:drawing>
      </w:r>
      <w:r>
        <w:drawing>
          <wp:inline distT="0" distB="0" distL="0" distR="0">
            <wp:extent cx="1704340" cy="62801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1704762" cy="628571"/>
                    </a:xfrm>
                    <a:prstGeom prst="rect">
                      <a:avLst/>
                    </a:prstGeom>
                  </pic:spPr>
                </pic:pic>
              </a:graphicData>
            </a:graphic>
          </wp:inline>
        </w:drawing>
      </w:r>
      <w:r>
        <w:drawing>
          <wp:inline distT="0" distB="0" distL="0" distR="0">
            <wp:extent cx="1095375" cy="1095375"/>
            <wp:effectExtent l="0" t="0" r="9525" b="9525"/>
            <wp:docPr id="9" name="图片 9" descr="C:\Users\hengzhoubz\AppData\Local\Microsoft\Windows\INetCache\Content.MSO\C4D4A2C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hengzhoubz\AppData\Local\Microsoft\Windows\INetCache\Content.MSO\C4D4A2C9.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116915" cy="1116915"/>
                    </a:xfrm>
                    <a:prstGeom prst="rect">
                      <a:avLst/>
                    </a:prstGeom>
                    <a:noFill/>
                    <a:ln>
                      <a:noFill/>
                    </a:ln>
                  </pic:spPr>
                </pic:pic>
              </a:graphicData>
            </a:graphic>
          </wp:inline>
        </w:drawing>
      </w:r>
      <w:r>
        <w:drawing>
          <wp:inline distT="0" distB="0" distL="0" distR="0">
            <wp:extent cx="965835" cy="965835"/>
            <wp:effectExtent l="0" t="0" r="5715" b="5715"/>
            <wp:docPr id="6" name="图片 6" descr="C:\Users\hengzhoubz\AppData\Local\Microsoft\Windows\INetCache\Content.MSO\69F3912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hengzhoubz\AppData\Local\Microsoft\Windows\INetCache\Content.MSO\69F3912D.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975264" cy="975264"/>
                    </a:xfrm>
                    <a:prstGeom prst="rect">
                      <a:avLst/>
                    </a:prstGeom>
                    <a:noFill/>
                    <a:ln>
                      <a:noFill/>
                    </a:ln>
                  </pic:spPr>
                </pic:pic>
              </a:graphicData>
            </a:graphic>
          </wp:inline>
        </w:drawing>
      </w:r>
      <w:r>
        <w:drawing>
          <wp:inline distT="0" distB="0" distL="0" distR="0">
            <wp:extent cx="1649730" cy="1026160"/>
            <wp:effectExtent l="0" t="0" r="7620" b="2540"/>
            <wp:docPr id="10" name="图片 10" descr="EVEKTOR - U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VEKTOR - U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666865" cy="1037359"/>
                    </a:xfrm>
                    <a:prstGeom prst="rect">
                      <a:avLst/>
                    </a:prstGeom>
                    <a:noFill/>
                    <a:ln>
                      <a:noFill/>
                    </a:ln>
                  </pic:spPr>
                </pic:pic>
              </a:graphicData>
            </a:graphic>
          </wp:inline>
        </w:drawing>
      </w:r>
      <w:r>
        <w:drawing>
          <wp:inline distT="0" distB="0" distL="0" distR="0">
            <wp:extent cx="1103630" cy="1103630"/>
            <wp:effectExtent l="0" t="0" r="1270" b="1270"/>
            <wp:docPr id="11" name="图片 11" descr="C:\Users\hengzhoubz\AppData\Local\Microsoft\Windows\INetCache\Content.MSO\C7C15BB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hengzhoubz\AppData\Local\Microsoft\Windows\INetCache\Content.MSO\C7C15BB4.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1112498" cy="1112498"/>
                    </a:xfrm>
                    <a:prstGeom prst="rect">
                      <a:avLst/>
                    </a:prstGeom>
                    <a:noFill/>
                    <a:ln>
                      <a:noFill/>
                    </a:ln>
                  </pic:spPr>
                </pic:pic>
              </a:graphicData>
            </a:graphic>
          </wp:inline>
        </w:drawing>
      </w:r>
      <w:r>
        <w:drawing>
          <wp:inline distT="0" distB="0" distL="0" distR="0">
            <wp:extent cx="2070100" cy="670560"/>
            <wp:effectExtent l="0" t="0" r="6350" b="0"/>
            <wp:docPr id="12" name="图片 12" descr="C:\Users\hengzhoubz\AppData\Local\Microsoft\Windows\INetCache\Content.MSO\97139FE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C:\Users\hengzhoubz\AppData\Local\Microsoft\Windows\INetCache\Content.MSO\97139FE2.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094487" cy="678786"/>
                    </a:xfrm>
                    <a:prstGeom prst="rect">
                      <a:avLst/>
                    </a:prstGeom>
                    <a:noFill/>
                    <a:ln>
                      <a:noFill/>
                    </a:ln>
                  </pic:spPr>
                </pic:pic>
              </a:graphicData>
            </a:graphic>
          </wp:inline>
        </w:drawing>
      </w:r>
      <w:r>
        <w:drawing>
          <wp:inline distT="0" distB="0" distL="0" distR="0">
            <wp:extent cx="1017270" cy="1017270"/>
            <wp:effectExtent l="0" t="0" r="0" b="0"/>
            <wp:docPr id="13" name="图片 13" descr="Sling Airc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Sling Aircraf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030821" cy="1030821"/>
                    </a:xfrm>
                    <a:prstGeom prst="rect">
                      <a:avLst/>
                    </a:prstGeom>
                    <a:noFill/>
                    <a:ln>
                      <a:noFill/>
                    </a:ln>
                  </pic:spPr>
                </pic:pic>
              </a:graphicData>
            </a:graphic>
          </wp:inline>
        </w:drawing>
      </w:r>
      <w:r>
        <w:drawing>
          <wp:inline distT="0" distB="0" distL="0" distR="0">
            <wp:extent cx="1017270" cy="1017270"/>
            <wp:effectExtent l="0" t="0" r="0" b="0"/>
            <wp:docPr id="15" name="图片 15" descr="C:\Users\hengzhoubz\AppData\Local\Microsoft\Windows\INetCache\Content.MSO\DF6EA54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hengzhoubz\AppData\Local\Microsoft\Windows\INetCache\Content.MSO\DF6EA541.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025447" cy="1025447"/>
                    </a:xfrm>
                    <a:prstGeom prst="rect">
                      <a:avLst/>
                    </a:prstGeom>
                    <a:noFill/>
                    <a:ln>
                      <a:noFill/>
                    </a:ln>
                  </pic:spPr>
                </pic:pic>
              </a:graphicData>
            </a:graphic>
          </wp:inline>
        </w:drawing>
      </w:r>
      <w:r>
        <w:drawing>
          <wp:inline distT="0" distB="0" distL="0" distR="0">
            <wp:extent cx="3114040" cy="843280"/>
            <wp:effectExtent l="0" t="0" r="0" b="0"/>
            <wp:docPr id="16" name="图片 16" descr="C:\Users\hengzhoubz\AppData\Local\Microsoft\Windows\INetCache\Content.MSO\40BFD9F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hengzhoubz\AppData\Local\Microsoft\Windows\INetCache\Content.MSO\40BFD9F7.t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3164570" cy="857458"/>
                    </a:xfrm>
                    <a:prstGeom prst="rect">
                      <a:avLst/>
                    </a:prstGeom>
                    <a:noFill/>
                    <a:ln>
                      <a:noFill/>
                    </a:ln>
                  </pic:spPr>
                </pic:pic>
              </a:graphicData>
            </a:graphic>
          </wp:inline>
        </w:drawing>
      </w:r>
    </w:p>
    <w:p>
      <w:pPr>
        <w:pStyle w:val="143"/>
        <w:rPr>
          <w:lang w:eastAsia="zh-CN"/>
        </w:rPr>
      </w:pPr>
      <w:r>
        <w:rPr>
          <w:rFonts w:hint="eastAsia"/>
          <w:lang w:eastAsia="zh-CN"/>
        </w:rPr>
        <w:t>如上图表/数据，摘自QYResearch报告“全球</w:t>
      </w:r>
      <w:r>
        <w:rPr>
          <w:lang w:eastAsia="zh-CN"/>
        </w:rPr>
        <w:t>超轻型飞行器</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pPr>
        <w:rPr>
          <w:rFonts w:hint="eastAsia"/>
          <w:lang w:eastAsia="zh-CN"/>
        </w:rPr>
      </w:pPr>
      <w:r>
        <w:rPr>
          <w:rFonts w:hint="eastAsia"/>
          <w:lang w:eastAsia="zh-CN"/>
        </w:rPr>
        <w:t>全球范围内，</w:t>
      </w:r>
      <w:r>
        <w:rPr>
          <w:lang w:eastAsia="zh-CN"/>
        </w:rPr>
        <w:t>超轻型飞行器</w:t>
      </w:r>
      <w:r>
        <w:rPr>
          <w:rFonts w:hint="eastAsia"/>
          <w:lang w:eastAsia="zh-CN"/>
        </w:rPr>
        <w:t>主要生产商包括</w:t>
      </w:r>
      <w:r>
        <w:rPr>
          <w:lang w:eastAsia="zh-CN"/>
        </w:rPr>
        <w:t>Quicksilver Aircraft</w:t>
      </w:r>
      <w:r>
        <w:rPr>
          <w:rFonts w:hint="eastAsia"/>
          <w:lang w:eastAsia="zh-CN"/>
        </w:rPr>
        <w:t>、</w:t>
      </w:r>
      <w:r>
        <w:rPr>
          <w:lang w:eastAsia="zh-CN"/>
        </w:rPr>
        <w:t>Czech Aircraft Group</w:t>
      </w:r>
      <w:r>
        <w:rPr>
          <w:rFonts w:hint="eastAsia"/>
          <w:lang w:eastAsia="zh-CN"/>
        </w:rPr>
        <w:t>、</w:t>
      </w:r>
      <w:r>
        <w:rPr>
          <w:lang w:eastAsia="zh-CN"/>
        </w:rPr>
        <w:t>Flight Design</w:t>
      </w:r>
      <w:r>
        <w:rPr>
          <w:rFonts w:hint="eastAsia"/>
          <w:lang w:eastAsia="zh-CN"/>
        </w:rPr>
        <w:t>、</w:t>
      </w:r>
      <w:r>
        <w:rPr>
          <w:lang w:eastAsia="zh-CN"/>
        </w:rPr>
        <w:t xml:space="preserve">Jabiru </w:t>
      </w:r>
      <w:bookmarkStart w:id="19" w:name="_GoBack"/>
      <w:r>
        <w:rPr>
          <w:lang w:eastAsia="zh-CN"/>
        </w:rPr>
        <w:t>Aircraft</w:t>
      </w:r>
      <w:r>
        <w:rPr>
          <w:rFonts w:hint="eastAsia"/>
          <w:lang w:eastAsia="zh-CN"/>
        </w:rPr>
        <w:t>、</w:t>
      </w:r>
      <w:r>
        <w:rPr>
          <w:lang w:eastAsia="zh-CN"/>
        </w:rPr>
        <w:t>JMB Aircraft</w:t>
      </w:r>
      <w:r>
        <w:rPr>
          <w:rFonts w:hint="eastAsia"/>
          <w:lang w:eastAsia="zh-CN"/>
        </w:rPr>
        <w:t>等，这些厂商占有大约</w:t>
      </w:r>
      <w:r>
        <w:rPr>
          <w:lang w:eastAsia="zh-CN"/>
        </w:rPr>
        <w:t>44</w:t>
      </w:r>
      <w:r>
        <w:rPr>
          <w:rFonts w:hint="eastAsia"/>
          <w:lang w:eastAsia="zh-CN"/>
        </w:rPr>
        <w:t>%的市场份额。</w:t>
      </w:r>
    </w:p>
    <w:p>
      <w:pPr>
        <w:rPr>
          <w:rFonts w:hint="eastAsia"/>
          <w:lang w:eastAsia="zh-CN"/>
        </w:rPr>
      </w:pPr>
      <w:r>
        <w:t>Flight Design以其高性能的CT系列超轻型飞行器而闻名；Czech Aircraft Group则以其独特的设计和制造工艺，赢得了广泛的市场认可。</w:t>
      </w:r>
    </w:p>
    <w:bookmarkEnd w:id="19"/>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对娱乐飞行和个人航空的兴趣日益增长，推动了对小型和价格实惠飞行器的需求。</w:t>
      </w:r>
    </w:p>
    <w:p>
      <w:pPr>
        <w:pStyle w:val="145"/>
        <w:rPr>
          <w:rFonts w:hint="eastAsia"/>
          <w:lang w:eastAsia="zh-CN"/>
        </w:rPr>
      </w:pPr>
      <w:r>
        <w:rPr>
          <w:rFonts w:hint="eastAsia"/>
          <w:lang w:eastAsia="zh-CN"/>
        </w:rPr>
        <w:t>轻型运动飞机（LSA）和超轻型航空社区日益受欢迎，扩大了超轻型飞行器市场。</w:t>
      </w:r>
    </w:p>
    <w:p>
      <w:pPr>
        <w:pStyle w:val="145"/>
        <w:rPr>
          <w:lang w:val="en-US" w:eastAsia="zh-CN"/>
        </w:rPr>
      </w:pPr>
      <w:r>
        <w:rPr>
          <w:rFonts w:hint="eastAsia"/>
          <w:lang w:eastAsia="zh-CN"/>
        </w:rPr>
        <w:t>材料、技术和设计方面的进步促使超轻型飞行器的性能、安全性和可靠性得到提高。</w:t>
      </w: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法规限制和认证要求可能会限制在某些地区超轻型飞行器的发展和采用。</w:t>
      </w:r>
    </w:p>
    <w:p>
      <w:pPr>
        <w:pStyle w:val="145"/>
        <w:rPr>
          <w:rFonts w:hint="eastAsia"/>
          <w:lang w:eastAsia="zh-CN"/>
        </w:rPr>
      </w:pPr>
      <w:r>
        <w:rPr>
          <w:rFonts w:hint="eastAsia"/>
          <w:lang w:eastAsia="zh-CN"/>
        </w:rPr>
        <w:t>与较大的通用航空飞机相比，超轻型飞行器的有效载荷能力和航程有限，可能会限制某些用户的使用，特别是对于长途旅行。</w:t>
      </w:r>
    </w:p>
    <w:p>
      <w:pPr>
        <w:pStyle w:val="145"/>
        <w:rPr>
          <w:lang w:eastAsia="zh-CN"/>
        </w:rPr>
      </w:pPr>
      <w:r>
        <w:rPr>
          <w:rFonts w:hint="eastAsia"/>
          <w:lang w:eastAsia="zh-CN"/>
        </w:rPr>
        <w:t>与其他形式的娱乐航空，如无人机和旋翼飞机的竞争，可能会影响超轻型飞行器的市场。</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新兴市场和中产阶级人口日益增长的地区为超轻型飞行器制造商扩展其客户群提供了机会。</w:t>
      </w:r>
    </w:p>
    <w:p>
      <w:pPr>
        <w:pStyle w:val="145"/>
        <w:rPr>
          <w:rFonts w:hint="eastAsia"/>
          <w:lang w:eastAsia="zh-CN"/>
        </w:rPr>
      </w:pPr>
      <w:r>
        <w:rPr>
          <w:rFonts w:hint="eastAsia"/>
          <w:lang w:eastAsia="zh-CN"/>
        </w:rPr>
        <w:t>引入创新设计、特性和技术可以使超轻型飞行器在市场上与众不同，并吸引新的买家。</w:t>
      </w:r>
    </w:p>
    <w:p>
      <w:pPr>
        <w:pStyle w:val="145"/>
        <w:rPr>
          <w:lang w:eastAsia="zh-CN"/>
        </w:rPr>
      </w:pPr>
      <w:r>
        <w:rPr>
          <w:rFonts w:hint="eastAsia"/>
          <w:lang w:eastAsia="zh-CN"/>
        </w:rPr>
        <w:t>与飞行学校、俱乐部和娱乐航空组织合作，通过培训计划和活动促进超轻型飞行器的使用，刺激市场增长。</w:t>
      </w:r>
    </w:p>
    <w:p>
      <w:pPr>
        <w:widowControl/>
        <w:topLinePunct w:val="0"/>
        <w:spacing w:after="0"/>
        <w:jc w:val="left"/>
        <w:rPr>
          <w:color w:val="0D0D0D" w:themeColor="text1" w:themeTint="F2"/>
          <w:kern w:val="0"/>
          <w:szCs w:val="22"/>
          <w:lang w:val="en-IN"/>
          <w14:textFill>
            <w14:solidFill>
              <w14:schemeClr w14:val="tx1">
                <w14:lumMod w14:val="95000"/>
                <w14:lumOff w14:val="5000"/>
              </w14:schemeClr>
            </w14:solidFill>
          </w14:textFill>
        </w:rPr>
      </w:pPr>
      <w:r>
        <w:br w:type="page"/>
      </w: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r>
        <w:rPr>
          <w:rFonts w:hint="eastAsia"/>
          <w:lang w:eastAsia="zh-CN"/>
        </w:rPr>
        <w:t>杨洋</w:t>
      </w:r>
      <w:r>
        <w:rPr>
          <w:lang w:eastAsia="zh-CN"/>
        </w:rPr>
        <w:t xml:space="preserve"> – </w:t>
      </w:r>
      <w:r>
        <w:rPr>
          <w:rFonts w:hint="eastAsia"/>
          <w:lang w:eastAsia="zh-CN"/>
        </w:rPr>
        <w:t>本文主要分析师</w:t>
      </w:r>
    </w:p>
    <w:p>
      <w:pPr>
        <w:pStyle w:val="167"/>
        <w:rPr>
          <w:lang w:eastAsia="zh-CN"/>
        </w:rPr>
      </w:pPr>
      <w:r>
        <w:rPr>
          <w:lang w:eastAsia="zh-CN"/>
        </w:rPr>
        <w:t>QYResearch</w:t>
      </w:r>
      <w:r>
        <w:rPr>
          <w:rFonts w:hint="eastAsia"/>
          <w:lang w:eastAsia="zh-CN"/>
        </w:rPr>
        <w:t>企业简介</w:t>
      </w:r>
    </w:p>
    <w:p>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22"/>
                    <a:stretch>
                      <a:fillRect/>
                    </a:stretch>
                  </pic:blipFill>
                  <pic:spPr>
                    <a:xfrm>
                      <a:off x="0" y="0"/>
                      <a:ext cx="1219048" cy="552381"/>
                    </a:xfrm>
                    <a:prstGeom prst="rect">
                      <a:avLst/>
                    </a:prstGeom>
                  </pic:spPr>
                </pic:pic>
              </a:graphicData>
            </a:graphic>
          </wp:inline>
        </w:drawing>
      </w:r>
    </w:p>
    <w:p>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rPr>
          <w:rFonts w:hint="eastAsia"/>
        </w:rPr>
        <w:t>专注为企业提供专业的市场调查报告、市场研究报告、可行性研究、IPO咨询、商业计划书、制造业单项冠军申请和专精特新“小巨人”申请、市占率证明等服务。</w:t>
      </w:r>
    </w:p>
    <w:p>
      <w:pPr>
        <w:pStyle w:val="145"/>
        <w:rPr>
          <w:lang w:eastAsia="zh-CN"/>
        </w:rPr>
      </w:pP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2506"/>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7F2"/>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22F"/>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6FA4"/>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4F7"/>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DD7"/>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5CAB"/>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3DC"/>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4C"/>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00"/>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007"/>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68F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84C"/>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27D2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5.pn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hengzhoubz\Desktop\&#35266;&#28857;\&#35266;&#28857;&#25968;&#25454;&#22270;&#34920;&#27169;&#26495;-&#27169;&#26495;%2020240426%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Global Market Size ($ Mn), 2024 VS 2030</a:t>
            </a:r>
            <a:endParaRPr lang="en-US"/>
          </a:p>
        </c:rich>
      </c:tx>
      <c:layout/>
      <c:overlay val="0"/>
      <c:spPr>
        <a:noFill/>
        <a:ln>
          <a:noFill/>
        </a:ln>
        <a:effectLst/>
      </c:spPr>
    </c:title>
    <c:autoTitleDeleted val="0"/>
    <c:plotArea>
      <c:layout>
        <c:manualLayout>
          <c:layoutTarget val="inner"/>
          <c:xMode val="edge"/>
          <c:yMode val="edge"/>
          <c:x val="0.0254783950617284"/>
          <c:y val="0.139741503267974"/>
          <c:w val="0.956882716049383"/>
          <c:h val="0.763978104575163"/>
        </c:manualLayout>
      </c:layout>
      <c:barChart>
        <c:barDir val="col"/>
        <c:grouping val="stacked"/>
        <c:varyColors val="0"/>
        <c:ser>
          <c:idx val="0"/>
          <c:order val="0"/>
          <c:tx>
            <c:strRef>
              <c:f>全球总体!$R$7</c:f>
              <c:strCache>
                <c:ptCount val="1"/>
                <c:pt idx="0">
                  <c:v>Global Market Size ($ Mn)</c:v>
                </c:pt>
              </c:strCache>
            </c:strRef>
          </c:tx>
          <c:spPr>
            <a:solidFill>
              <a:srgbClr val="002060"/>
            </a:solidFill>
            <a:ln>
              <a:noFill/>
            </a:ln>
            <a:effectLst/>
          </c:spPr>
          <c:invertIfNegative val="0"/>
          <c:dLbls>
            <c:delete val="1"/>
          </c:dLbls>
          <c:cat>
            <c:numRef>
              <c:f>全球总体!$T$6:$U$6</c:f>
              <c:numCache>
                <c:formatCode>General</c:formatCode>
                <c:ptCount val="2"/>
                <c:pt idx="0">
                  <c:v>2024</c:v>
                </c:pt>
                <c:pt idx="1">
                  <c:v>2030</c:v>
                </c:pt>
              </c:numCache>
            </c:numRef>
          </c:cat>
          <c:val>
            <c:numRef>
              <c:f>全球总体!$T$7:$U$7</c:f>
              <c:numCache>
                <c:formatCode>#,##0_ </c:formatCode>
                <c:ptCount val="2"/>
                <c:pt idx="0">
                  <c:v>139</c:v>
                </c:pt>
                <c:pt idx="1">
                  <c:v>236</c:v>
                </c:pt>
              </c:numCache>
            </c:numRef>
          </c:val>
        </c:ser>
        <c:dLbls>
          <c:showLegendKey val="0"/>
          <c:showVal val="0"/>
          <c:showCatName val="0"/>
          <c:showSerName val="0"/>
          <c:showPercent val="0"/>
          <c:showBubbleSize val="0"/>
        </c:dLbls>
        <c:gapWidth val="219"/>
        <c:overlap val="100"/>
        <c:serLines>
          <c:spPr>
            <a:ln w="15875" cap="flat" cmpd="sng" algn="ctr">
              <a:solidFill>
                <a:srgbClr val="002060"/>
              </a:solidFill>
              <a:round/>
              <a:headEnd type="triangle"/>
            </a:ln>
            <a:effectLst/>
          </c:spPr>
        </c:serLines>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0.42964</cdr:x>
      <cdr:y>0.28073</cdr:y>
    </cdr:from>
    <cdr:to>
      <cdr:x>0.56137</cdr:x>
      <cdr:y>0.39324</cdr:y>
    </cdr:to>
    <cdr:sp>
      <cdr:nvSpPr>
        <cdr:cNvPr id="2" name="椭圆 1"/>
        <cdr:cNvSpPr/>
      </cdr:nvSpPr>
      <cdr:spPr xmlns:a="http://schemas.openxmlformats.org/drawingml/2006/main">
        <a:xfrm xmlns:a="http://schemas.openxmlformats.org/drawingml/2006/main" rot="20490645">
          <a:off x="2658921" y="829469"/>
          <a:ext cx="815238" cy="33242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1000" b="0" baseline="0">
              <a:solidFill>
                <a:schemeClr val="tx1"/>
              </a:solidFill>
              <a:latin typeface="Times New Roman" panose="02020603050405020304" charset="0"/>
              <a:ea typeface="宋体" panose="02010600030101010101" charset="-122"/>
              <a:cs typeface="Times New Roman" panose="02020603050405020304" charset="0"/>
            </a:rPr>
            <a:t>6.2%</a:t>
          </a:r>
          <a:endParaRPr lang="zh-CN" sz="1000" b="0" baseline="0">
            <a:solidFill>
              <a:schemeClr val="tx1"/>
            </a:solidFill>
            <a:latin typeface="Times New Roman" panose="02020603050405020304" charset="0"/>
            <a:ea typeface="宋体" panose="02010600030101010101" charset="-122"/>
            <a:cs typeface="Times New Roman" panose="02020603050405020304" charset="0"/>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CEF3FF-C9C2-4AD5-8E08-221B002471B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Words>
  <Characters>1439</Characters>
  <Lines>11</Lines>
  <Paragraphs>3</Paragraphs>
  <TotalTime>1</TotalTime>
  <ScaleCrop>false</ScaleCrop>
  <LinksUpToDate>false</LinksUpToDate>
  <CharactersWithSpaces>1688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2024-04-30T08:50:00Z</dcterms:created>
  <dc:creator>yangj</dc:creator>
  <cp:lastModifiedBy>*星*空夜@话</cp:lastModifiedBy>
  <dcterms:modified xsi:type="dcterms:W3CDTF">2024-05-07T06:23:41Z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F63C5E319CE045AB97C524B9194A10F1_12</vt:lpwstr>
  </property>
</Properties>
</file>