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15143481"/>
      <w:bookmarkStart w:id="1" w:name="_Toc415818939"/>
      <w:bookmarkStart w:id="2" w:name="OLE_LINK40"/>
      <w:bookmarkStart w:id="3" w:name="OLE_LINK39"/>
      <w:bookmarkStart w:id="4" w:name="_Toc481801204"/>
      <w:bookmarkStart w:id="5" w:name="_Toc453597319"/>
      <w:bookmarkStart w:id="6" w:name="_Toc415142861"/>
      <w:bookmarkStart w:id="7" w:name="_Toc418070112"/>
      <w:bookmarkStart w:id="8" w:name="OLE_LINK24"/>
      <w:bookmarkStart w:id="9" w:name="OLE_LINK15"/>
      <w:bookmarkStart w:id="10" w:name="_Toc517262917"/>
      <w:bookmarkStart w:id="11" w:name="OLE_LINK13"/>
      <w:bookmarkStart w:id="12" w:name="_Toc438987549"/>
      <w:r>
        <w:rPr>
          <w:lang w:eastAsia="zh-CN"/>
        </w:rPr>
        <w:t>宠物镇定费洛蒙</w:t>
      </w:r>
      <w:r>
        <w:rPr>
          <w:rFonts w:hint="eastAsia"/>
          <w:lang w:eastAsia="zh-CN"/>
        </w:rPr>
        <w:t>定义</w:t>
      </w:r>
    </w:p>
    <w:p>
      <w:pPr>
        <w:pStyle w:val="145"/>
        <w:rPr>
          <w:lang w:eastAsia="zh-CN"/>
        </w:rPr>
      </w:pPr>
      <w:r>
        <w:rPr>
          <w:rFonts w:hint="eastAsia"/>
          <w:lang w:eastAsia="zh-CN"/>
        </w:rPr>
        <w:t>宠物镇定费洛蒙是宠物（包括狗和猫）产生的化学物质，用于与同类进行交流。 这些信息素在动物中，对其各种社会行为发挥着至关重要的作用。信息素相关产品可以用于影响和改变狗和猫的行为，以用于解决分离焦虑、对烟花或雷暴的恐惧、领地标记和其他行为相关问题。这在促进宠物与其主人之间的沟通的同时，也有利于它们的福祉。</w:t>
      </w:r>
    </w:p>
    <w:p>
      <w:pPr>
        <w:pStyle w:val="145"/>
        <w:rPr>
          <w:lang w:eastAsia="zh-CN"/>
        </w:rPr>
      </w:pPr>
      <w:r>
        <w:rPr>
          <w:rFonts w:hint="eastAsia"/>
          <w:lang w:eastAsia="zh-CN"/>
        </w:rPr>
        <w:t>宠物镇定费洛蒙产品有多种形式，包括喷雾剂、扩散器和项圈等，旨在模仿或复制这些天然信息素。该类产品通过将合成信息素引入宠物的环境中，以达到宠物主人和兽医的目的：积极影响和改变它们的行为，减少焦虑并促进幸福感。</w:t>
      </w:r>
    </w:p>
    <w:p>
      <w:pPr>
        <w:pStyle w:val="145"/>
        <w:rPr>
          <w:lang w:eastAsia="zh-CN"/>
        </w:rPr>
      </w:pPr>
    </w:p>
    <w:p>
      <w:pPr>
        <w:pStyle w:val="167"/>
        <w:rPr>
          <w:lang w:eastAsia="zh-CN"/>
        </w:rPr>
      </w:pPr>
      <w:r>
        <w:t>宠物镇定费洛蒙</w:t>
      </w:r>
      <w:r>
        <w:rPr>
          <w:lang w:eastAsia="zh-CN"/>
        </w:rPr>
        <w:t>图</w:t>
      </w:r>
      <w:r>
        <w:rPr>
          <w:rFonts w:hint="eastAsia"/>
          <w:lang w:eastAsia="zh-CN"/>
        </w:rPr>
        <w:t>片</w:t>
      </w:r>
    </w:p>
    <w:p>
      <w:pPr>
        <w:pStyle w:val="145"/>
        <w:rPr>
          <w:lang w:eastAsia="zh-CN"/>
        </w:rPr>
      </w:pPr>
      <w:r>
        <w:drawing>
          <wp:inline distT="0" distB="0" distL="0" distR="0">
            <wp:extent cx="3937635" cy="3886200"/>
            <wp:effectExtent l="0" t="0" r="5715" b="0"/>
            <wp:docPr id="891343332" name="图片 1" descr="ZENIDOG® Pheromone Produ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343332" name="图片 1" descr="ZENIDOG® Pheromone Products"/>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3937635" cy="3886200"/>
                    </a:xfrm>
                    <a:prstGeom prst="rect">
                      <a:avLst/>
                    </a:prstGeom>
                    <a:noFill/>
                    <a:ln>
                      <a:noFill/>
                    </a:ln>
                  </pic:spPr>
                </pic:pic>
              </a:graphicData>
            </a:graphic>
          </wp:inline>
        </w:drawing>
      </w:r>
    </w:p>
    <w:p>
      <w:pPr>
        <w:pStyle w:val="143"/>
        <w:rPr>
          <w:lang w:eastAsia="zh-CN"/>
        </w:rPr>
      </w:pPr>
      <w:r>
        <w:rPr>
          <w:rFonts w:hint="eastAsia"/>
          <w:lang w:eastAsia="zh-CN"/>
        </w:rPr>
        <w:t>如上图表/数据，摘自QYResearch最新报告“全球</w:t>
      </w:r>
      <w:r>
        <w:rPr>
          <w:lang w:eastAsia="zh-CN"/>
        </w:rPr>
        <w:t>宠物镇定费洛蒙</w:t>
      </w:r>
      <w:r>
        <w:rPr>
          <w:rFonts w:hint="eastAsia"/>
          <w:lang w:eastAsia="zh-CN"/>
        </w:rPr>
        <w:t>市场研究报告2023-2029</w:t>
      </w:r>
      <w:r>
        <w:rPr>
          <w:lang w:eastAsia="zh-CN"/>
        </w:rPr>
        <w:t>.</w:t>
      </w:r>
    </w:p>
    <w:p>
      <w:pPr>
        <w:pStyle w:val="145"/>
        <w:rPr>
          <w:lang w:eastAsia="zh-CN"/>
        </w:rPr>
      </w:pPr>
    </w:p>
    <w:p>
      <w:pPr>
        <w:pStyle w:val="167"/>
        <w:rPr>
          <w:lang w:eastAsia="zh-CN"/>
        </w:rPr>
      </w:pPr>
      <w:r>
        <w:rPr>
          <w:lang w:eastAsia="zh-CN"/>
        </w:rPr>
        <w:t>宠物镇定费洛蒙</w:t>
      </w:r>
      <w:r>
        <w:rPr>
          <w:rFonts w:hint="eastAsia"/>
          <w:lang w:eastAsia="zh-CN"/>
        </w:rPr>
        <w:t>全球市场总体规模</w:t>
      </w:r>
    </w:p>
    <w:p>
      <w:pPr>
        <w:pStyle w:val="145"/>
        <w:rPr>
          <w:lang w:eastAsia="zh-CN"/>
        </w:rPr>
      </w:pPr>
      <w:r>
        <w:rPr>
          <w:lang w:eastAsia="zh-CN"/>
        </w:rPr>
        <w:t>据QYResearch调研团队最新报告“全球宠物镇定费洛蒙市场报告2023-2029”显示，预计2029年全球宠物镇定费洛蒙市场规模将达到3.5亿美元，未来几年年复合增长率CAGR为7.1%。</w:t>
      </w:r>
    </w:p>
    <w:p>
      <w:pPr>
        <w:pStyle w:val="145"/>
        <w:rPr>
          <w:lang w:val="en-US" w:eastAsia="zh-CN"/>
        </w:rPr>
      </w:pPr>
    </w:p>
    <w:p>
      <w:pPr>
        <w:pStyle w:val="148"/>
        <w:rPr>
          <w:lang w:eastAsia="zh-CN"/>
        </w:rPr>
      </w:pPr>
      <w:r>
        <w:rPr>
          <w:lang w:eastAsia="zh-CN"/>
        </w:rPr>
        <w:t>宠物镇定费洛蒙</w:t>
      </w:r>
      <w:r>
        <w:rPr>
          <w:rFonts w:hint="eastAsia"/>
          <w:lang w:eastAsia="zh-CN"/>
        </w:rPr>
        <w:t>，全球市场总体规模，预计2</w:t>
      </w:r>
      <w:r>
        <w:rPr>
          <w:lang w:eastAsia="zh-CN"/>
        </w:rPr>
        <w:t>029</w:t>
      </w:r>
      <w:r>
        <w:rPr>
          <w:rFonts w:hint="eastAsia"/>
          <w:lang w:eastAsia="zh-CN"/>
        </w:rPr>
        <w:t>年达到</w:t>
      </w:r>
      <w:r>
        <w:rPr>
          <w:lang w:eastAsia="zh-CN"/>
        </w:rPr>
        <w:t>3.5</w:t>
      </w:r>
      <w:r>
        <w:rPr>
          <w:rFonts w:hint="eastAsia"/>
          <w:lang w:eastAsia="zh-CN"/>
        </w:rPr>
        <w:t>亿美元</w:t>
      </w:r>
    </w:p>
    <w:p>
      <w:pPr>
        <w:pStyle w:val="145"/>
      </w:pPr>
      <w:r>
        <w:drawing>
          <wp:inline distT="0" distB="0" distL="0" distR="0">
            <wp:extent cx="6188710" cy="2935605"/>
            <wp:effectExtent l="0" t="0" r="2540" b="0"/>
            <wp:docPr id="60750857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宠物镇定费洛蒙</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宠物拥有量增加：全球宠物主人数的增加促进了宠物护理市场的增长，其中包括宠物镇定费洛蒙等产品。 随着越来越多的人将宠物带入家中，对于解决宠物的行为问题以及改善宠物整体福祉的产品需求也越来越大。</w:t>
      </w:r>
    </w:p>
    <w:p>
      <w:pPr>
        <w:pStyle w:val="145"/>
        <w:rPr>
          <w:lang w:eastAsia="zh-CN"/>
        </w:rPr>
      </w:pPr>
      <w:r>
        <w:rPr>
          <w:rFonts w:hint="eastAsia"/>
          <w:lang w:eastAsia="zh-CN"/>
        </w:rPr>
        <w:t>对宠物行为问题的认识：对宠物行为问题的认识不断提高宠物主人越来越了解他们的宠物可能遇到的行为问题，例如压力、焦虑和攻击性。 这种意识推动了对信息素产品等解决方案的需求，这些解决方案可以帮助管理和缓解这些问题。</w:t>
      </w:r>
    </w:p>
    <w:p>
      <w:pPr>
        <w:pStyle w:val="145"/>
        <w:rPr>
          <w:lang w:eastAsia="zh-CN"/>
        </w:rPr>
      </w:pPr>
      <w:r>
        <w:rPr>
          <w:rFonts w:hint="eastAsia"/>
          <w:lang w:eastAsia="zh-CN"/>
        </w:rPr>
        <w:t>宠物人性化：宠物人性化的趋势，将宠物视为不可分割的家庭成员，导致人们越来越愿意投资于增强宠物身心健康的产品。 宠物镇定费洛蒙通过提供自然且非侵入性的解决方案来解决行为问题，从而适应了这一趋势。</w:t>
      </w:r>
    </w:p>
    <w:p>
      <w:pPr>
        <w:pStyle w:val="145"/>
        <w:rPr>
          <w:lang w:eastAsia="zh-CN"/>
        </w:rPr>
      </w:pPr>
      <w:r>
        <w:rPr>
          <w:rFonts w:hint="eastAsia"/>
          <w:lang w:eastAsia="zh-CN"/>
        </w:rPr>
        <w:t>在线零售增长：在线零售渠道的增长使人们可以轻松获得各种宠物护理产品，包括信息素。 网上购物的便利有助于市场的扩大。</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对信息素的了解有限：宠物主人对信息素的概念及其工作原理的了解有限可能是一种限制。 对信息素产品功效缺乏认识或误解可能会阻碍市场增长。</w:t>
      </w:r>
    </w:p>
    <w:p>
      <w:pPr>
        <w:pStyle w:val="145"/>
        <w:rPr>
          <w:lang w:eastAsia="zh-CN"/>
        </w:rPr>
      </w:pPr>
      <w:r>
        <w:rPr>
          <w:rFonts w:hint="eastAsia"/>
          <w:lang w:eastAsia="zh-CN"/>
        </w:rPr>
        <w:t>产品特异性和功效问题：宠物镇定费洛蒙产品的功效可能会有所不同，并且可能会担心不同品牌或类型信息素的结果一致性。 产品功效不一致可能会引起消费者的怀疑。</w:t>
      </w:r>
    </w:p>
    <w:p>
      <w:pPr>
        <w:pStyle w:val="145"/>
        <w:rPr>
          <w:lang w:eastAsia="zh-CN"/>
        </w:rPr>
      </w:pPr>
      <w:r>
        <w:rPr>
          <w:rFonts w:hint="eastAsia"/>
          <w:lang w:eastAsia="zh-CN"/>
        </w:rPr>
        <w:t>竞争和定价压力：宠物镇定费洛蒙产品制造商之间的竞争加剧可能会导致定价压力。 如果市场上类似产品饱和，公司可能会面临差异化挑战，从而可能导致价格战，从而影响利润率。</w:t>
      </w:r>
    </w:p>
    <w:p>
      <w:pPr>
        <w:pStyle w:val="145"/>
        <w:rPr>
          <w:lang w:eastAsia="zh-CN"/>
        </w:rPr>
      </w:pPr>
      <w:r>
        <w:rPr>
          <w:rFonts w:hint="eastAsia"/>
          <w:lang w:eastAsia="zh-CN"/>
        </w:rPr>
        <w:t>有限的科学研究：虽然有科学研究支持某些宠物镇定费洛蒙的功效，但该领域缺乏持续的研究或新发现可能会限制市场创新和推出更有效产品的能力。</w:t>
      </w:r>
    </w:p>
    <w:p>
      <w:pPr>
        <w:pStyle w:val="145"/>
        <w:rPr>
          <w:lang w:eastAsia="zh-CN"/>
        </w:rPr>
      </w:pP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意识和接受度不断提高：宠物主人越来越意识到压力和焦虑对其宠物行为的影响。 因此，越来越多的人接受基于信息素的产品作为管理宠物压力相关问题的天然和非侵入性解决方案。</w:t>
      </w:r>
    </w:p>
    <w:p>
      <w:pPr>
        <w:pStyle w:val="145"/>
        <w:rPr>
          <w:lang w:eastAsia="zh-CN"/>
        </w:rPr>
      </w:pPr>
      <w:r>
        <w:rPr>
          <w:rFonts w:hint="eastAsia"/>
          <w:lang w:eastAsia="zh-CN"/>
        </w:rPr>
        <w:t>产品创新：宠物护理行业的公司不断投资研发，推出新的创新信息素产品。 这可能包括不同的输送机制，例如项圈、扩散器、喷雾器，甚至可穿戴设备。</w:t>
      </w:r>
    </w:p>
    <w:p>
      <w:pPr>
        <w:pStyle w:val="145"/>
        <w:rPr>
          <w:lang w:eastAsia="zh-CN"/>
        </w:rPr>
      </w:pPr>
      <w:r>
        <w:rPr>
          <w:rFonts w:hint="eastAsia"/>
          <w:lang w:eastAsia="zh-CN"/>
        </w:rPr>
        <w:t>产品范围的扩大：除了解决压力和焦虑之外，还有扩大宠物镇定费洛蒙可以解决的问题范围的趋势。 包括解决攻击性、标记行为和一般行为问题的产品。</w:t>
      </w:r>
    </w:p>
    <w:p>
      <w:pPr>
        <w:pStyle w:val="145"/>
        <w:rPr>
          <w:lang w:eastAsia="zh-CN"/>
        </w:rPr>
      </w:pPr>
      <w:r>
        <w:rPr>
          <w:rFonts w:hint="eastAsia"/>
          <w:lang w:eastAsia="zh-CN"/>
        </w:rPr>
        <w:t>在线零售增长：在线购物的便利性导致宠物镇定费洛蒙产品通过电子商务渠道的供应量增加。 宠物主人可以轻松查找各种选择并在线比较产品，从而促进市场的整体增长。</w:t>
      </w:r>
    </w:p>
    <w:p>
      <w:pPr>
        <w:pStyle w:val="145"/>
        <w:rPr>
          <w:lang w:eastAsia="zh-CN"/>
        </w:rPr>
      </w:pPr>
      <w:r>
        <w:rPr>
          <w:rFonts w:hint="eastAsia"/>
          <w:lang w:eastAsia="zh-CN"/>
        </w:rPr>
        <w:t>天然且不含药物的解决方案：宠物主人偏爱天然且不含药物的解决方案。 信息素产品是影响宠物行为的自然方式，符合这种偏好。</w:t>
      </w:r>
    </w:p>
    <w:p>
      <w:pPr>
        <w:pStyle w:val="148"/>
        <w:rPr>
          <w:lang w:eastAsia="zh-CN"/>
        </w:rPr>
      </w:pPr>
      <w:r>
        <w:rPr>
          <w:rFonts w:hint="eastAsia"/>
          <w:lang w:eastAsia="zh-CN"/>
        </w:rPr>
        <w:t>全球</w:t>
      </w:r>
      <w:r>
        <w:rPr>
          <w:lang w:eastAsia="zh-CN"/>
        </w:rPr>
        <w:t>宠物镇定费洛蒙</w:t>
      </w:r>
      <w:r>
        <w:rPr>
          <w:rFonts w:hint="eastAsia"/>
          <w:lang w:eastAsia="zh-CN"/>
        </w:rPr>
        <w:t>市场前</w:t>
      </w:r>
      <w:r>
        <w:rPr>
          <w:lang w:eastAsia="zh-CN"/>
        </w:rPr>
        <w:t>9</w:t>
      </w:r>
      <w:r>
        <w:rPr>
          <w:rFonts w:hint="eastAsia"/>
          <w:lang w:eastAsia="zh-CN"/>
        </w:rPr>
        <w:t>强生产商排名及市场占有率（持续更新）</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165163302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如上图表/数据，摘自QYResearch最新报告“全球</w:t>
      </w:r>
      <w:r>
        <w:rPr>
          <w:lang w:eastAsia="zh-CN"/>
        </w:rPr>
        <w:t>宠物镇定费洛蒙</w:t>
      </w:r>
      <w:r>
        <w:rPr>
          <w:rFonts w:hint="eastAsia"/>
          <w:lang w:eastAsia="zh-CN"/>
        </w:rPr>
        <w:t>市场研究报告2023-2029</w:t>
      </w:r>
      <w:r>
        <w:rPr>
          <w:lang w:eastAsia="zh-CN"/>
        </w:rPr>
        <w:t>.</w:t>
      </w:r>
    </w:p>
    <w:p>
      <w:pPr>
        <w:pStyle w:val="145"/>
        <w:rPr>
          <w:lang w:eastAsia="zh-CN"/>
        </w:rPr>
      </w:pPr>
      <w:r>
        <w:rPr>
          <w:lang w:eastAsia="zh-CN"/>
        </w:rPr>
        <w:t>根据QYResearch头部企业研究中心调研，全球范围内宠物镇定费洛蒙生产商主要包括FELIWAY (Ceva)、ADAPTIL (Ceva)、Comfort Zone (Central Garden &amp; Pet)、Sentry (PetIQ)等。2022年，全球前三大厂商占有大约71.0%的市场份额</w:t>
      </w:r>
      <w:r>
        <w:rPr>
          <w:rFonts w:hint="eastAsia"/>
          <w:lang w:eastAsia="zh-CN"/>
        </w:rPr>
        <w:t>。</w:t>
      </w:r>
    </w:p>
    <w:p>
      <w:pPr>
        <w:pStyle w:val="148"/>
        <w:rPr>
          <w:lang w:eastAsia="zh-CN"/>
        </w:rPr>
      </w:pPr>
      <w:r>
        <w:rPr>
          <w:lang w:eastAsia="zh-CN"/>
        </w:rPr>
        <w:t>宠物镇定费洛蒙</w:t>
      </w:r>
      <w:r>
        <w:rPr>
          <w:rFonts w:hint="eastAsia"/>
          <w:lang w:eastAsia="zh-CN"/>
        </w:rPr>
        <w:t>，全球市场规模，按产品类型细分，喷雾型处于主导地位</w:t>
      </w:r>
    </w:p>
    <w:p>
      <w:pPr>
        <w:pStyle w:val="145"/>
        <w:rPr>
          <w:lang w:eastAsia="zh-CN"/>
        </w:rPr>
      </w:pPr>
      <w:bookmarkStart w:id="13" w:name="_Hlk157179736"/>
      <w:r>
        <mc:AlternateContent>
          <mc:Choice Requires="wpg">
            <w:drawing>
              <wp:inline distT="0" distB="0" distL="0" distR="0">
                <wp:extent cx="6638290" cy="3059430"/>
                <wp:effectExtent l="0" t="0" r="0" b="7620"/>
                <wp:docPr id="16" name="组合 15"/>
                <wp:cNvGraphicFramePr/>
                <a:graphic xmlns:a="http://schemas.openxmlformats.org/drawingml/2006/main">
                  <a:graphicData uri="http://schemas.microsoft.com/office/word/2010/wordprocessingGroup">
                    <wpg:wgp>
                      <wpg:cNvGrpSpPr/>
                      <wpg:grpSpPr>
                        <a:xfrm>
                          <a:off x="0" y="0"/>
                          <a:ext cx="6638400" cy="3060000"/>
                          <a:chOff x="0" y="0"/>
                          <a:chExt cx="6089688" cy="3407916"/>
                        </a:xfrm>
                      </wpg:grpSpPr>
                      <wpg:graphicFrame>
                        <wpg:cNvPr id="827294294" name="图表 827294294"/>
                        <wpg:cNvFrPr/>
                        <wpg:xfrm>
                          <a:off x="3249706" y="0"/>
                          <a:ext cx="2839982" cy="3385504"/>
                        </wpg:xfrm>
                        <a:graphic>
                          <a:graphicData uri="http://schemas.openxmlformats.org/drawingml/2006/chart">
                            <c:chart xmlns:c="http://schemas.openxmlformats.org/drawingml/2006/chart" xmlns:r="http://schemas.openxmlformats.org/officeDocument/2006/relationships" r:id="rId12"/>
                          </a:graphicData>
                        </a:graphic>
                      </wpg:graphicFrame>
                      <wpg:graphicFrame>
                        <wpg:cNvPr id="1767738366" name="图表 1767738366"/>
                        <wpg:cNvFrPr/>
                        <wpg:xfrm>
                          <a:off x="0" y="22412"/>
                          <a:ext cx="2839982" cy="3385504"/>
                        </wpg:xfrm>
                        <a:graphic>
                          <a:graphicData uri="http://schemas.openxmlformats.org/drawingml/2006/chart">
                            <c:chart xmlns:c="http://schemas.openxmlformats.org/drawingml/2006/chart" xmlns:r="http://schemas.openxmlformats.org/officeDocument/2006/relationships" r:id="rId13"/>
                          </a:graphicData>
                        </a:graphic>
                      </wpg:graphicFrame>
                      <wps:wsp>
                        <wps:cNvPr id="1486165517" name="文本框 18"/>
                        <wps:cNvSpPr txBox="1"/>
                        <wps:spPr>
                          <a:xfrm>
                            <a:off x="1741039" y="208634"/>
                            <a:ext cx="2409263" cy="40341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7.1%, 2023-2029</w:t>
                              </w:r>
                            </w:p>
                          </w:txbxContent>
                        </wps:txbx>
                        <wps:bodyPr wrap="square" rtlCol="0" anchor="ctr"/>
                      </wps:wsp>
                    </wpg:wgp>
                  </a:graphicData>
                </a:graphic>
              </wp:inline>
            </w:drawing>
          </mc:Choice>
          <mc:Fallback>
            <w:pict>
              <v:group id="组合 15" o:spid="_x0000_s1026" o:spt="203" style="height:240.9pt;width:522.7pt;" coordsize="6089688,3407916" o:gfxdata="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">
                <o:lock v:ext="edit" aspectratio="f"/>
                <v:rect id="_x0000_s1026" o:spid="_x0000_s1026" o:spt="75" style="position:absolute;left:3249706;top:0;height:3385504;width:2839982;" coordsize="21600,21600" o:gfxdata="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JDFe/&#10;AAAA4gAAAA8AAAAAAAAAAQAgAAAAIgAAAGRycy9kb3ducmV2LnhtbFBLAQIUABQAAAAIAIdO4kAz&#10;LwWeOwAAADkAAAAQAAAAAAAAAAEAIAAAAA4BAABkcnMvc2hhcGV4bWwueG1sUEsFBgAAAAAGAAYA&#10;WwEAALgDAAAAAA==&#10;">
                  <v:imagedata r:id="rId14" o:title=""/>
                  <o:lock v:ext="edit"/>
                </v:rect>
                <v:rect id="_x0000_s1026" o:spid="_x0000_s1026" o:spt="75" style="position:absolute;left:0;top:22412;height:3385504;width:2839982;" coordsize="21600,21600" o:gfxdata="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v7k&#10;KsEAAADjAAAADwAAAAAAAAABACAAAAAiAAAAZHJzL2Rvd25yZXYueG1sUEsBAhQAFAAAAAgAh07i&#10;QDMvBZ47AAAAOQAAABAAAAAAAAAAAQAgAAAAEAEAAGRycy9zaGFwZXhtbC54bWxQSwUGAAAAAAYA&#10;BgBbAQAAugMAAAAA&#10;">
                  <v:imagedata r:id="rId15" o:title=""/>
                  <o:lock v:ext="edit"/>
                </v:rect>
                <v:shape id="文本框 18" o:spid="_x0000_s1026" o:spt="202" type="#_x0000_t202" style="position:absolute;left:1741039;top:208634;height:403410;width:2409263;v-text-anchor:middle;" filled="f" stroked="f" coordsize="21600,21600" o:gfxdata="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xjcp&#10;wAAAAOMAAAAPAAAAAAAAAAEAIAAAACIAAABkcnMvZG93bnJldi54bWxQSwECFAAUAAAACACHTuJA&#10;My8FnjsAAAA5AAAAEAAAAAAAAAABACAAAAAPAQAAZHJzL3NoYXBleG1sLnhtbFBLBQYAAAAABgAG&#10;AFsBAAC5AwAAAAA=&#10;">
                  <v:fill on="f" focussize="0,0"/>
                  <v:stroke on="f"/>
                  <v:imagedata o:title=""/>
                  <o:lock v:ext="edit" aspectratio="f"/>
                  <v:textbo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7.1%, 2023-2029</w:t>
                        </w:r>
                      </w:p>
                    </w:txbxContent>
                  </v:textbox>
                </v:shape>
                <w10:wrap type="none"/>
                <w10:anchorlock/>
              </v:group>
            </w:pict>
          </mc:Fallback>
        </mc:AlternateContent>
      </w:r>
    </w:p>
    <w:p>
      <w:pPr>
        <w:pStyle w:val="145"/>
        <w:rPr>
          <w:lang w:eastAsia="zh-CN"/>
        </w:rPr>
      </w:pPr>
      <w:r>
        <w:drawing>
          <wp:inline distT="0" distB="0" distL="0" distR="0">
            <wp:extent cx="6188710" cy="2922270"/>
            <wp:effectExtent l="0" t="0" r="2540" b="11430"/>
            <wp:docPr id="9287994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5"/>
        <w:rPr>
          <w:lang w:eastAsia="zh-CN"/>
        </w:rPr>
      </w:pPr>
    </w:p>
    <w:bookmarkEnd w:id="13"/>
    <w:p>
      <w:pPr>
        <w:pStyle w:val="143"/>
        <w:rPr>
          <w:lang w:eastAsia="zh-CN"/>
        </w:rPr>
      </w:pPr>
      <w:r>
        <w:rPr>
          <w:rFonts w:hint="eastAsia"/>
          <w:lang w:eastAsia="zh-CN"/>
        </w:rPr>
        <w:t>如上图表/数据，摘自QYResearch最新报告“全球</w:t>
      </w:r>
      <w:r>
        <w:rPr>
          <w:lang w:eastAsia="zh-CN"/>
        </w:rPr>
        <w:t>宠物镇定费洛蒙</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就产品类型而言，目前喷雾类是最主要的细分产品，占据大约</w:t>
      </w:r>
      <w:r>
        <w:rPr>
          <w:lang w:eastAsia="zh-CN"/>
        </w:rPr>
        <w:t>46.8%</w:t>
      </w:r>
      <w:r>
        <w:rPr>
          <w:rFonts w:hint="eastAsia"/>
          <w:lang w:eastAsia="zh-CN"/>
        </w:rPr>
        <w:t>的份额。</w:t>
      </w:r>
    </w:p>
    <w:p>
      <w:pPr>
        <w:pStyle w:val="145"/>
        <w:rPr>
          <w:lang w:eastAsia="zh-CN"/>
        </w:rPr>
      </w:pPr>
    </w:p>
    <w:p>
      <w:pPr>
        <w:pStyle w:val="148"/>
        <w:rPr>
          <w:lang w:eastAsia="zh-CN"/>
        </w:rPr>
      </w:pPr>
      <w:r>
        <w:rPr>
          <w:lang w:eastAsia="zh-CN"/>
        </w:rPr>
        <w:t>宠物镇定费洛蒙</w:t>
      </w:r>
      <w:r>
        <w:rPr>
          <w:rFonts w:hint="eastAsia"/>
          <w:lang w:eastAsia="zh-CN"/>
        </w:rPr>
        <w:t>，全球市场规模，按应用细分，猫用产品是最大的下游市场，占有</w:t>
      </w:r>
      <w:r>
        <w:rPr>
          <w:lang w:eastAsia="zh-CN"/>
        </w:rPr>
        <w:t>72.4</w:t>
      </w:r>
      <w:r>
        <w:rPr>
          <w:rFonts w:hint="eastAsia"/>
          <w:lang w:eastAsia="zh-CN"/>
        </w:rPr>
        <w:t>%份额。</w:t>
      </w:r>
    </w:p>
    <w:p>
      <w:pPr>
        <w:pStyle w:val="145"/>
      </w:pPr>
      <w:r>
        <mc:AlternateContent>
          <mc:Choice Requires="wpg">
            <w:drawing>
              <wp:inline distT="0" distB="0" distL="0" distR="0">
                <wp:extent cx="6638290" cy="3059430"/>
                <wp:effectExtent l="0" t="0" r="0" b="7620"/>
                <wp:docPr id="12" name="组合 11"/>
                <wp:cNvGraphicFramePr/>
                <a:graphic xmlns:a="http://schemas.openxmlformats.org/drawingml/2006/main">
                  <a:graphicData uri="http://schemas.microsoft.com/office/word/2010/wordprocessingGroup">
                    <wpg:wgp>
                      <wpg:cNvGrpSpPr/>
                      <wpg:grpSpPr>
                        <a:xfrm>
                          <a:off x="0" y="0"/>
                          <a:ext cx="6638659" cy="3060001"/>
                          <a:chOff x="0" y="0"/>
                          <a:chExt cx="6089688" cy="3407916"/>
                        </a:xfrm>
                      </wpg:grpSpPr>
                      <wpg:graphicFrame>
                        <wpg:cNvPr id="1903500216" name="图表 1903500216"/>
                        <wpg:cNvFrPr/>
                        <wpg:xfrm>
                          <a:off x="3249706" y="0"/>
                          <a:ext cx="2839982" cy="3385504"/>
                        </wpg:xfrm>
                        <a:graphic>
                          <a:graphicData uri="http://schemas.openxmlformats.org/drawingml/2006/chart">
                            <c:chart xmlns:c="http://schemas.openxmlformats.org/drawingml/2006/chart" xmlns:r="http://schemas.openxmlformats.org/officeDocument/2006/relationships" r:id="rId17"/>
                          </a:graphicData>
                        </a:graphic>
                      </wpg:graphicFrame>
                      <wpg:graphicFrame>
                        <wpg:cNvPr id="998183059" name="图表 998183059"/>
                        <wpg:cNvFrPr/>
                        <wpg:xfrm>
                          <a:off x="0" y="22412"/>
                          <a:ext cx="2839982" cy="3385504"/>
                        </wpg:xfrm>
                        <a:graphic>
                          <a:graphicData uri="http://schemas.openxmlformats.org/drawingml/2006/chart">
                            <c:chart xmlns:c="http://schemas.openxmlformats.org/drawingml/2006/chart" xmlns:r="http://schemas.openxmlformats.org/officeDocument/2006/relationships" r:id="rId18"/>
                          </a:graphicData>
                        </a:graphic>
                      </wpg:graphicFrame>
                      <wps:wsp>
                        <wps:cNvPr id="1459949040" name="文本框 14"/>
                        <wps:cNvSpPr txBox="1"/>
                        <wps:spPr>
                          <a:xfrm>
                            <a:off x="1741039" y="208634"/>
                            <a:ext cx="2409263" cy="40341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CAGR:7.1%, 2023-2029</w:t>
                              </w:r>
                            </w:p>
                          </w:txbxContent>
                        </wps:txbx>
                        <wps:bodyPr wrap="square" rtlCol="0" anchor="ctr"/>
                      </wps:wsp>
                    </wpg:wgp>
                  </a:graphicData>
                </a:graphic>
              </wp:inline>
            </w:drawing>
          </mc:Choice>
          <mc:Fallback>
            <w:pict>
              <v:group id="组合 11" o:spid="_x0000_s1026" o:spt="203" style="height:240.9pt;width:522.7pt;" coordsize="6089688,3407916" o:gfxdata="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">
                <o:lock v:ext="edit" aspectratio="f"/>
                <v:rect id="_x0000_s1026" o:spid="_x0000_s1026" o:spt="75" style="position:absolute;left:3249706;top:0;height:3385504;width:2839982;" coordsize="21600,21600" o:gfxdata="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VJgq&#10;wAAAAOMAAAAPAAAAAAAAAAEAIAAAACIAAABkcnMvZG93bnJldi54bWxQSwECFAAUAAAACACHTuJA&#10;My8FnjsAAAA5AAAAEAAAAAAAAAABACAAAAAPAQAAZHJzL3NoYXBleG1sLnhtbFBLBQYAAAAABgAG&#10;AFsBAAC5AwAAAAA=&#10;">
                  <v:imagedata r:id="rId19" o:title=""/>
                  <o:lock v:ext="edit"/>
                </v:rect>
                <v:rect id="_x0000_s1026" o:spid="_x0000_s1026" o:spt="75" style="position:absolute;left:0;top:22412;height:3385504;width:2839982;" coordsize="21600,21600" o:gfxdata="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T&#10;ip8twwAAAOIAAAAPAAAAAAAAAAEAIAAAACIAAABkcnMvZG93bnJldi54bWxQSwECFAAUAAAACACH&#10;TuJAMy8FnjsAAAA5AAAAEAAAAAAAAAABACAAAAASAQAAZHJzL3NoYXBleG1sLnhtbFBLBQYAAAAA&#10;BgAGAFsBAAC8AwAAAAA=&#10;">
                  <v:imagedata r:id="rId20" o:title=""/>
                  <o:lock v:ext="edit"/>
                </v:rect>
                <v:shape id="文本框 14" o:spid="_x0000_s1026" o:spt="202" type="#_x0000_t202" style="position:absolute;left:1741039;top:208634;height:403410;width:2409263;v-text-anchor:middle;" filled="f" stroked="f" coordsize="21600,21600" o:gfxdata="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eAUyIcQAAADjAAAADwAAAAAAAAABACAAAAAiAAAAZHJzL2Rvd25yZXYueG1sUEsBAhQAFAAAAAgA&#10;h07iQDMvBZ47AAAAOQAAABAAAAAAAAAAAQAgAAAAEwEAAGRycy9zaGFwZXhtbC54bWxQSwUGAAAA&#10;AAYABgBbAQAAvQMAAAAA&#10;">
                  <v:fill on="f" focussize="0,0"/>
                  <v:stroke on="f"/>
                  <v:imagedata o:title=""/>
                  <o:lock v:ext="edit" aspectratio="f"/>
                  <v:textbo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CAGR:7.1%, 2023-2029</w:t>
                        </w:r>
                      </w:p>
                    </w:txbxContent>
                  </v:textbox>
                </v:shape>
                <w10:wrap type="none"/>
                <w10:anchorlock/>
              </v:group>
            </w:pict>
          </mc:Fallback>
        </mc:AlternateContent>
      </w:r>
    </w:p>
    <w:p>
      <w:pPr>
        <w:pStyle w:val="145"/>
      </w:pPr>
      <w:r>
        <w:drawing>
          <wp:inline distT="0" distB="0" distL="0" distR="0">
            <wp:extent cx="6188710" cy="2922270"/>
            <wp:effectExtent l="0" t="0" r="2540" b="11430"/>
            <wp:docPr id="42113448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pPr>
        <w:pStyle w:val="143"/>
        <w:rPr>
          <w:lang w:eastAsia="zh-CN"/>
        </w:rPr>
      </w:pPr>
      <w:r>
        <w:rPr>
          <w:rFonts w:hint="eastAsia"/>
          <w:lang w:eastAsia="zh-CN"/>
        </w:rPr>
        <w:t>如上图表/数据，摘自QYResearch最新报告“全球</w:t>
      </w:r>
      <w:r>
        <w:rPr>
          <w:lang w:eastAsia="zh-CN"/>
        </w:rPr>
        <w:t>宠物镇定费洛蒙</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就产品类型而言，目前猫用产品是最主要的需求来源，占据大约</w:t>
      </w:r>
      <w:r>
        <w:rPr>
          <w:lang w:eastAsia="zh-CN"/>
        </w:rPr>
        <w:t>72.4%</w:t>
      </w:r>
      <w:r>
        <w:rPr>
          <w:rFonts w:hint="eastAsia"/>
          <w:lang w:eastAsia="zh-CN"/>
        </w:rPr>
        <w:t>的份额。</w:t>
      </w:r>
    </w:p>
    <w:p>
      <w:pPr>
        <w:pStyle w:val="143"/>
        <w:rPr>
          <w:lang w:eastAsia="zh-CN"/>
        </w:rPr>
      </w:pPr>
    </w:p>
    <w:p>
      <w:pPr>
        <w:pStyle w:val="167"/>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 w:hRule="atLeast"/>
        </w:trPr>
        <w:tc>
          <w:tcPr>
            <w:tcW w:w="5000" w:type="pct"/>
            <w:vAlign w:val="center"/>
          </w:tcPr>
          <w:p>
            <w:pPr>
              <w:rPr>
                <w:rFonts w:cs="Times New Roman"/>
                <w:kern w:val="0"/>
                <w:sz w:val="20"/>
                <w:szCs w:val="20"/>
              </w:rPr>
            </w:pPr>
            <w:r>
              <w:rPr>
                <w:rFonts w:hint="eastAsia" w:cs="Times New Roman"/>
                <w:kern w:val="0"/>
                <w:sz w:val="20"/>
                <w:szCs w:val="20"/>
              </w:rPr>
              <w:t>妥锐</w:t>
            </w:r>
            <w:r>
              <w:rPr>
                <w:rFonts w:cs="Times New Roman"/>
                <w:kern w:val="0"/>
                <w:sz w:val="20"/>
                <w:szCs w:val="20"/>
              </w:rPr>
              <w:t xml:space="preserve"> – </w:t>
            </w:r>
            <w:r>
              <w:rPr>
                <w:rFonts w:hint="eastAsia" w:cs="Times New Roman"/>
                <w:kern w:val="0"/>
                <w:sz w:val="20"/>
                <w:szCs w:val="20"/>
              </w:rPr>
              <w:t>本文主要分析师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 w:hRule="atLeast"/>
        </w:trPr>
        <w:tc>
          <w:tcPr>
            <w:tcW w:w="5000" w:type="pct"/>
            <w:vAlign w:val="center"/>
          </w:tcPr>
          <w:p>
            <w:pPr>
              <w:rPr>
                <w:rFonts w:cs="Times New Roman"/>
                <w:kern w:val="0"/>
                <w:sz w:val="20"/>
                <w:szCs w:val="20"/>
              </w:rPr>
            </w:pPr>
          </w:p>
        </w:tc>
      </w:tr>
    </w:tbl>
    <w:p>
      <w:pPr>
        <w:pStyle w:val="167"/>
        <w:rPr>
          <w:lang w:eastAsia="zh-CN"/>
        </w:rPr>
      </w:pPr>
      <w:bookmarkStart w:id="20" w:name="_GoBack"/>
      <w:r>
        <w:rPr>
          <w:lang w:eastAsia="zh-CN"/>
        </w:rPr>
        <w:t>QYResearch</w:t>
      </w:r>
      <w:r>
        <w:rPr>
          <w:rFonts w:hint="eastAsia"/>
          <w:lang w:eastAsia="zh-CN"/>
        </w:rPr>
        <w:t>企业简介</w:t>
      </w:r>
    </w:p>
    <w:bookmarkEnd w:id="20"/>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4" w:name="_Hlk149300688"/>
    <w:bookmarkStart w:id="15" w:name="_Hlk149300692"/>
    <w:bookmarkStart w:id="16" w:name="_Hlk149300689"/>
    <w:bookmarkStart w:id="17" w:name="_Hlk149300690"/>
    <w:bookmarkStart w:id="18" w:name="_Hlk149300691"/>
    <w:bookmarkStart w:id="19" w:name="_Hlk149300687"/>
    <w:r>
      <w:t>Copyright © QYResearch | market@qyresearch.com | www.qyresearch.com</w:t>
    </w:r>
    <w:bookmarkEnd w:id="14"/>
    <w:bookmarkEnd w:id="15"/>
    <w:bookmarkEnd w:id="16"/>
    <w:bookmarkEnd w:id="17"/>
    <w:bookmarkEnd w:id="18"/>
    <w:bookmarkEnd w:id="19"/>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2336"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02A"/>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30D"/>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3B7"/>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AF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17FC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26D"/>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4B85"/>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2E10"/>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384"/>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87"/>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608"/>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4E6"/>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67D2D"/>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AA2"/>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1D"/>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2AE"/>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83"/>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64A"/>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33B"/>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72F"/>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79"/>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1DE2"/>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A7C7D"/>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A60"/>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3D4"/>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EAE"/>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97"/>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DC1"/>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27C"/>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8B02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autoRedefine/>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uiPriority w:val="99"/>
    <w:rPr>
      <w:color w:val="605E5C"/>
      <w:shd w:val="clear" w:color="auto" w:fill="E1DFDD"/>
    </w:rPr>
  </w:style>
  <w:style w:type="character" w:customStyle="1" w:styleId="138">
    <w:name w:val="Bold text_1 Char"/>
    <w:link w:val="24"/>
    <w:autoRedefine/>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chart" Target="charts/chart8.xml"/><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chart" Target="charts/chart7.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18010\Desktop\&#35266;&#28857;&#25490;&#21517;\&#23456;&#29289;&#20449;&#24687;&#32032;&#35266;&#28857;\&#23456;&#29289;&#20449;&#24687;&#32032;&#35266;&#28857;&#25968;&#25454;&#22270;&#34920;&#27169;&#26495;&#20013;&#2599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18010\Desktop\&#23456;&#29289;&#20449;&#24687;&#32032;&#35266;&#28857;&#25968;&#25454;&#22270;&#34920;&#27169;&#26495;.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18010\Desktop\&#23456;&#29289;&#20449;&#24687;&#32032;&#35266;&#28857;&#25968;&#25454;&#22270;&#34920;&#27169;&#26495;&#20013;&#25991;.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18010\Desktop\&#23456;&#29289;&#20449;&#24687;&#32032;&#35266;&#28857;&#25968;&#25454;&#22270;&#34920;&#27169;&#26495;&#20013;&#2599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18010\Desktop\&#23456;&#29289;&#20449;&#24687;&#32032;&#35266;&#28857;&#25968;&#25454;&#22270;&#34920;&#27169;&#26495;&#20013;&#25991;.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18010\Desktop\&#23456;&#29289;&#20449;&#24687;&#32032;&#35266;&#28857;&#25968;&#25454;&#22270;&#34920;&#27169;&#26495;&#20013;&#2599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18010\Desktop\&#23456;&#29289;&#20449;&#24687;&#32032;&#35266;&#28857;&#25968;&#25454;&#22270;&#34920;&#27169;&#26495;&#20013;&#2599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18010\Desktop\&#23456;&#29289;&#20449;&#24687;&#32032;&#35266;&#28857;&#25968;&#25454;&#22270;&#34920;&#27169;&#26495;&#20013;&#2599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101820801093785"/>
          <c:y val="0.0743906508300871"/>
          <c:w val="0.845512387307458"/>
          <c:h val="0.794607567572072"/>
        </c:manualLayout>
      </c:layout>
      <c:barChart>
        <c:barDir val="col"/>
        <c:grouping val="clustered"/>
        <c:varyColors val="0"/>
        <c:ser>
          <c:idx val="0"/>
          <c:order val="0"/>
          <c:tx>
            <c:strRef>
              <c:f>全球总体!$A$12</c:f>
              <c:strCache>
                <c:ptCount val="1"/>
                <c:pt idx="0">
                  <c:v>全球规模（百万美元</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dLbl>
              <c:idx val="0"/>
              <c:delete val="1"/>
            </c:dLbl>
            <c:dLbl>
              <c:idx val="1"/>
              <c:delete val="1"/>
            </c:dLbl>
            <c:dLbl>
              <c:idx val="2"/>
              <c:delete val="1"/>
            </c:dLbl>
            <c:dLbl>
              <c:idx val="3"/>
              <c:delete val="1"/>
            </c:dLbl>
            <c:dLbl>
              <c:idx val="4"/>
              <c:layout/>
              <c:dLblPos val="outEnd"/>
              <c:showLegendKey val="0"/>
              <c:showVal val="1"/>
              <c:showCatName val="0"/>
              <c:showSerName val="0"/>
              <c:showPercent val="0"/>
              <c:showBubbleSize val="0"/>
              <c:extLst>
                <c:ext xmlns:c15="http://schemas.microsoft.com/office/drawing/2012/chart" uri="{CE6537A1-D6FC-4f65-9D91-7224C49458BB}"/>
              </c:extLst>
            </c:dLbl>
            <c:dLbl>
              <c:idx val="5"/>
              <c:delete val="1"/>
            </c:dLbl>
            <c:dLbl>
              <c:idx val="6"/>
              <c:delete val="1"/>
            </c:dLbl>
            <c:dLbl>
              <c:idx val="7"/>
              <c:delete val="1"/>
            </c:dLbl>
            <c:dLbl>
              <c:idx val="8"/>
              <c:delete val="1"/>
            </c:dLbl>
            <c:dLbl>
              <c:idx val="9"/>
              <c:delete val="1"/>
            </c:dLbl>
            <c:dLbl>
              <c:idx val="10"/>
              <c:delete val="1"/>
            </c:dLbl>
            <c:dLbl>
              <c:idx val="11"/>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全球总体!$B$7:$M$7</c:f>
              <c:strCache>
                <c:ptCount val="12"/>
                <c:pt idx="0">
                  <c:v>2018</c:v>
                </c:pt>
                <c:pt idx="1">
                  <c:v>2019</c:v>
                </c:pt>
                <c:pt idx="2">
                  <c:v>2020</c:v>
                </c:pt>
                <c:pt idx="3">
                  <c:v>2021</c:v>
                </c:pt>
                <c:pt idx="4">
                  <c:v>2022</c:v>
                </c:pt>
                <c:pt idx="5">
                  <c:v>2023e</c:v>
                </c:pt>
                <c:pt idx="6">
                  <c:v>2024f</c:v>
                </c:pt>
                <c:pt idx="7">
                  <c:v>2025f</c:v>
                </c:pt>
                <c:pt idx="8">
                  <c:v>2026f</c:v>
                </c:pt>
                <c:pt idx="9">
                  <c:v>2027f</c:v>
                </c:pt>
                <c:pt idx="10">
                  <c:v>2028f</c:v>
                </c:pt>
                <c:pt idx="11">
                  <c:v>2029f</c:v>
                </c:pt>
              </c:strCache>
            </c:strRef>
          </c:cat>
          <c:val>
            <c:numRef>
              <c:f>全球总体!$B$12:$M$12</c:f>
              <c:numCache>
                <c:formatCode>#,##0_ </c:formatCode>
                <c:ptCount val="12"/>
                <c:pt idx="0">
                  <c:v>142.76</c:v>
                </c:pt>
                <c:pt idx="1">
                  <c:v>164.54</c:v>
                </c:pt>
                <c:pt idx="2">
                  <c:v>180.42</c:v>
                </c:pt>
                <c:pt idx="3">
                  <c:v>207.78</c:v>
                </c:pt>
                <c:pt idx="4">
                  <c:v>222.76</c:v>
                </c:pt>
                <c:pt idx="5">
                  <c:v>230.75</c:v>
                </c:pt>
                <c:pt idx="6">
                  <c:v>246.2</c:v>
                </c:pt>
                <c:pt idx="7">
                  <c:v>263.25</c:v>
                </c:pt>
                <c:pt idx="8">
                  <c:v>282.99</c:v>
                </c:pt>
                <c:pt idx="9">
                  <c:v>298.49</c:v>
                </c:pt>
                <c:pt idx="10">
                  <c:v>323.27</c:v>
                </c:pt>
                <c:pt idx="11">
                  <c:v>347.3</c:v>
                </c:pt>
              </c:numCache>
            </c:numRef>
          </c:val>
        </c:ser>
        <c:dLbls>
          <c:showLegendKey val="0"/>
          <c:showVal val="0"/>
          <c:showCatName val="0"/>
          <c:showSerName val="0"/>
          <c:showPercent val="0"/>
          <c:showBubbleSize val="0"/>
        </c:dLbls>
        <c:gapWidth val="25"/>
        <c:axId val="-1322419456"/>
        <c:axId val="-1322431424"/>
      </c:bar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Book Antiqua" panose="02040602050305030304" pitchFamily="1" charset="0"/>
                <a:ea typeface="+mn-ea"/>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0_ " sourceLinked="1"/>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Book Antiqua" panose="02040602050305030304" pitchFamily="1" charset="0"/>
                <a:ea typeface="+mn-ea"/>
                <a:cs typeface="+mn-cs"/>
              </a:defRPr>
            </a:pPr>
          </a:p>
        </c:txPr>
        <c:crossAx val="-1322419456"/>
        <c:crosses val="autoZero"/>
        <c:crossBetween val="between"/>
      </c:valAx>
      <c:spPr>
        <a:ln>
          <a:noFill/>
        </a:ln>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Book Antiqua" panose="02040602050305030304" pitchFamily="1" charset="0"/>
              <a:ea typeface="+mn-ea"/>
              <a:cs typeface="+mn-cs"/>
            </a:defRPr>
          </a:pPr>
        </a:p>
      </c:txPr>
    </c:legend>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Lbls>
            <c:delete val="1"/>
          </c:dLbls>
          <c:cat>
            <c:strRef>
              <c:f>企业排序!$F$2:$F$10</c:f>
              <c:strCache>
                <c:ptCount val="9"/>
                <c:pt idx="0">
                  <c:v>FELIWAY (Ceva)</c:v>
                </c:pt>
                <c:pt idx="1">
                  <c:v>ADAPTIL (Ceva)</c:v>
                </c:pt>
                <c:pt idx="2">
                  <c:v>Comfort Zone (Central Garden &amp; Pet)</c:v>
                </c:pt>
                <c:pt idx="3">
                  <c:v>Sentry (PetIQ)</c:v>
                </c:pt>
                <c:pt idx="4">
                  <c:v>ThunderWorks (Ceva)</c:v>
                </c:pt>
                <c:pt idx="5">
                  <c:v>Nature's Miracle (Spectrum Brands)</c:v>
                </c:pt>
                <c:pt idx="6">
                  <c:v>ZENIDOG (Virbac)</c:v>
                </c:pt>
                <c:pt idx="7">
                  <c:v>Beaphar</c:v>
                </c:pt>
                <c:pt idx="8">
                  <c:v>小壳</c:v>
                </c:pt>
              </c:strCache>
            </c:strRef>
          </c:cat>
          <c:val>
            <c:numRef>
              <c:f>企业排序!$G$2:$G$10</c:f>
              <c:numCache>
                <c:formatCode>#,##0.00_ </c:formatCode>
                <c:ptCount val="9"/>
                <c:pt idx="0">
                  <c:v>75.08</c:v>
                </c:pt>
                <c:pt idx="1">
                  <c:v>42.98</c:v>
                </c:pt>
                <c:pt idx="2">
                  <c:v>39.09</c:v>
                </c:pt>
                <c:pt idx="3">
                  <c:v>13.21</c:v>
                </c:pt>
                <c:pt idx="4">
                  <c:v>7.99</c:v>
                </c:pt>
                <c:pt idx="5">
                  <c:v>6.01</c:v>
                </c:pt>
                <c:pt idx="6">
                  <c:v>5.8</c:v>
                </c:pt>
                <c:pt idx="7">
                  <c:v>4.18</c:v>
                </c:pt>
                <c:pt idx="8">
                  <c:v>2.57</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8725452196382"/>
          <c:y val="0.469304340045449"/>
        </c:manualLayout>
      </c:layout>
      <c:overlay val="0"/>
      <c:spPr>
        <a:noFill/>
        <a:ln>
          <a:noFill/>
        </a:ln>
        <a:effectLst/>
      </c:spPr>
    </c:title>
    <c:autoTitleDeleted val="0"/>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分类!$R$2:$R$5</c:f>
              <c:strCache>
                <c:ptCount val="4"/>
                <c:pt idx="0">
                  <c:v>喷雾</c:v>
                </c:pt>
                <c:pt idx="1">
                  <c:v>扩散器</c:v>
                </c:pt>
                <c:pt idx="2">
                  <c:v>项圈</c:v>
                </c:pt>
                <c:pt idx="3">
                  <c:v>其他</c:v>
                </c:pt>
              </c:strCache>
            </c:strRef>
          </c:cat>
          <c:val>
            <c:numRef>
              <c:f>分类!$AG$2:$AG$5</c:f>
              <c:numCache>
                <c:formatCode>0.0%</c:formatCode>
                <c:ptCount val="4"/>
                <c:pt idx="0">
                  <c:v>0.455485171321624</c:v>
                </c:pt>
                <c:pt idx="1">
                  <c:v>0.348114022458969</c:v>
                </c:pt>
                <c:pt idx="2">
                  <c:v>0.158105384393896</c:v>
                </c:pt>
                <c:pt idx="3">
                  <c:v>0.0382954218255111</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1731266149871"/>
          <c:y val="0.481837746013324"/>
        </c:manualLayout>
      </c:layout>
      <c:overlay val="0"/>
      <c:spPr>
        <a:noFill/>
        <a:ln>
          <a:noFill/>
        </a:ln>
        <a:effectLst/>
      </c:spPr>
    </c:title>
    <c:autoTitleDeleted val="0"/>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分类!$R$2:$R$5</c:f>
              <c:strCache>
                <c:ptCount val="4"/>
                <c:pt idx="0">
                  <c:v>喷雾</c:v>
                </c:pt>
                <c:pt idx="1">
                  <c:v>扩散器</c:v>
                </c:pt>
                <c:pt idx="2">
                  <c:v>项圈</c:v>
                </c:pt>
                <c:pt idx="3">
                  <c:v>其他</c:v>
                </c:pt>
              </c:strCache>
            </c:strRef>
          </c:cat>
          <c:val>
            <c:numRef>
              <c:f>分类!$AF$2:$AF$5</c:f>
              <c:numCache>
                <c:formatCode>0.0%</c:formatCode>
                <c:ptCount val="4"/>
                <c:pt idx="0">
                  <c:v>0.468037349613934</c:v>
                </c:pt>
                <c:pt idx="1">
                  <c:v>0.316484108457533</c:v>
                </c:pt>
                <c:pt idx="2">
                  <c:v>0.1691955467768</c:v>
                </c:pt>
                <c:pt idx="3">
                  <c:v>0.0462829951517328</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喷雾</c:v>
                </c:pt>
              </c:strCache>
            </c:strRef>
          </c:tx>
          <c:spPr>
            <a:solidFill>
              <a:schemeClr val="accent1"/>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65.89</c:v>
                </c:pt>
                <c:pt idx="1">
                  <c:v>76.79</c:v>
                </c:pt>
                <c:pt idx="2">
                  <c:v>81.36</c:v>
                </c:pt>
                <c:pt idx="3">
                  <c:v>91.67</c:v>
                </c:pt>
                <c:pt idx="4">
                  <c:v>104.26</c:v>
                </c:pt>
                <c:pt idx="5">
                  <c:v>106.15</c:v>
                </c:pt>
                <c:pt idx="6">
                  <c:v>115.42</c:v>
                </c:pt>
                <c:pt idx="7">
                  <c:v>123.22</c:v>
                </c:pt>
                <c:pt idx="8">
                  <c:v>130.17</c:v>
                </c:pt>
                <c:pt idx="9">
                  <c:v>137.12</c:v>
                </c:pt>
                <c:pt idx="10">
                  <c:v>148.21</c:v>
                </c:pt>
                <c:pt idx="11">
                  <c:v>158.19</c:v>
                </c:pt>
              </c:numCache>
            </c:numRef>
          </c:val>
        </c:ser>
        <c:ser>
          <c:idx val="1"/>
          <c:order val="1"/>
          <c:tx>
            <c:strRef>
              <c:f>分类!$A$3</c:f>
              <c:strCache>
                <c:ptCount val="1"/>
                <c:pt idx="0">
                  <c:v>扩散器</c:v>
                </c:pt>
              </c:strCache>
            </c:strRef>
          </c:tx>
          <c:spPr>
            <a:solidFill>
              <a:schemeClr val="accent2"/>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#,##0_);[Red]\(#,##0\)</c:formatCode>
                <c:ptCount val="12"/>
                <c:pt idx="0">
                  <c:v>44.64</c:v>
                </c:pt>
                <c:pt idx="1">
                  <c:v>51.78</c:v>
                </c:pt>
                <c:pt idx="2">
                  <c:v>58.93</c:v>
                </c:pt>
                <c:pt idx="3">
                  <c:v>69.05</c:v>
                </c:pt>
                <c:pt idx="4">
                  <c:v>70.5</c:v>
                </c:pt>
                <c:pt idx="5">
                  <c:v>74.3</c:v>
                </c:pt>
                <c:pt idx="6">
                  <c:v>76.25</c:v>
                </c:pt>
                <c:pt idx="7">
                  <c:v>83.95</c:v>
                </c:pt>
                <c:pt idx="8">
                  <c:v>95</c:v>
                </c:pt>
                <c:pt idx="9">
                  <c:v>101.52</c:v>
                </c:pt>
                <c:pt idx="10">
                  <c:v>109.98</c:v>
                </c:pt>
                <c:pt idx="11">
                  <c:v>120.9</c:v>
                </c:pt>
              </c:numCache>
            </c:numRef>
          </c:val>
        </c:ser>
        <c:ser>
          <c:idx val="2"/>
          <c:order val="2"/>
          <c:tx>
            <c:strRef>
              <c:f>分类!$A$4</c:f>
              <c:strCache>
                <c:ptCount val="1"/>
                <c:pt idx="0">
                  <c:v>项圈</c:v>
                </c:pt>
              </c:strCache>
            </c:strRef>
          </c:tx>
          <c:spPr>
            <a:solidFill>
              <a:schemeClr val="accent3"/>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分类!$B$4:$M$4</c:f>
              <c:numCache>
                <c:formatCode>#,##0_);[Red]\(#,##0\)</c:formatCode>
                <c:ptCount val="12"/>
                <c:pt idx="0">
                  <c:v>25.68</c:v>
                </c:pt>
                <c:pt idx="1">
                  <c:v>28.66</c:v>
                </c:pt>
                <c:pt idx="2">
                  <c:v>31.83</c:v>
                </c:pt>
                <c:pt idx="3">
                  <c:v>37.34</c:v>
                </c:pt>
                <c:pt idx="4">
                  <c:v>37.69</c:v>
                </c:pt>
                <c:pt idx="5">
                  <c:v>39.94</c:v>
                </c:pt>
                <c:pt idx="6">
                  <c:v>40.55</c:v>
                </c:pt>
                <c:pt idx="7">
                  <c:v>44.65</c:v>
                </c:pt>
                <c:pt idx="8">
                  <c:v>45.79</c:v>
                </c:pt>
                <c:pt idx="9">
                  <c:v>47.85</c:v>
                </c:pt>
                <c:pt idx="10">
                  <c:v>52.18</c:v>
                </c:pt>
                <c:pt idx="11">
                  <c:v>54.91</c:v>
                </c:pt>
              </c:numCache>
            </c:numRef>
          </c:val>
        </c:ser>
        <c:ser>
          <c:idx val="3"/>
          <c:order val="3"/>
          <c:tx>
            <c:strRef>
              <c:f>分类!$A$5</c:f>
              <c:strCache>
                <c:ptCount val="1"/>
                <c:pt idx="0">
                  <c:v>其他</c:v>
                </c:pt>
              </c:strCache>
            </c:strRef>
          </c:tx>
          <c:spPr>
            <a:solidFill>
              <a:schemeClr val="accent4"/>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分类!$B$5:$M$5</c:f>
              <c:numCache>
                <c:formatCode>#,##0_);[Red]\(#,##0\)</c:formatCode>
                <c:ptCount val="12"/>
                <c:pt idx="0">
                  <c:v>6.55</c:v>
                </c:pt>
                <c:pt idx="1">
                  <c:v>7.31</c:v>
                </c:pt>
                <c:pt idx="2">
                  <c:v>8.3</c:v>
                </c:pt>
                <c:pt idx="3">
                  <c:v>9.72</c:v>
                </c:pt>
                <c:pt idx="4">
                  <c:v>10.31</c:v>
                </c:pt>
                <c:pt idx="5">
                  <c:v>10.36</c:v>
                </c:pt>
                <c:pt idx="6">
                  <c:v>10.98</c:v>
                </c:pt>
                <c:pt idx="7">
                  <c:v>11.43</c:v>
                </c:pt>
                <c:pt idx="8">
                  <c:v>11.97</c:v>
                </c:pt>
                <c:pt idx="9">
                  <c:v>12</c:v>
                </c:pt>
                <c:pt idx="10">
                  <c:v>13.3</c:v>
                </c:pt>
                <c:pt idx="11">
                  <c:v>13.3</c:v>
                </c:pt>
              </c:numCache>
            </c:numRef>
          </c:val>
        </c:ser>
        <c:ser>
          <c:idx val="4"/>
          <c:order val="4"/>
          <c:tx>
            <c:strRef>
              <c:f>分类!$A$6</c:f>
              <c:strCache>
                <c:ptCount val="1"/>
                <c:pt idx="0">
                  <c:v/>
                </c:pt>
              </c:strCache>
            </c:strRef>
          </c:tx>
          <c:spPr>
            <a:solidFill>
              <a:schemeClr val="accent5"/>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分类!$B$6:$M$6</c:f>
            </c:numRef>
          </c:val>
        </c:ser>
        <c:ser>
          <c:idx val="5"/>
          <c:order val="5"/>
          <c:tx>
            <c:strRef>
              <c:f>分类!$A$7</c:f>
              <c:strCache>
                <c:ptCount val="1"/>
                <c:pt idx="0">
                  <c:v/>
                </c:pt>
              </c:strCache>
            </c:strRef>
          </c:tx>
          <c:spPr>
            <a:solidFill>
              <a:schemeClr val="accent6"/>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分类!$B$7:$M$7</c:f>
            </c:numRef>
          </c:val>
        </c:ser>
        <c:ser>
          <c:idx val="6"/>
          <c:order val="6"/>
          <c:tx>
            <c:strRef>
              <c:f>分类!$A$8</c:f>
              <c:strCache>
                <c:ptCount val="1"/>
                <c:pt idx="0">
                  <c:v/>
                </c:pt>
              </c:strCache>
            </c:strRef>
          </c:tx>
          <c:spPr>
            <a:solidFill>
              <a:schemeClr val="accent1">
                <a:lumMod val="6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分类!$B$8:$M$8</c:f>
            </c:numRef>
          </c:val>
        </c:ser>
        <c:ser>
          <c:idx val="7"/>
          <c:order val="7"/>
          <c:tx>
            <c:strRef>
              <c:f>分类!$A$9</c:f>
              <c:strCache>
                <c:ptCount val="1"/>
                <c:pt idx="0">
                  <c:v/>
                </c:pt>
              </c:strCache>
            </c:strRef>
          </c:tx>
          <c:spPr>
            <a:solidFill>
              <a:schemeClr val="accent2">
                <a:lumMod val="6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分类!$B$9:$M$9</c:f>
            </c:numRef>
          </c:val>
        </c:ser>
        <c:ser>
          <c:idx val="8"/>
          <c:order val="8"/>
          <c:tx>
            <c:strRef>
              <c:f>分类!$A$10</c:f>
              <c:strCache>
                <c:ptCount val="1"/>
                <c:pt idx="0">
                  <c:v/>
                </c:pt>
              </c:strCache>
            </c:strRef>
          </c:tx>
          <c:spPr>
            <a:solidFill>
              <a:schemeClr val="accent3">
                <a:lumMod val="6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分类!$A$11</c:f>
              <c:strCache>
                <c:ptCount val="1"/>
                <c:pt idx="0">
                  <c:v>总体</c:v>
                </c:pt>
              </c:strCache>
            </c:strRef>
          </c:tx>
          <c:spPr>
            <a:ln w="28575" cap="rnd">
              <a:solidFill>
                <a:schemeClr val="accent4">
                  <a:lumMod val="60000"/>
                </a:schemeClr>
              </a:solidFill>
              <a:round/>
            </a:ln>
            <a:effectLst/>
          </c:spPr>
          <c:marker>
            <c:symbol val="circle"/>
            <c:size val="5"/>
            <c:spPr>
              <a:solidFill>
                <a:schemeClr val="accent4">
                  <a:lumMod val="60000"/>
                </a:schemeClr>
              </a:solidFill>
              <a:ln w="9525">
                <a:solidFill>
                  <a:schemeClr val="accent4">
                    <a:lumMod val="60000"/>
                  </a:schemeClr>
                </a:solidFill>
              </a:ln>
              <a:effectLst/>
            </c:spPr>
          </c:marker>
          <c:dLbls>
            <c:dLbl>
              <c:idx val="0"/>
              <c:delete val="1"/>
            </c:dLbl>
            <c:dLbl>
              <c:idx val="1"/>
              <c:delete val="1"/>
            </c:dLbl>
            <c:dLbl>
              <c:idx val="2"/>
              <c:delete val="1"/>
            </c:dLbl>
            <c:dLbl>
              <c:idx val="3"/>
              <c:delete val="1"/>
            </c:dLbl>
            <c:dLbl>
              <c:idx val="4"/>
              <c:layout>
                <c:manualLayout>
                  <c:x val="-0.0307818592242971"/>
                  <c:y val="-0.0521512385919166"/>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5"/>
              <c:delete val="1"/>
            </c:dLbl>
            <c:dLbl>
              <c:idx val="6"/>
              <c:delete val="1"/>
            </c:dLbl>
            <c:dLbl>
              <c:idx val="7"/>
              <c:delete val="1"/>
            </c:dLbl>
            <c:dLbl>
              <c:idx val="8"/>
              <c:delete val="1"/>
            </c:dLbl>
            <c:dLbl>
              <c:idx val="9"/>
              <c:delete val="1"/>
            </c:dLbl>
            <c:dLbl>
              <c:idx val="10"/>
              <c:delete val="1"/>
            </c:dLbl>
            <c:dLbl>
              <c:idx val="11"/>
              <c:layout>
                <c:manualLayout>
                  <c:x val="-0.0307818592242971"/>
                  <c:y val="-0.0391134289439374"/>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142.76</c:v>
                </c:pt>
                <c:pt idx="1">
                  <c:v>164.54</c:v>
                </c:pt>
                <c:pt idx="2">
                  <c:v>180.42</c:v>
                </c:pt>
                <c:pt idx="3">
                  <c:v>207.78</c:v>
                </c:pt>
                <c:pt idx="4">
                  <c:v>222.76</c:v>
                </c:pt>
                <c:pt idx="5">
                  <c:v>230.75</c:v>
                </c:pt>
                <c:pt idx="6">
                  <c:v>243.2</c:v>
                </c:pt>
                <c:pt idx="7">
                  <c:v>263.25</c:v>
                </c:pt>
                <c:pt idx="8">
                  <c:v>282.93</c:v>
                </c:pt>
                <c:pt idx="9">
                  <c:v>298.49</c:v>
                </c:pt>
                <c:pt idx="10">
                  <c:v>323.67</c:v>
                </c:pt>
                <c:pt idx="11">
                  <c:v>347.3</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solidFill>
                <a:schemeClr val="tx1">
                  <a:lumMod val="15000"/>
                  <a:lumOff val="85000"/>
                </a:schemeClr>
              </a:solidFill>
              <a:round/>
            </a:ln>
            <a:effectLst/>
          </c:spPr>
        </c:majorGridlines>
        <c:numFmt formatCode="#,##0_);[Red]\(#,##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81920"/>
        <c:crosses val="autoZero"/>
        <c:crossBetween val="between"/>
      </c:valAx>
      <c:catAx>
        <c:axId val="2101602720"/>
        <c:scaling>
          <c:orientation val="minMax"/>
        </c:scaling>
        <c:delete val="1"/>
        <c:axPos val="t"/>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max"/>
        <c:auto val="1"/>
        <c:lblAlgn val="ctr"/>
        <c:lblOffset val="100"/>
        <c:noMultiLvlLbl val="0"/>
      </c:catAx>
      <c:valAx>
        <c:axId val="2101608960"/>
        <c:scaling>
          <c:orientation val="minMax"/>
        </c:scaling>
        <c:delete val="1"/>
        <c:axPos val="r"/>
        <c:numFmt formatCode="0.0%" sourceLinked="0"/>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2720"/>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8725452196382"/>
          <c:y val="0.385748300259616"/>
        </c:manualLayout>
      </c:layout>
      <c:overlay val="0"/>
      <c:spPr>
        <a:noFill/>
        <a:ln>
          <a:noFill/>
        </a:ln>
        <a:effectLst/>
      </c:spPr>
    </c:title>
    <c:autoTitleDeleted val="0"/>
    <c:plotArea>
      <c:layout/>
      <c:doughnutChart>
        <c:varyColors val="1"/>
        <c:ser>
          <c:idx val="0"/>
          <c:order val="0"/>
          <c:tx>
            <c:strRef>
              <c:f>应用!$AG$1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应用!$R$2:$R$4</c:f>
              <c:strCache>
                <c:ptCount val="3"/>
                <c:pt idx="0">
                  <c:v>猫用</c:v>
                </c:pt>
                <c:pt idx="1">
                  <c:v>狗用</c:v>
                </c:pt>
                <c:pt idx="2">
                  <c:v>其他</c:v>
                </c:pt>
              </c:strCache>
            </c:strRef>
          </c:cat>
          <c:val>
            <c:numRef>
              <c:f>应用!$AG$2:$AG$4</c:f>
              <c:numCache>
                <c:formatCode>0.0%</c:formatCode>
                <c:ptCount val="3"/>
                <c:pt idx="0">
                  <c:v>0.70570112294846</c:v>
                </c:pt>
                <c:pt idx="1">
                  <c:v>0.283587676360495</c:v>
                </c:pt>
                <c:pt idx="2">
                  <c:v>0.0107112006910452</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5833333333333"/>
          <c:y val="0.389926102248908"/>
        </c:manualLayout>
      </c:layout>
      <c:overlay val="0"/>
      <c:spPr>
        <a:noFill/>
        <a:ln>
          <a:noFill/>
        </a:ln>
        <a:effectLst/>
      </c:spPr>
    </c:title>
    <c:autoTitleDeleted val="0"/>
    <c:plotArea>
      <c:layout/>
      <c:doughnutChart>
        <c:varyColors val="1"/>
        <c:ser>
          <c:idx val="0"/>
          <c:order val="0"/>
          <c:tx>
            <c:strRef>
              <c:f>应用!$AF$1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应用!$R$2:$R$4</c:f>
              <c:strCache>
                <c:ptCount val="3"/>
                <c:pt idx="0">
                  <c:v>猫用</c:v>
                </c:pt>
                <c:pt idx="1">
                  <c:v>狗用</c:v>
                </c:pt>
                <c:pt idx="2">
                  <c:v>其他</c:v>
                </c:pt>
              </c:strCache>
            </c:strRef>
          </c:cat>
          <c:val>
            <c:numRef>
              <c:f>应用!$AF$2:$AF$4</c:f>
              <c:numCache>
                <c:formatCode>0.0%</c:formatCode>
                <c:ptCount val="3"/>
                <c:pt idx="0">
                  <c:v>0.723783444065362</c:v>
                </c:pt>
                <c:pt idx="1">
                  <c:v>0.264814149757587</c:v>
                </c:pt>
                <c:pt idx="2">
                  <c:v>0.0114024061770515</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应用!$A$2</c:f>
              <c:strCache>
                <c:ptCount val="1"/>
                <c:pt idx="0">
                  <c:v>猫用</c:v>
                </c:pt>
              </c:strCache>
            </c:strRef>
          </c:tx>
          <c:spPr>
            <a:solidFill>
              <a:schemeClr val="accent1"/>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102.95</c:v>
                </c:pt>
                <c:pt idx="1">
                  <c:v>119.13</c:v>
                </c:pt>
                <c:pt idx="2">
                  <c:v>131.44</c:v>
                </c:pt>
                <c:pt idx="3">
                  <c:v>151.84</c:v>
                </c:pt>
                <c:pt idx="4">
                  <c:v>161.23</c:v>
                </c:pt>
                <c:pt idx="5">
                  <c:v>165.73</c:v>
                </c:pt>
                <c:pt idx="6">
                  <c:v>178.25</c:v>
                </c:pt>
                <c:pt idx="7">
                  <c:v>189.54</c:v>
                </c:pt>
                <c:pt idx="8">
                  <c:v>203.3</c:v>
                </c:pt>
                <c:pt idx="9">
                  <c:v>210.32</c:v>
                </c:pt>
                <c:pt idx="10">
                  <c:v>227.46</c:v>
                </c:pt>
                <c:pt idx="11">
                  <c:v>245.09</c:v>
                </c:pt>
              </c:numCache>
            </c:numRef>
          </c:val>
        </c:ser>
        <c:ser>
          <c:idx val="1"/>
          <c:order val="1"/>
          <c:tx>
            <c:strRef>
              <c:f>应用!$A$3</c:f>
              <c:strCache>
                <c:ptCount val="1"/>
                <c:pt idx="0">
                  <c:v>狗用</c:v>
                </c:pt>
              </c:strCache>
            </c:strRef>
          </c:tx>
          <c:spPr>
            <a:solidFill>
              <a:schemeClr val="accent2"/>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38.25</c:v>
                </c:pt>
                <c:pt idx="1">
                  <c:v>43.55</c:v>
                </c:pt>
                <c:pt idx="2">
                  <c:v>46.96</c:v>
                </c:pt>
                <c:pt idx="3">
                  <c:v>53.57</c:v>
                </c:pt>
                <c:pt idx="4">
                  <c:v>58.99</c:v>
                </c:pt>
                <c:pt idx="5">
                  <c:v>62.3</c:v>
                </c:pt>
                <c:pt idx="6">
                  <c:v>65.02</c:v>
                </c:pt>
                <c:pt idx="7">
                  <c:v>70.63</c:v>
                </c:pt>
                <c:pt idx="8">
                  <c:v>76.38</c:v>
                </c:pt>
                <c:pt idx="9">
                  <c:v>84.86</c:v>
                </c:pt>
                <c:pt idx="10">
                  <c:v>92.42</c:v>
                </c:pt>
                <c:pt idx="11">
                  <c:v>98.49</c:v>
                </c:pt>
              </c:numCache>
            </c:numRef>
          </c:val>
        </c:ser>
        <c:ser>
          <c:idx val="2"/>
          <c:order val="2"/>
          <c:tx>
            <c:strRef>
              <c:f>应用!$A$4</c:f>
              <c:strCache>
                <c:ptCount val="1"/>
                <c:pt idx="0">
                  <c:v>其他</c:v>
                </c:pt>
              </c:strCache>
            </c:strRef>
          </c:tx>
          <c:spPr>
            <a:solidFill>
              <a:schemeClr val="accent3"/>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应用!$B$4:$M$4</c:f>
              <c:numCache>
                <c:formatCode>#,##0_);[Red]\(#,##0\)</c:formatCode>
                <c:ptCount val="12"/>
                <c:pt idx="0">
                  <c:v>1.56</c:v>
                </c:pt>
                <c:pt idx="1">
                  <c:v>1.86</c:v>
                </c:pt>
                <c:pt idx="2">
                  <c:v>2.02</c:v>
                </c:pt>
                <c:pt idx="3">
                  <c:v>2.387</c:v>
                </c:pt>
                <c:pt idx="4">
                  <c:v>2.54</c:v>
                </c:pt>
                <c:pt idx="5">
                  <c:v>2.72</c:v>
                </c:pt>
                <c:pt idx="6">
                  <c:v>2.93</c:v>
                </c:pt>
                <c:pt idx="7">
                  <c:v>3.08</c:v>
                </c:pt>
                <c:pt idx="8">
                  <c:v>3.31</c:v>
                </c:pt>
                <c:pt idx="9">
                  <c:v>3.31</c:v>
                </c:pt>
                <c:pt idx="10">
                  <c:v>3.19</c:v>
                </c:pt>
                <c:pt idx="11">
                  <c:v>3.72</c:v>
                </c:pt>
              </c:numCache>
            </c:numRef>
          </c:val>
        </c:ser>
        <c:ser>
          <c:idx val="3"/>
          <c:order val="3"/>
          <c:tx>
            <c:strRef>
              <c:f>应用!$A$5</c:f>
              <c:strCache>
                <c:ptCount val="1"/>
                <c:pt idx="0">
                  <c:v/>
                </c:pt>
              </c:strCache>
            </c:strRef>
          </c:tx>
          <c:spPr>
            <a:solidFill>
              <a:schemeClr val="accent4"/>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应用!$B$5:$M$5</c:f>
            </c:numRef>
          </c:val>
        </c:ser>
        <c:ser>
          <c:idx val="4"/>
          <c:order val="4"/>
          <c:tx>
            <c:strRef>
              <c:f>应用!$A$6</c:f>
              <c:strCache>
                <c:ptCount val="1"/>
                <c:pt idx="0">
                  <c:v/>
                </c:pt>
              </c:strCache>
            </c:strRef>
          </c:tx>
          <c:spPr>
            <a:solidFill>
              <a:schemeClr val="accent5"/>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应用!$B$6:$M$6</c:f>
            </c:numRef>
          </c:val>
        </c:ser>
        <c:ser>
          <c:idx val="5"/>
          <c:order val="5"/>
          <c:tx>
            <c:strRef>
              <c:f>应用!$A$7</c:f>
              <c:strCache>
                <c:ptCount val="1"/>
                <c:pt idx="0">
                  <c:v/>
                </c:pt>
              </c:strCache>
            </c:strRef>
          </c:tx>
          <c:spPr>
            <a:solidFill>
              <a:schemeClr val="accent6"/>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应用!$B$7:$M$7</c:f>
            </c:numRef>
          </c:val>
        </c:ser>
        <c:ser>
          <c:idx val="6"/>
          <c:order val="6"/>
          <c:tx>
            <c:strRef>
              <c:f>应用!$A$8</c:f>
              <c:strCache>
                <c:ptCount val="1"/>
                <c:pt idx="0">
                  <c:v/>
                </c:pt>
              </c:strCache>
            </c:strRef>
          </c:tx>
          <c:spPr>
            <a:solidFill>
              <a:schemeClr val="accent1">
                <a:lumMod val="6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应用!$B$8:$M$8</c:f>
            </c:numRef>
          </c:val>
        </c:ser>
        <c:ser>
          <c:idx val="7"/>
          <c:order val="7"/>
          <c:tx>
            <c:strRef>
              <c:f>应用!$A$9</c:f>
              <c:strCache>
                <c:ptCount val="1"/>
                <c:pt idx="0">
                  <c:v/>
                </c:pt>
              </c:strCache>
            </c:strRef>
          </c:tx>
          <c:spPr>
            <a:solidFill>
              <a:schemeClr val="accent2">
                <a:lumMod val="6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应用!$B$9:$M$9</c:f>
            </c:numRef>
          </c:val>
        </c:ser>
        <c:ser>
          <c:idx val="8"/>
          <c:order val="8"/>
          <c:tx>
            <c:strRef>
              <c:f>应用!$A$10</c:f>
              <c:strCache>
                <c:ptCount val="1"/>
                <c:pt idx="0">
                  <c:v/>
                </c:pt>
              </c:strCache>
            </c:strRef>
          </c:tx>
          <c:spPr>
            <a:solidFill>
              <a:schemeClr val="accent3">
                <a:lumMod val="6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总量</c:v>
                </c:pt>
              </c:strCache>
            </c:strRef>
          </c:tx>
          <c:spPr>
            <a:ln w="28575" cap="rnd">
              <a:solidFill>
                <a:schemeClr val="accent4">
                  <a:lumMod val="60000"/>
                </a:schemeClr>
              </a:solidFill>
              <a:round/>
            </a:ln>
            <a:effectLst/>
          </c:spPr>
          <c:marker>
            <c:symbol val="circle"/>
            <c:size val="5"/>
            <c:spPr>
              <a:solidFill>
                <a:schemeClr val="accent4">
                  <a:lumMod val="60000"/>
                </a:schemeClr>
              </a:solidFill>
              <a:ln w="9525">
                <a:solidFill>
                  <a:schemeClr val="accent4">
                    <a:lumMod val="60000"/>
                  </a:schemeClr>
                </a:solidFill>
              </a:ln>
              <a:effectLst/>
            </c:spPr>
          </c:marker>
          <c:dLbls>
            <c:dLbl>
              <c:idx val="0"/>
              <c:delete val="1"/>
            </c:dLbl>
            <c:dLbl>
              <c:idx val="1"/>
              <c:delete val="1"/>
            </c:dLbl>
            <c:dLbl>
              <c:idx val="2"/>
              <c:delete val="1"/>
            </c:dLbl>
            <c:dLbl>
              <c:idx val="3"/>
              <c:delete val="1"/>
            </c:dLbl>
            <c:dLbl>
              <c:idx val="4"/>
              <c:layout>
                <c:manualLayout>
                  <c:x val="-0.0307818592242971"/>
                  <c:y val="-0.0521512385919166"/>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5"/>
              <c:delete val="1"/>
            </c:dLbl>
            <c:dLbl>
              <c:idx val="6"/>
              <c:delete val="1"/>
            </c:dLbl>
            <c:dLbl>
              <c:idx val="7"/>
              <c:delete val="1"/>
            </c:dLbl>
            <c:dLbl>
              <c:idx val="8"/>
              <c:delete val="1"/>
            </c:dLbl>
            <c:dLbl>
              <c:idx val="9"/>
              <c:delete val="1"/>
            </c:dLbl>
            <c:dLbl>
              <c:idx val="10"/>
              <c:delete val="1"/>
            </c:dLbl>
            <c:dLbl>
              <c:idx val="11"/>
              <c:layout>
                <c:manualLayout>
                  <c:x val="-0.0307818592242971"/>
                  <c:y val="-0.0391134289439374"/>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val>
            <c:numRef>
              <c:f>应用!$B$11:$M$11</c:f>
              <c:numCache>
                <c:formatCode>#,##0_);[Red]\(#,##0\)</c:formatCode>
                <c:ptCount val="12"/>
                <c:pt idx="0">
                  <c:v>142.76</c:v>
                </c:pt>
                <c:pt idx="1">
                  <c:v>164.54</c:v>
                </c:pt>
                <c:pt idx="2">
                  <c:v>180.42</c:v>
                </c:pt>
                <c:pt idx="3">
                  <c:v>207.797</c:v>
                </c:pt>
                <c:pt idx="4">
                  <c:v>222.76</c:v>
                </c:pt>
                <c:pt idx="5">
                  <c:v>230.75</c:v>
                </c:pt>
                <c:pt idx="6">
                  <c:v>246.2</c:v>
                </c:pt>
                <c:pt idx="7">
                  <c:v>263.25</c:v>
                </c:pt>
                <c:pt idx="8">
                  <c:v>282.99</c:v>
                </c:pt>
                <c:pt idx="9">
                  <c:v>298.49</c:v>
                </c:pt>
                <c:pt idx="10">
                  <c:v>323.07</c:v>
                </c:pt>
                <c:pt idx="11">
                  <c:v>347.3</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solidFill>
                <a:schemeClr val="tx1">
                  <a:lumMod val="15000"/>
                  <a:lumOff val="85000"/>
                </a:schemeClr>
              </a:solidFill>
              <a:round/>
            </a:ln>
            <a:effectLst/>
          </c:spPr>
        </c:majorGridlines>
        <c:numFmt formatCode="#,##0_);[Red]\(#,##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81920"/>
        <c:crosses val="autoZero"/>
        <c:crossBetween val="between"/>
      </c:valAx>
      <c:catAx>
        <c:axId val="2101602720"/>
        <c:scaling>
          <c:orientation val="minMax"/>
        </c:scaling>
        <c:delete val="1"/>
        <c:axPos val="t"/>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max"/>
        <c:auto val="1"/>
        <c:lblAlgn val="ctr"/>
        <c:lblOffset val="100"/>
        <c:noMultiLvlLbl val="0"/>
      </c:catAx>
      <c:valAx>
        <c:axId val="2101608960"/>
        <c:scaling>
          <c:orientation val="minMax"/>
        </c:scaling>
        <c:delete val="1"/>
        <c:axPos val="r"/>
        <c:numFmt formatCode="0.0%" sourceLinked="0"/>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2720"/>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408</Words>
  <Characters>2331</Characters>
  <Lines>19</Lines>
  <Paragraphs>5</Paragraphs>
  <TotalTime>1</TotalTime>
  <ScaleCrop>false</ScaleCrop>
  <LinksUpToDate>false</LinksUpToDate>
  <CharactersWithSpaces>2734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2024-02-29T02:50:00Z</dcterms:created>
  <dc:creator>yangj</dc:creator>
  <cp:lastModifiedBy>*星*空夜@话</cp:lastModifiedBy>
  <dcterms:modified xsi:type="dcterms:W3CDTF">2024-03-04T03:12:37Z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D5C638EC926741CE83BD22B88E4944F1_12</vt:lpwstr>
  </property>
</Properties>
</file>