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8694" w:x="5675" w:y="2270"/>
        <w:widowControl w:val="off"/>
        <w:autoSpaceDE w:val="off"/>
        <w:autoSpaceDN w:val="off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CFCENK+FangSong_GB2312" w:hAnsi="CFCENK+FangSong_GB2312" w:cs="CFCENK+FangSong_GB2312"/>
          <w:color w:val="000000"/>
          <w:spacing w:val="0"/>
          <w:sz w:val="54"/>
        </w:rPr>
        <w:t>大商集团大庆乙烯商场有限公司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8694" w:x="5675" w:y="2270"/>
        <w:widowControl w:val="off"/>
        <w:autoSpaceDE w:val="off"/>
        <w:autoSpaceDN w:val="off"/>
        <w:spacing w:before="788" w:after="0" w:line="540" w:lineRule="exact"/>
        <w:ind w:left="1357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CFCENK+FangSong_GB2312" w:hAnsi="CFCENK+FangSong_GB2312" w:cs="CFCENK+FangSong_GB2312"/>
          <w:color w:val="000000"/>
          <w:spacing w:val="0"/>
          <w:sz w:val="54"/>
        </w:rPr>
        <w:t>风险评价及管控制度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2106" w:x="2701" w:y="508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GIVRWE+FangSong_GB2312"/>
          <w:color w:val="000000"/>
          <w:spacing w:val="2"/>
          <w:sz w:val="42"/>
        </w:rPr>
        <w:t>1</w:t>
      </w:r>
      <w:r>
        <w:rPr>
          <w:rFonts w:ascii="CFCENK+FangSong_GB2312" w:hAnsi="CFCENK+FangSong_GB2312" w:cs="CFCENK+FangSong_GB2312"/>
          <w:color w:val="000000"/>
          <w:spacing w:val="1"/>
          <w:sz w:val="42"/>
        </w:rPr>
        <w:t>、目的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6016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FCENK+FangSong_GB2312" w:hAnsi="CFCENK+FangSong_GB2312" w:cs="CFCENK+FangSong_GB2312"/>
          <w:color w:val="000000"/>
          <w:spacing w:val="1"/>
          <w:sz w:val="42"/>
        </w:rPr>
        <w:t>为加强公司风险管理、预防事故发生，实现安全技术，安全管理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601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FCENK+FangSong_GB2312" w:hAnsi="CFCENK+FangSong_GB2312" w:cs="CFCENK+FangSong_GB2312"/>
          <w:color w:val="000000"/>
          <w:spacing w:val="1"/>
          <w:sz w:val="42"/>
        </w:rPr>
        <w:t>的标准化和科学化制定本制度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948" w:x="2701" w:y="788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GIVRWE+FangSong_GB2312"/>
          <w:color w:val="000000"/>
          <w:spacing w:val="2"/>
          <w:sz w:val="42"/>
        </w:rPr>
        <w:t>2</w:t>
      </w:r>
      <w:r>
        <w:rPr>
          <w:rFonts w:ascii="CFCENK+FangSong_GB2312" w:hAnsi="CFCENK+FangSong_GB2312" w:cs="CFCENK+FangSong_GB2312"/>
          <w:color w:val="000000"/>
          <w:spacing w:val="1"/>
          <w:sz w:val="42"/>
        </w:rPr>
        <w:t>、适用范围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594" w:x="3539" w:y="882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FCENK+FangSong_GB2312" w:hAnsi="CFCENK+FangSong_GB2312" w:cs="CFCENK+FangSong_GB2312"/>
          <w:color w:val="000000"/>
          <w:spacing w:val="1"/>
          <w:sz w:val="42"/>
        </w:rPr>
        <w:t>依据本公司的实际情况，确定本公司的风险评价范围如下：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594" w:x="3539" w:y="882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FCENK+FangSong_GB2312" w:hAnsi="CFCENK+FangSong_GB2312" w:cs="CFCENK+FangSong_GB2312"/>
          <w:color w:val="000000"/>
          <w:spacing w:val="1"/>
          <w:sz w:val="42"/>
        </w:rPr>
        <w:t>（</w:t>
      </w:r>
      <w:r>
        <w:rPr>
          <w:rFonts w:ascii="GIVRWE+FangSong_GB2312"/>
          <w:color w:val="000000"/>
          <w:spacing w:val="-1"/>
          <w:sz w:val="42"/>
        </w:rPr>
        <w:t>1</w:t>
      </w:r>
      <w:r>
        <w:rPr>
          <w:rFonts w:ascii="CFCENK+FangSong_GB2312" w:hAnsi="CFCENK+FangSong_GB2312" w:cs="CFCENK+FangSong_GB2312"/>
          <w:color w:val="000000"/>
          <w:spacing w:val="1"/>
          <w:sz w:val="42"/>
        </w:rPr>
        <w:t>）日常经营活动。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086" w:x="3539" w:y="1069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FCENK+FangSong_GB2312" w:hAnsi="CFCENK+FangSong_GB2312" w:cs="CFCENK+FangSong_GB2312"/>
          <w:color w:val="000000"/>
          <w:spacing w:val="1"/>
          <w:sz w:val="42"/>
        </w:rPr>
        <w:t>（</w:t>
      </w:r>
      <w:r>
        <w:rPr>
          <w:rFonts w:ascii="GIVRWE+FangSong_GB2312"/>
          <w:color w:val="000000"/>
          <w:spacing w:val="-1"/>
          <w:sz w:val="42"/>
        </w:rPr>
        <w:t>2</w:t>
      </w:r>
      <w:r>
        <w:rPr>
          <w:rFonts w:ascii="CFCENK+FangSong_GB2312" w:hAnsi="CFCENK+FangSong_GB2312" w:cs="CFCENK+FangSong_GB2312"/>
          <w:color w:val="000000"/>
          <w:spacing w:val="1"/>
          <w:sz w:val="42"/>
        </w:rPr>
        <w:t>）常规和非常规活动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055" w:x="3539" w:y="1163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FCENK+FangSong_GB2312" w:hAnsi="CFCENK+FangSong_GB2312" w:cs="CFCENK+FangSong_GB2312"/>
          <w:color w:val="000000"/>
          <w:spacing w:val="1"/>
          <w:sz w:val="42"/>
        </w:rPr>
        <w:t>（</w:t>
      </w:r>
      <w:r>
        <w:rPr>
          <w:rFonts w:ascii="GIVRWE+FangSong_GB2312"/>
          <w:color w:val="000000"/>
          <w:spacing w:val="-1"/>
          <w:sz w:val="42"/>
        </w:rPr>
        <w:t>3</w:t>
      </w:r>
      <w:r>
        <w:rPr>
          <w:rFonts w:ascii="CFCENK+FangSong_GB2312" w:hAnsi="CFCENK+FangSong_GB2312" w:cs="CFCENK+FangSong_GB2312"/>
          <w:color w:val="000000"/>
          <w:spacing w:val="1"/>
          <w:sz w:val="42"/>
        </w:rPr>
        <w:t>）事故及潜在的紧急情况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992" w:x="3539" w:y="1256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FCENK+FangSong_GB2312" w:hAnsi="CFCENK+FangSong_GB2312" w:cs="CFCENK+FangSong_GB2312"/>
          <w:color w:val="000000"/>
          <w:spacing w:val="1"/>
          <w:sz w:val="42"/>
        </w:rPr>
        <w:t>（</w:t>
      </w:r>
      <w:r>
        <w:rPr>
          <w:rFonts w:ascii="GIVRWE+FangSong_GB2312"/>
          <w:color w:val="000000"/>
          <w:spacing w:val="-1"/>
          <w:sz w:val="42"/>
        </w:rPr>
        <w:t>4</w:t>
      </w:r>
      <w:r>
        <w:rPr>
          <w:rFonts w:ascii="CFCENK+FangSong_GB2312" w:hAnsi="CFCENK+FangSong_GB2312" w:cs="CFCENK+FangSong_GB2312"/>
          <w:color w:val="000000"/>
          <w:spacing w:val="1"/>
          <w:sz w:val="42"/>
        </w:rPr>
        <w:t>）所有进入经营场所的人员活动；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992" w:x="3539" w:y="12569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FCENK+FangSong_GB2312" w:hAnsi="CFCENK+FangSong_GB2312" w:cs="CFCENK+FangSong_GB2312"/>
          <w:color w:val="000000"/>
          <w:spacing w:val="1"/>
          <w:sz w:val="42"/>
        </w:rPr>
        <w:t>（</w:t>
      </w:r>
      <w:r>
        <w:rPr>
          <w:rFonts w:ascii="GIVRWE+FangSong_GB2312"/>
          <w:color w:val="000000"/>
          <w:spacing w:val="-1"/>
          <w:sz w:val="42"/>
        </w:rPr>
        <w:t>5</w:t>
      </w:r>
      <w:r>
        <w:rPr>
          <w:rFonts w:ascii="CFCENK+FangSong_GB2312" w:hAnsi="CFCENK+FangSong_GB2312" w:cs="CFCENK+FangSong_GB2312"/>
          <w:color w:val="000000"/>
          <w:spacing w:val="1"/>
          <w:sz w:val="42"/>
        </w:rPr>
        <w:t>）产品的运输和销售过程；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1383" w:x="3539" w:y="1444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FCENK+FangSong_GB2312" w:hAnsi="CFCENK+FangSong_GB2312" w:cs="CFCENK+FangSong_GB2312"/>
          <w:color w:val="000000"/>
          <w:spacing w:val="1"/>
          <w:sz w:val="42"/>
        </w:rPr>
        <w:t>（</w:t>
      </w:r>
      <w:r>
        <w:rPr>
          <w:rFonts w:ascii="GIVRWE+FangSong_GB2312"/>
          <w:color w:val="000000"/>
          <w:spacing w:val="-1"/>
          <w:sz w:val="42"/>
        </w:rPr>
        <w:t>6</w:t>
      </w:r>
      <w:r>
        <w:rPr>
          <w:rFonts w:ascii="CFCENK+FangSong_GB2312" w:hAnsi="CFCENK+FangSong_GB2312" w:cs="CFCENK+FangSong_GB2312"/>
          <w:color w:val="000000"/>
          <w:spacing w:val="1"/>
          <w:sz w:val="42"/>
        </w:rPr>
        <w:t>）作业场所的设施、设备、车辆、安全防护用品；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1383" w:x="3539" w:y="1444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FCENK+FangSong_GB2312" w:hAnsi="CFCENK+FangSong_GB2312" w:cs="CFCENK+FangSong_GB2312"/>
          <w:color w:val="000000"/>
          <w:spacing w:val="1"/>
          <w:sz w:val="42"/>
        </w:rPr>
        <w:t>（</w:t>
      </w:r>
      <w:r>
        <w:rPr>
          <w:rFonts w:ascii="GIVRWE+FangSong_GB2312"/>
          <w:color w:val="000000"/>
          <w:spacing w:val="-1"/>
          <w:sz w:val="42"/>
        </w:rPr>
        <w:t>7</w:t>
      </w:r>
      <w:r>
        <w:rPr>
          <w:rFonts w:ascii="CFCENK+FangSong_GB2312" w:hAnsi="CFCENK+FangSong_GB2312" w:cs="CFCENK+FangSong_GB2312"/>
          <w:color w:val="000000"/>
          <w:spacing w:val="1"/>
          <w:sz w:val="42"/>
        </w:rPr>
        <w:t>）丢弃、废弃、拆除与处置；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631" w:x="3539" w:y="16314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FCENK+FangSong_GB2312" w:hAnsi="CFCENK+FangSong_GB2312" w:cs="CFCENK+FangSong_GB2312"/>
          <w:color w:val="000000"/>
          <w:spacing w:val="1"/>
          <w:sz w:val="42"/>
        </w:rPr>
        <w:t>（</w:t>
      </w:r>
      <w:r>
        <w:rPr>
          <w:rFonts w:ascii="GIVRWE+FangSong_GB2312"/>
          <w:color w:val="000000"/>
          <w:spacing w:val="-1"/>
          <w:sz w:val="42"/>
        </w:rPr>
        <w:t>8</w:t>
      </w:r>
      <w:r>
        <w:rPr>
          <w:rFonts w:ascii="CFCENK+FangSong_GB2312" w:hAnsi="CFCENK+FangSong_GB2312" w:cs="CFCENK+FangSong_GB2312"/>
          <w:color w:val="000000"/>
          <w:spacing w:val="1"/>
          <w:sz w:val="42"/>
        </w:rPr>
        <w:t>）企业周围环境；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8955" w:x="2701" w:y="1725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FCENK+FangSong_GB2312" w:hAnsi="CFCENK+FangSong_GB2312" w:cs="CFCENK+FangSong_GB2312"/>
          <w:color w:val="000000"/>
          <w:spacing w:val="1"/>
          <w:sz w:val="42"/>
        </w:rPr>
        <w:t>（</w:t>
      </w:r>
      <w:r>
        <w:rPr>
          <w:rFonts w:ascii="GIVRWE+FangSong_GB2312"/>
          <w:color w:val="000000"/>
          <w:spacing w:val="-1"/>
          <w:sz w:val="42"/>
        </w:rPr>
        <w:t>9</w:t>
      </w:r>
      <w:r>
        <w:rPr>
          <w:rFonts w:ascii="CFCENK+FangSong_GB2312" w:hAnsi="CFCENK+FangSong_GB2312" w:cs="CFCENK+FangSong_GB2312"/>
          <w:color w:val="000000"/>
          <w:spacing w:val="1"/>
          <w:sz w:val="42"/>
        </w:rPr>
        <w:t>）气候、地震及其他自然灾害等。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8955" w:x="2701" w:y="17250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GIVRWE+FangSong_GB2312"/>
          <w:color w:val="000000"/>
          <w:spacing w:val="2"/>
          <w:sz w:val="42"/>
        </w:rPr>
        <w:t>3</w:t>
      </w:r>
      <w:r>
        <w:rPr>
          <w:rFonts w:ascii="CFCENK+FangSong_GB2312" w:hAnsi="CFCENK+FangSong_GB2312" w:cs="CFCENK+FangSong_GB2312"/>
          <w:color w:val="000000"/>
          <w:spacing w:val="1"/>
          <w:sz w:val="42"/>
        </w:rPr>
        <w:t>、职责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3" w:x="3331" w:y="1912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GIVRWE+FangSong_GB2312"/>
          <w:color w:val="000000"/>
          <w:spacing w:val="1"/>
          <w:sz w:val="42"/>
        </w:rPr>
        <w:t>3.1</w:t>
      </w:r>
      <w:r>
        <w:rPr>
          <w:rFonts w:ascii="Times New Roman"/>
          <w:color w:val="000000"/>
          <w:spacing w:val="106"/>
          <w:sz w:val="42"/>
        </w:rPr>
        <w:t xml:space="preserve"> </w:t>
      </w:r>
      <w:r>
        <w:rPr>
          <w:rFonts w:ascii="CFCENK+FangSong_GB2312" w:hAnsi="CFCENK+FangSong_GB2312" w:cs="CFCENK+FangSong_GB2312"/>
          <w:color w:val="000000"/>
          <w:spacing w:val="1"/>
          <w:sz w:val="42"/>
        </w:rPr>
        <w:t>主要负责人直接负责风险评价领导工作，组织制定风险评价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3" w:x="3331" w:y="1912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FCENK+FangSong_GB2312" w:hAnsi="CFCENK+FangSong_GB2312" w:cs="CFCENK+FangSong_GB2312"/>
          <w:color w:val="000000"/>
          <w:spacing w:val="1"/>
          <w:sz w:val="42"/>
        </w:rPr>
        <w:t>和指导书，明确风险评价的目的、范围。制定企业风险评价计划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563" w:x="3331" w:y="1912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FCENK+FangSong_GB2312" w:hAnsi="CFCENK+FangSong_GB2312" w:cs="CFCENK+FangSong_GB2312"/>
          <w:color w:val="000000"/>
          <w:spacing w:val="1"/>
          <w:sz w:val="42"/>
        </w:rPr>
        <w:t>并承担审核批准的责任。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618" w:x="3331" w:y="2193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FCENK+FangSong_GB2312" w:hAnsi="CFCENK+FangSong_GB2312" w:cs="CFCENK+FangSong_GB2312"/>
          <w:color w:val="000000"/>
          <w:spacing w:val="1"/>
          <w:sz w:val="42"/>
        </w:rPr>
        <w:t>主持年终公司风险评审工作。每年不少于</w:t>
      </w:r>
      <w:r>
        <w:rPr>
          <w:rFonts w:ascii="Times New Roman"/>
          <w:color w:val="000000"/>
          <w:spacing w:val="15"/>
          <w:sz w:val="42"/>
        </w:rPr>
        <w:t xml:space="preserve"> </w:t>
      </w:r>
      <w:r>
        <w:rPr>
          <w:rFonts w:ascii="GIVRWE+FangSong_GB2312"/>
          <w:color w:val="000000"/>
          <w:spacing w:val="0"/>
          <w:sz w:val="42"/>
        </w:rPr>
        <w:t>1</w:t>
      </w:r>
      <w:r>
        <w:rPr>
          <w:rFonts w:ascii="Times New Roman"/>
          <w:color w:val="000000"/>
          <w:spacing w:val="34"/>
          <w:sz w:val="42"/>
        </w:rPr>
        <w:t xml:space="preserve"> </w:t>
      </w:r>
      <w:r>
        <w:rPr>
          <w:rFonts w:ascii="CFCENK+FangSong_GB2312" w:hAnsi="CFCENK+FangSong_GB2312" w:cs="CFCENK+FangSong_GB2312"/>
          <w:color w:val="000000"/>
          <w:spacing w:val="1"/>
          <w:sz w:val="42"/>
        </w:rPr>
        <w:t>次。负责厂级风险控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618" w:x="3331" w:y="21931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FCENK+FangSong_GB2312" w:hAnsi="CFCENK+FangSong_GB2312" w:cs="CFCENK+FangSong_GB2312"/>
          <w:color w:val="000000"/>
          <w:spacing w:val="1"/>
          <w:sz w:val="42"/>
        </w:rPr>
        <w:t>制“纠正、预防措施”的实施、检查和验收。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047" w:x="3331" w:y="20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AFMTOL+FangSong_GB2312"/>
          <w:color w:val="000000"/>
          <w:spacing w:val="1"/>
          <w:sz w:val="42"/>
        </w:rPr>
        <w:t>3.2</w:t>
      </w:r>
      <w:r>
        <w:rPr>
          <w:rFonts w:ascii="Times New Roman"/>
          <w:color w:val="000000"/>
          <w:spacing w:val="106"/>
          <w:sz w:val="42"/>
        </w:rPr>
        <w:t xml:space="preserve"> </w:t>
      </w:r>
      <w:r>
        <w:rPr>
          <w:rFonts w:ascii="MTTUKO+FangSong_GB2312" w:hAnsi="MTTUKO+FangSong_GB2312" w:cs="MTTUKO+FangSong_GB2312"/>
          <w:color w:val="000000"/>
          <w:spacing w:val="1"/>
          <w:sz w:val="42"/>
        </w:rPr>
        <w:t>安全员是风险评价的归口管理人员，负责公司重大风险分析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047" w:x="333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TTUKO+FangSong_GB2312" w:hAnsi="MTTUKO+FangSong_GB2312" w:cs="MTTUKO+FangSong_GB2312"/>
          <w:color w:val="000000"/>
          <w:spacing w:val="-4"/>
          <w:sz w:val="42"/>
        </w:rPr>
        <w:t>记录的审查与控制，定期进行风险信息更新。开展全员风险培训，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047" w:x="333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TTUKO+FangSong_GB2312" w:hAnsi="MTTUKO+FangSong_GB2312" w:cs="MTTUKO+FangSong_GB2312"/>
          <w:color w:val="000000"/>
          <w:spacing w:val="1"/>
          <w:sz w:val="42"/>
        </w:rPr>
        <w:t>培训率≥</w:t>
      </w:r>
      <w:r>
        <w:rPr>
          <w:rFonts w:ascii="AFMTOL+FangSong_GB2312"/>
          <w:color w:val="000000"/>
          <w:spacing w:val="-1"/>
          <w:sz w:val="42"/>
        </w:rPr>
        <w:t>95%</w:t>
      </w:r>
      <w:r>
        <w:rPr>
          <w:rFonts w:ascii="MTTUKO+FangSong_GB2312" w:hAnsi="MTTUKO+FangSong_GB2312" w:cs="MTTUKO+FangSong_GB2312"/>
          <w:color w:val="000000"/>
          <w:spacing w:val="1"/>
          <w:sz w:val="42"/>
        </w:rPr>
        <w:t>，每年不少于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AFMTOL+FangSong_GB2312"/>
          <w:color w:val="000000"/>
          <w:spacing w:val="0"/>
          <w:sz w:val="42"/>
        </w:rPr>
        <w:t>1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MTTUKO+FangSong_GB2312" w:hAnsi="MTTUKO+FangSong_GB2312" w:cs="MTTUKO+FangSong_GB2312"/>
          <w:color w:val="000000"/>
          <w:spacing w:val="1"/>
          <w:sz w:val="42"/>
        </w:rPr>
        <w:t>次。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47" w:x="2701" w:y="4846"/>
        <w:widowControl w:val="off"/>
        <w:autoSpaceDE w:val="off"/>
        <w:autoSpaceDN w:val="off"/>
        <w:spacing w:before="0" w:after="0" w:line="421" w:lineRule="exact"/>
        <w:ind w:left="63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AFMTOL+FangSong_GB2312"/>
          <w:color w:val="000000"/>
          <w:spacing w:val="1"/>
          <w:sz w:val="42"/>
        </w:rPr>
        <w:t>3.3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MTTUKO+FangSong_GB2312" w:hAnsi="MTTUKO+FangSong_GB2312" w:cs="MTTUKO+FangSong_GB2312"/>
          <w:color w:val="000000"/>
          <w:spacing w:val="1"/>
          <w:sz w:val="42"/>
        </w:rPr>
        <w:t>公司各级管理人员应负责参与风险评价工作，提供相关资料，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47" w:x="2701" w:y="4846"/>
        <w:widowControl w:val="off"/>
        <w:autoSpaceDE w:val="off"/>
        <w:autoSpaceDN w:val="off"/>
        <w:spacing w:before="515" w:after="0" w:line="421" w:lineRule="exact"/>
        <w:ind w:left="63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TTUKO+FangSong_GB2312" w:hAnsi="MTTUKO+FangSong_GB2312" w:cs="MTTUKO+FangSong_GB2312"/>
          <w:color w:val="000000"/>
          <w:spacing w:val="1"/>
          <w:sz w:val="42"/>
        </w:rPr>
        <w:t>鼓励从业人员积极参与风险评价和风险控制。直接负责本部门或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47" w:x="2701" w:y="4846"/>
        <w:widowControl w:val="off"/>
        <w:autoSpaceDE w:val="off"/>
        <w:autoSpaceDN w:val="off"/>
        <w:spacing w:before="515" w:after="0" w:line="421" w:lineRule="exact"/>
        <w:ind w:left="63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TTUKO+FangSong_GB2312" w:hAnsi="MTTUKO+FangSong_GB2312" w:cs="MTTUKO+FangSong_GB2312"/>
          <w:color w:val="000000"/>
          <w:spacing w:val="1"/>
          <w:sz w:val="42"/>
        </w:rPr>
        <w:t>相关项目的风险评价工作并承担部门相应的责任。负责本部门或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47" w:x="2701" w:y="4846"/>
        <w:widowControl w:val="off"/>
        <w:autoSpaceDE w:val="off"/>
        <w:autoSpaceDN w:val="off"/>
        <w:spacing w:before="516" w:after="0" w:line="421" w:lineRule="exact"/>
        <w:ind w:left="63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TTUKO+FangSong_GB2312" w:hAnsi="MTTUKO+FangSong_GB2312" w:cs="MTTUKO+FangSong_GB2312"/>
          <w:color w:val="000000"/>
          <w:spacing w:val="1"/>
          <w:sz w:val="42"/>
        </w:rPr>
        <w:t>相关项目风险控制“纠正、预防措施”的实施、检查和验收。负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47" w:x="2701" w:y="4846"/>
        <w:widowControl w:val="off"/>
        <w:autoSpaceDE w:val="off"/>
        <w:autoSpaceDN w:val="off"/>
        <w:spacing w:before="515" w:after="0" w:line="421" w:lineRule="exact"/>
        <w:ind w:left="63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TTUKO+FangSong_GB2312" w:hAnsi="MTTUKO+FangSong_GB2312" w:cs="MTTUKO+FangSong_GB2312"/>
          <w:color w:val="000000"/>
          <w:spacing w:val="-5"/>
          <w:sz w:val="42"/>
        </w:rPr>
        <w:t>责本部门或相关项目风险评价计划、风险控制措施和绩效的评审</w:t>
      </w:r>
      <w:r>
        <w:rPr>
          <w:rFonts w:ascii="AFMTOL+FangSong_GB2312"/>
          <w:color w:val="000000"/>
          <w:spacing w:val="0"/>
          <w:sz w:val="42"/>
        </w:rPr>
        <w:t>/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47" w:x="2701" w:y="4846"/>
        <w:widowControl w:val="off"/>
        <w:autoSpaceDE w:val="off"/>
        <w:autoSpaceDN w:val="off"/>
        <w:spacing w:before="515" w:after="0" w:line="421" w:lineRule="exact"/>
        <w:ind w:left="63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TTUKO+FangSong_GB2312" w:hAnsi="MTTUKO+FangSong_GB2312" w:cs="MTTUKO+FangSong_GB2312"/>
          <w:color w:val="000000"/>
          <w:spacing w:val="1"/>
          <w:sz w:val="42"/>
        </w:rPr>
        <w:t>适时。负责制定部门或相关项目持续改进的计划。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47" w:x="2701" w:y="484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AFMTOL+FangSong_GB2312"/>
          <w:color w:val="000000"/>
          <w:spacing w:val="2"/>
          <w:sz w:val="42"/>
        </w:rPr>
        <w:t>4</w:t>
      </w:r>
      <w:r>
        <w:rPr>
          <w:rFonts w:ascii="MTTUKO+FangSong_GB2312" w:hAnsi="MTTUKO+FangSong_GB2312" w:cs="MTTUKO+FangSong_GB2312"/>
          <w:color w:val="000000"/>
          <w:spacing w:val="1"/>
          <w:sz w:val="42"/>
        </w:rPr>
        <w:t>、风险评价机构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3157" w:x="3331" w:y="1139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TTUKO+FangSong_GB2312" w:hAnsi="MTTUKO+FangSong_GB2312" w:cs="MTTUKO+FangSong_GB2312"/>
          <w:color w:val="000000"/>
          <w:spacing w:val="1"/>
          <w:sz w:val="42"/>
        </w:rPr>
        <w:t>组长：李玉昆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081" w:x="3331" w:y="1233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TTUKO+FangSong_GB2312" w:hAnsi="MTTUKO+FangSong_GB2312" w:cs="MTTUKO+FangSong_GB2312"/>
          <w:color w:val="000000"/>
          <w:spacing w:val="1"/>
          <w:sz w:val="42"/>
        </w:rPr>
        <w:t>副组长：左艳玲</w:t>
      </w:r>
      <w:r>
        <w:rPr>
          <w:rFonts w:ascii="Times New Roman"/>
          <w:color w:val="000000"/>
          <w:spacing w:val="101"/>
          <w:sz w:val="42"/>
        </w:rPr>
        <w:t xml:space="preserve"> </w:t>
      </w:r>
      <w:r>
        <w:rPr>
          <w:rFonts w:ascii="MTTUKO+FangSong_GB2312" w:hAnsi="MTTUKO+FangSong_GB2312" w:cs="MTTUKO+FangSong_GB2312"/>
          <w:color w:val="000000"/>
          <w:spacing w:val="1"/>
          <w:sz w:val="42"/>
        </w:rPr>
        <w:t>滕士明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3578" w:x="3370" w:y="1332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TTUKO+FangSong_GB2312" w:hAnsi="MTTUKO+FangSong_GB2312" w:cs="MTTUKO+FangSong_GB2312"/>
          <w:color w:val="000000"/>
          <w:spacing w:val="1"/>
          <w:sz w:val="42"/>
        </w:rPr>
        <w:t>成员：全体员工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026" w:x="2701" w:y="1411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AFMTOL+FangSong_GB2312"/>
          <w:color w:val="000000"/>
          <w:spacing w:val="2"/>
          <w:sz w:val="42"/>
        </w:rPr>
        <w:t>5</w:t>
      </w:r>
      <w:r>
        <w:rPr>
          <w:rFonts w:ascii="MTTUKO+FangSong_GB2312" w:hAnsi="MTTUKO+FangSong_GB2312" w:cs="MTTUKO+FangSong_GB2312"/>
          <w:color w:val="000000"/>
          <w:spacing w:val="1"/>
          <w:sz w:val="42"/>
        </w:rPr>
        <w:t>、风险评价方法与风险评价准则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657" w:x="3539" w:y="1504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AFMTOL+FangSong_GB2312"/>
          <w:color w:val="000000"/>
          <w:spacing w:val="1"/>
          <w:sz w:val="42"/>
        </w:rPr>
        <w:t>5.1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MTTUKO+FangSong_GB2312" w:hAnsi="MTTUKO+FangSong_GB2312" w:cs="MTTUKO+FangSong_GB2312"/>
          <w:color w:val="000000"/>
          <w:spacing w:val="1"/>
          <w:sz w:val="42"/>
        </w:rPr>
        <w:t>风险评价应遵循以下准则：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570" w:x="3539" w:y="1598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TTUKO+FangSong_GB2312" w:hAnsi="MTTUKO+FangSong_GB2312" w:cs="MTTUKO+FangSong_GB2312"/>
          <w:color w:val="000000"/>
          <w:spacing w:val="1"/>
          <w:sz w:val="42"/>
        </w:rPr>
        <w:t>（</w:t>
      </w:r>
      <w:r>
        <w:rPr>
          <w:rFonts w:ascii="AFMTOL+FangSong_GB2312"/>
          <w:color w:val="000000"/>
          <w:spacing w:val="-1"/>
          <w:sz w:val="42"/>
        </w:rPr>
        <w:t>1</w:t>
      </w:r>
      <w:r>
        <w:rPr>
          <w:rFonts w:ascii="MTTUKO+FangSong_GB2312" w:hAnsi="MTTUKO+FangSong_GB2312" w:cs="MTTUKO+FangSong_GB2312"/>
          <w:color w:val="000000"/>
          <w:spacing w:val="1"/>
          <w:sz w:val="42"/>
        </w:rPr>
        <w:t>）政策的符合性准则；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9930" w:x="3539" w:y="1691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TTUKO+FangSong_GB2312" w:hAnsi="MTTUKO+FangSong_GB2312" w:cs="MTTUKO+FangSong_GB2312"/>
          <w:color w:val="000000"/>
          <w:spacing w:val="1"/>
          <w:sz w:val="42"/>
        </w:rPr>
        <w:t>（</w:t>
      </w:r>
      <w:r>
        <w:rPr>
          <w:rFonts w:ascii="AFMTOL+FangSong_GB2312"/>
          <w:color w:val="000000"/>
          <w:spacing w:val="-1"/>
          <w:sz w:val="42"/>
        </w:rPr>
        <w:t>2</w:t>
      </w:r>
      <w:r>
        <w:rPr>
          <w:rFonts w:ascii="MTTUKO+FangSong_GB2312" w:hAnsi="MTTUKO+FangSong_GB2312" w:cs="MTTUKO+FangSong_GB2312"/>
          <w:color w:val="000000"/>
          <w:spacing w:val="1"/>
          <w:sz w:val="42"/>
        </w:rPr>
        <w:t>）安全生产法规的符合性准则；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9930" w:x="3539" w:y="16919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TTUKO+FangSong_GB2312" w:hAnsi="MTTUKO+FangSong_GB2312" w:cs="MTTUKO+FangSong_GB2312"/>
          <w:color w:val="000000"/>
          <w:spacing w:val="1"/>
          <w:sz w:val="42"/>
        </w:rPr>
        <w:t>（</w:t>
      </w:r>
      <w:r>
        <w:rPr>
          <w:rFonts w:ascii="AFMTOL+FangSong_GB2312"/>
          <w:color w:val="000000"/>
          <w:spacing w:val="-1"/>
          <w:sz w:val="42"/>
        </w:rPr>
        <w:t>3</w:t>
      </w:r>
      <w:r>
        <w:rPr>
          <w:rFonts w:ascii="MTTUKO+FangSong_GB2312" w:hAnsi="MTTUKO+FangSong_GB2312" w:cs="MTTUKO+FangSong_GB2312"/>
          <w:color w:val="000000"/>
          <w:spacing w:val="1"/>
          <w:sz w:val="42"/>
        </w:rPr>
        <w:t>）设计规范、技术标准的有效性准则；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9930" w:x="3539" w:y="16919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TTUKO+FangSong_GB2312" w:hAnsi="MTTUKO+FangSong_GB2312" w:cs="MTTUKO+FangSong_GB2312"/>
          <w:color w:val="000000"/>
          <w:spacing w:val="1"/>
          <w:sz w:val="42"/>
        </w:rPr>
        <w:t>（</w:t>
      </w:r>
      <w:r>
        <w:rPr>
          <w:rFonts w:ascii="AFMTOL+FangSong_GB2312"/>
          <w:color w:val="000000"/>
          <w:spacing w:val="-1"/>
          <w:sz w:val="42"/>
        </w:rPr>
        <w:t>4</w:t>
      </w:r>
      <w:r>
        <w:rPr>
          <w:rFonts w:ascii="MTTUKO+FangSong_GB2312" w:hAnsi="MTTUKO+FangSong_GB2312" w:cs="MTTUKO+FangSong_GB2312"/>
          <w:color w:val="000000"/>
          <w:spacing w:val="1"/>
          <w:sz w:val="42"/>
        </w:rPr>
        <w:t>）安全管理和技术标准的可靠性准则；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9930" w:x="3539" w:y="16919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TTUKO+FangSong_GB2312" w:hAnsi="MTTUKO+FangSong_GB2312" w:cs="MTTUKO+FangSong_GB2312"/>
          <w:color w:val="000000"/>
          <w:spacing w:val="1"/>
          <w:sz w:val="42"/>
        </w:rPr>
        <w:t>（</w:t>
      </w:r>
      <w:r>
        <w:rPr>
          <w:rFonts w:ascii="AFMTOL+FangSong_GB2312"/>
          <w:color w:val="000000"/>
          <w:spacing w:val="-1"/>
          <w:sz w:val="42"/>
        </w:rPr>
        <w:t>5</w:t>
      </w:r>
      <w:r>
        <w:rPr>
          <w:rFonts w:ascii="MTTUKO+FangSong_GB2312" w:hAnsi="MTTUKO+FangSong_GB2312" w:cs="MTTUKO+FangSong_GB2312"/>
          <w:color w:val="000000"/>
          <w:spacing w:val="1"/>
          <w:sz w:val="42"/>
        </w:rPr>
        <w:t>）实现安全生产方针、目标的可能性准则；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9930" w:x="3539" w:y="16919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TTUKO+FangSong_GB2312" w:hAnsi="MTTUKO+FangSong_GB2312" w:cs="MTTUKO+FangSong_GB2312"/>
          <w:color w:val="000000"/>
          <w:spacing w:val="1"/>
          <w:sz w:val="42"/>
        </w:rPr>
        <w:t>（</w:t>
      </w:r>
      <w:r>
        <w:rPr>
          <w:rFonts w:ascii="AFMTOL+FangSong_GB2312"/>
          <w:color w:val="000000"/>
          <w:spacing w:val="-1"/>
          <w:sz w:val="42"/>
        </w:rPr>
        <w:t>6</w:t>
      </w:r>
      <w:r>
        <w:rPr>
          <w:rFonts w:ascii="MTTUKO+FangSong_GB2312" w:hAnsi="MTTUKO+FangSong_GB2312" w:cs="MTTUKO+FangSong_GB2312"/>
          <w:color w:val="000000"/>
          <w:spacing w:val="1"/>
          <w:sz w:val="42"/>
        </w:rPr>
        <w:t>）风险等级判定准则。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688" w:x="3539" w:y="2159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AFMTOL+FangSong_GB2312"/>
          <w:color w:val="000000"/>
          <w:spacing w:val="1"/>
          <w:sz w:val="42"/>
        </w:rPr>
        <w:t>5.2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MTTUKO+FangSong_GB2312" w:hAnsi="MTTUKO+FangSong_GB2312" w:cs="MTTUKO+FangSong_GB2312"/>
          <w:color w:val="000000"/>
          <w:spacing w:val="1"/>
          <w:sz w:val="42"/>
        </w:rPr>
        <w:t>本单位风险评价准则：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378" w:x="3539" w:y="2253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TTUKO+FangSong_GB2312" w:hAnsi="MTTUKO+FangSong_GB2312" w:cs="MTTUKO+FangSong_GB2312"/>
          <w:color w:val="000000"/>
          <w:spacing w:val="1"/>
          <w:sz w:val="42"/>
        </w:rPr>
        <w:t>采用风险度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AFMTOL+FangSong_GB2312"/>
          <w:color w:val="000000"/>
          <w:spacing w:val="-1"/>
          <w:sz w:val="42"/>
        </w:rPr>
        <w:t>R=</w:t>
      </w:r>
      <w:r>
        <w:rPr>
          <w:rFonts w:ascii="MTTUKO+FangSong_GB2312" w:hAnsi="MTTUKO+FangSong_GB2312" w:cs="MTTUKO+FangSong_GB2312"/>
          <w:color w:val="000000"/>
          <w:spacing w:val="1"/>
          <w:sz w:val="42"/>
        </w:rPr>
        <w:t>可能性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AFMTOL+FangSong_GB2312"/>
          <w:color w:val="000000"/>
          <w:spacing w:val="-1"/>
          <w:sz w:val="42"/>
        </w:rPr>
        <w:t>L</w:t>
      </w:r>
      <w:r>
        <w:rPr>
          <w:rFonts w:ascii="MTTUKO+FangSong_GB2312" w:hAnsi="MTTUKO+FangSong_GB2312" w:cs="MTTUKO+FangSong_GB2312"/>
          <w:color w:val="000000"/>
          <w:spacing w:val="1"/>
          <w:sz w:val="42"/>
        </w:rPr>
        <w:t>×后果严重性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AFMTOL+FangSong_GB2312"/>
          <w:color w:val="000000"/>
          <w:spacing w:val="0"/>
          <w:sz w:val="42"/>
        </w:rPr>
        <w:t>S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MTTUKO+FangSong_GB2312" w:hAnsi="MTTUKO+FangSong_GB2312" w:cs="MTTUKO+FangSong_GB2312"/>
          <w:color w:val="000000"/>
          <w:spacing w:val="-12"/>
          <w:sz w:val="42"/>
        </w:rPr>
        <w:t>的评价法，具体评价准则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315" w:x="2701" w:y="20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AJRNNS+FangSong_GB2312" w:hAnsi="AJRNNS+FangSong_GB2312" w:cs="AJRNNS+FangSong_GB2312"/>
          <w:color w:val="000000"/>
          <w:spacing w:val="1"/>
          <w:sz w:val="42"/>
        </w:rPr>
        <w:t>规定为：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8521" w:x="5679" w:y="2974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AJRNNS+FangSong_GB2312" w:hAnsi="AJRNNS+FangSong_GB2312" w:cs="AJRNNS+FangSong_GB2312"/>
          <w:color w:val="000000"/>
          <w:spacing w:val="62"/>
          <w:sz w:val="42"/>
        </w:rPr>
        <w:t>评估危害及影响后果的严重性（</w:t>
      </w:r>
      <w:r>
        <w:rPr>
          <w:rFonts w:ascii="Times New Roman"/>
          <w:color w:val="000000"/>
          <w:spacing w:val="-97"/>
          <w:sz w:val="42"/>
        </w:rPr>
        <w:t xml:space="preserve"> </w:t>
      </w:r>
      <w:r>
        <w:rPr>
          <w:rFonts w:ascii="HGSRMF+FangSong_GB2312"/>
          <w:color w:val="000000"/>
          <w:spacing w:val="27"/>
          <w:sz w:val="42"/>
        </w:rPr>
        <w:t>S</w:t>
      </w:r>
      <w:r>
        <w:rPr>
          <w:rFonts w:ascii="AJRNNS+FangSong_GB2312" w:hAnsi="AJRNNS+FangSong_GB2312" w:cs="AJRNNS+FangSong_GB2312"/>
          <w:color w:val="000000"/>
          <w:spacing w:val="0"/>
          <w:sz w:val="42"/>
        </w:rPr>
        <w:t>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188" w:x="2701" w:y="439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AJRNNS+FangSong_GB2312" w:hAnsi="AJRNNS+FangSong_GB2312" w:cs="AJRNNS+FangSong_GB2312"/>
          <w:color w:val="000000"/>
          <w:spacing w:val="0"/>
          <w:sz w:val="42"/>
        </w:rPr>
        <w:t>等</w:t>
      </w:r>
      <w:r>
        <w:rPr>
          <w:rFonts w:ascii="Times New Roman"/>
          <w:color w:val="000000"/>
          <w:spacing w:val="285"/>
          <w:sz w:val="42"/>
        </w:rPr>
        <w:t xml:space="preserve"> </w:t>
      </w:r>
      <w:r>
        <w:rPr>
          <w:rFonts w:ascii="AJRNNS+FangSong_GB2312" w:hAnsi="AJRNNS+FangSong_GB2312" w:cs="AJRNNS+FangSong_GB2312"/>
          <w:color w:val="000000"/>
          <w:spacing w:val="38"/>
          <w:sz w:val="42"/>
        </w:rPr>
        <w:t>法律、法规及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51" w:x="7169" w:y="486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AJRNNS+FangSong_GB2312" w:hAnsi="AJRNNS+FangSong_GB2312" w:cs="AJRNNS+FangSong_GB2312"/>
          <w:color w:val="000000"/>
          <w:spacing w:val="0"/>
          <w:sz w:val="42"/>
        </w:rPr>
        <w:t>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498" w:x="12199" w:y="486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AJRNNS+FangSong_GB2312" w:hAnsi="AJRNNS+FangSong_GB2312" w:cs="AJRNNS+FangSong_GB2312"/>
          <w:color w:val="000000"/>
          <w:spacing w:val="62"/>
          <w:sz w:val="42"/>
        </w:rPr>
        <w:t>公司形象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983" w:x="9970" w:y="674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AJRNNS+FangSong_GB2312" w:hAnsi="AJRNNS+FangSong_GB2312" w:cs="AJRNNS+FangSong_GB2312"/>
          <w:color w:val="000000"/>
          <w:spacing w:val="60"/>
          <w:sz w:val="42"/>
        </w:rPr>
        <w:t>商场停</w:t>
      </w:r>
      <w:r>
        <w:rPr>
          <w:rFonts w:ascii="Times New Roman"/>
          <w:color w:val="000000"/>
          <w:spacing w:val="445"/>
          <w:sz w:val="42"/>
        </w:rPr>
        <w:t xml:space="preserve"> </w:t>
      </w:r>
      <w:r>
        <w:rPr>
          <w:rFonts w:ascii="AJRNNS+FangSong_GB2312" w:hAnsi="AJRNNS+FangSong_GB2312" w:cs="AJRNNS+FangSong_GB2312"/>
          <w:color w:val="000000"/>
          <w:spacing w:val="60"/>
          <w:sz w:val="42"/>
        </w:rPr>
        <w:t>重大国内影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62" w:x="8627" w:y="721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GSRMF+FangSong_GB2312"/>
          <w:color w:val="000000"/>
          <w:spacing w:val="1"/>
          <w:sz w:val="42"/>
        </w:rPr>
        <w:t>&gt;50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51" w:x="4673" w:y="7684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AJRNNS+FangSong_GB2312" w:hAnsi="AJRNNS+FangSong_GB2312" w:cs="AJRNNS+FangSong_GB2312"/>
          <w:color w:val="000000"/>
          <w:spacing w:val="0"/>
          <w:sz w:val="42"/>
        </w:rPr>
        <w:t>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014" w:x="3712" w:y="910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AJRNNS+FangSong_GB2312" w:hAnsi="AJRNNS+FangSong_GB2312" w:cs="AJRNNS+FangSong_GB2312"/>
          <w:color w:val="000000"/>
          <w:spacing w:val="60"/>
          <w:sz w:val="42"/>
        </w:rPr>
        <w:t>潜在违反法</w:t>
      </w:r>
      <w:r>
        <w:rPr>
          <w:rFonts w:ascii="Times New Roman"/>
          <w:color w:val="000000"/>
          <w:spacing w:val="472"/>
          <w:sz w:val="42"/>
        </w:rPr>
        <w:t xml:space="preserve"> </w:t>
      </w:r>
      <w:r>
        <w:rPr>
          <w:rFonts w:ascii="AJRNNS+FangSong_GB2312" w:hAnsi="AJRNNS+FangSong_GB2312" w:cs="AJRNNS+FangSong_GB2312"/>
          <w:color w:val="000000"/>
          <w:spacing w:val="60"/>
          <w:sz w:val="42"/>
        </w:rPr>
        <w:t>丧失劳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972" w:x="11961" w:y="910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AJRNNS+FangSong_GB2312" w:hAnsi="AJRNNS+FangSong_GB2312" w:cs="AJRNNS+FangSong_GB2312"/>
          <w:color w:val="000000"/>
          <w:spacing w:val="60"/>
          <w:sz w:val="42"/>
        </w:rPr>
        <w:t>行业内、集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972" w:x="11961" w:y="9102"/>
        <w:widowControl w:val="off"/>
        <w:autoSpaceDE w:val="off"/>
        <w:autoSpaceDN w:val="off"/>
        <w:spacing w:before="515" w:after="0" w:line="421" w:lineRule="exact"/>
        <w:ind w:left="24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AJRNNS+FangSong_GB2312" w:hAnsi="AJRNNS+FangSong_GB2312" w:cs="AJRNNS+FangSong_GB2312"/>
          <w:color w:val="000000"/>
          <w:spacing w:val="60"/>
          <w:sz w:val="42"/>
        </w:rPr>
        <w:t>团公司内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51" w:x="4673" w:y="100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AJRNNS+FangSong_GB2312" w:hAnsi="AJRNNS+FangSong_GB2312" w:cs="AJRNNS+FangSong_GB2312"/>
          <w:color w:val="000000"/>
          <w:spacing w:val="0"/>
          <w:sz w:val="42"/>
        </w:rPr>
        <w:t>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014" w:x="3712" w:y="1239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AJRNNS+FangSong_GB2312" w:hAnsi="AJRNNS+FangSong_GB2312" w:cs="AJRNNS+FangSong_GB2312"/>
          <w:color w:val="000000"/>
          <w:spacing w:val="60"/>
          <w:sz w:val="42"/>
        </w:rPr>
        <w:t>不符合集团</w:t>
      </w:r>
      <w:r>
        <w:rPr>
          <w:rFonts w:ascii="Times New Roman"/>
          <w:color w:val="000000"/>
          <w:spacing w:val="472"/>
          <w:sz w:val="42"/>
        </w:rPr>
        <w:t xml:space="preserve"> </w:t>
      </w:r>
      <w:r>
        <w:rPr>
          <w:rFonts w:ascii="AJRNNS+FangSong_GB2312" w:hAnsi="AJRNNS+FangSong_GB2312" w:cs="AJRNNS+FangSong_GB2312"/>
          <w:color w:val="000000"/>
          <w:spacing w:val="60"/>
          <w:sz w:val="42"/>
        </w:rPr>
        <w:t>骨折、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490" w:x="12203" w:y="1333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AJRNNS+FangSong_GB2312" w:hAnsi="AJRNNS+FangSong_GB2312" w:cs="AJRNNS+FangSong_GB2312"/>
          <w:color w:val="000000"/>
          <w:spacing w:val="60"/>
          <w:sz w:val="42"/>
        </w:rPr>
        <w:t>省内影响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014" w:x="3712" w:y="16155"/>
        <w:widowControl w:val="off"/>
        <w:autoSpaceDE w:val="off"/>
        <w:autoSpaceDN w:val="off"/>
        <w:spacing w:before="0" w:after="0" w:line="421" w:lineRule="exact"/>
        <w:ind w:left="2978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AJRNNS+FangSong_GB2312" w:hAnsi="AJRNNS+FangSong_GB2312" w:cs="AJRNNS+FangSong_GB2312"/>
          <w:color w:val="000000"/>
          <w:spacing w:val="60"/>
          <w:sz w:val="42"/>
        </w:rPr>
        <w:t>轻微受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014" w:x="3712" w:y="16155"/>
        <w:widowControl w:val="off"/>
        <w:autoSpaceDE w:val="off"/>
        <w:autoSpaceDN w:val="off"/>
        <w:spacing w:before="4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AJRNNS+FangSong_GB2312" w:hAnsi="AJRNNS+FangSong_GB2312" w:cs="AJRNNS+FangSong_GB2312"/>
          <w:color w:val="000000"/>
          <w:spacing w:val="60"/>
          <w:sz w:val="42"/>
        </w:rPr>
        <w:t>不符合公司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186" w:x="9794" w:y="1709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AJRNNS+FangSong_GB2312" w:hAnsi="AJRNNS+FangSong_GB2312" w:cs="AJRNNS+FangSong_GB2312"/>
          <w:color w:val="000000"/>
          <w:spacing w:val="13"/>
          <w:sz w:val="42"/>
        </w:rPr>
        <w:t>不大，几</w:t>
      </w:r>
      <w:r>
        <w:rPr>
          <w:rFonts w:ascii="Times New Roman"/>
          <w:color w:val="000000"/>
          <w:spacing w:val="315"/>
          <w:sz w:val="42"/>
        </w:rPr>
        <w:t xml:space="preserve"> </w:t>
      </w:r>
      <w:r>
        <w:rPr>
          <w:rFonts w:ascii="AJRNNS+FangSong_GB2312" w:hAnsi="AJRNNS+FangSong_GB2312" w:cs="AJRNNS+FangSong_GB2312"/>
          <w:color w:val="000000"/>
          <w:spacing w:val="60"/>
          <w:sz w:val="42"/>
        </w:rPr>
        <w:t>公司及周边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62" w:x="8627" w:y="1755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GSRMF+FangSong_GB2312"/>
          <w:color w:val="000000"/>
          <w:spacing w:val="1"/>
          <w:sz w:val="42"/>
        </w:rPr>
        <w:t>&lt;10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668" w:x="8505" w:y="1991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AJRNNS+FangSong_GB2312" w:hAnsi="AJRNNS+FangSong_GB2312" w:cs="AJRNNS+FangSong_GB2312"/>
          <w:color w:val="000000"/>
          <w:spacing w:val="62"/>
          <w:sz w:val="42"/>
        </w:rPr>
        <w:t>无损</w:t>
      </w:r>
      <w:r>
        <w:rPr>
          <w:rFonts w:ascii="Times New Roman"/>
          <w:color w:val="000000"/>
          <w:spacing w:val="396"/>
          <w:sz w:val="42"/>
        </w:rPr>
        <w:t xml:space="preserve"> </w:t>
      </w:r>
      <w:r>
        <w:rPr>
          <w:rFonts w:ascii="AJRNNS+FangSong_GB2312" w:hAnsi="AJRNNS+FangSong_GB2312" w:cs="AJRNNS+FangSong_GB2312"/>
          <w:color w:val="000000"/>
          <w:spacing w:val="60"/>
          <w:sz w:val="42"/>
        </w:rPr>
        <w:t>没有停</w:t>
      </w:r>
      <w:r>
        <w:rPr>
          <w:rFonts w:ascii="Times New Roman"/>
          <w:color w:val="000000"/>
          <w:spacing w:val="445"/>
          <w:sz w:val="42"/>
        </w:rPr>
        <w:t xml:space="preserve"> </w:t>
      </w:r>
      <w:r>
        <w:rPr>
          <w:rFonts w:ascii="AJRNNS+FangSong_GB2312" w:hAnsi="AJRNNS+FangSong_GB2312" w:cs="AJRNNS+FangSong_GB2312"/>
          <w:color w:val="000000"/>
          <w:spacing w:val="60"/>
          <w:sz w:val="42"/>
        </w:rPr>
        <w:t>形象没有受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51" w:x="8746" w:y="2085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AJRNNS+FangSong_GB2312" w:hAnsi="AJRNNS+FangSong_GB2312" w:cs="AJRNNS+FangSong_GB2312"/>
          <w:color w:val="000000"/>
          <w:spacing w:val="0"/>
          <w:sz w:val="42"/>
        </w:rPr>
        <w:t>失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51" w:x="10449" w:y="2085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AJRNNS+FangSong_GB2312" w:hAnsi="AJRNNS+FangSong_GB2312" w:cs="AJRNNS+FangSong_GB2312"/>
          <w:color w:val="000000"/>
          <w:spacing w:val="0"/>
          <w:sz w:val="42"/>
        </w:rPr>
        <w:t>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51" w:x="12923" w:y="2085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AJRNNS+FangSong_GB2312" w:hAnsi="AJRNNS+FangSong_GB2312" w:cs="AJRNNS+FangSong_GB2312"/>
          <w:color w:val="000000"/>
          <w:spacing w:val="0"/>
          <w:sz w:val="42"/>
        </w:rPr>
        <w:t>损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093" w:x="7137" w:y="2273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AJRNNS+FangSong_GB2312" w:hAnsi="AJRNNS+FangSong_GB2312" w:cs="AJRNNS+FangSong_GB2312"/>
          <w:color w:val="000000"/>
          <w:spacing w:val="2"/>
          <w:sz w:val="42"/>
        </w:rPr>
        <w:t>事件发生的可能性（</w:t>
      </w:r>
      <w:r>
        <w:rPr>
          <w:rFonts w:ascii="HGSRMF+FangSong_GB2312"/>
          <w:color w:val="000000"/>
          <w:spacing w:val="-1"/>
          <w:sz w:val="42"/>
        </w:rPr>
        <w:t>L</w:t>
      </w:r>
      <w:r>
        <w:rPr>
          <w:rFonts w:ascii="AJRNNS+FangSong_GB2312" w:hAnsi="AJRNNS+FangSong_GB2312" w:cs="AJRNNS+FangSong_GB2312"/>
          <w:color w:val="000000"/>
          <w:spacing w:val="0"/>
          <w:sz w:val="42"/>
        </w:rPr>
        <w:t>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125pt;margin-top:184.1pt;z-index:-3;width:607pt;height:897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72" w:x="9264" w:y="205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GDVTV+FangSong_GB2312" w:hAnsi="WGDVTV+FangSong_GB2312" w:cs="WGDVTV+FangSong_GB2312"/>
          <w:color w:val="000000"/>
          <w:spacing w:val="1"/>
          <w:sz w:val="42"/>
        </w:rPr>
        <w:t>标准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078" w:x="4213" w:y="300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GDVTV+FangSong_GB2312" w:hAnsi="WGDVTV+FangSong_GB2312" w:cs="WGDVTV+FangSong_GB2312"/>
          <w:color w:val="000000"/>
          <w:spacing w:val="1"/>
          <w:sz w:val="42"/>
        </w:rPr>
        <w:t>在现场没有采取防范、检测、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WGDVTV+FangSong_GB2312" w:hAnsi="WGDVTV+FangSong_GB2312" w:cs="WGDVTV+FangSong_GB2312"/>
          <w:color w:val="000000"/>
          <w:spacing w:val="1"/>
          <w:sz w:val="42"/>
        </w:rPr>
        <w:t>保护、控制措施，或危害的发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078" w:x="4213" w:y="300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GDVTV+FangSong_GB2312" w:hAnsi="WGDVTV+FangSong_GB2312" w:cs="WGDVTV+FangSong_GB2312"/>
          <w:color w:val="000000"/>
          <w:spacing w:val="-14"/>
          <w:sz w:val="42"/>
        </w:rPr>
        <w:t>生不能被发现（没有检测系统），或在正常情况下经常发生此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078" w:x="4213" w:y="300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GDVTV+FangSong_GB2312" w:hAnsi="WGDVTV+FangSong_GB2312" w:cs="WGDVTV+FangSong_GB2312"/>
          <w:color w:val="000000"/>
          <w:spacing w:val="1"/>
          <w:sz w:val="42"/>
        </w:rPr>
        <w:t>类事故或事件。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594" w:x="4213" w:y="582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GDVTV+FangSong_GB2312" w:hAnsi="WGDVTV+FangSong_GB2312" w:cs="WGDVTV+FangSong_GB2312"/>
          <w:color w:val="000000"/>
          <w:spacing w:val="1"/>
          <w:sz w:val="42"/>
        </w:rPr>
        <w:t>危害的发生不容易被发现，现场没有检测系统，也未做过任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594" w:x="4213" w:y="582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GDVTV+FangSong_GB2312" w:hAnsi="WGDVTV+FangSong_GB2312" w:cs="WGDVTV+FangSong_GB2312"/>
          <w:color w:val="000000"/>
          <w:spacing w:val="1"/>
          <w:sz w:val="42"/>
        </w:rPr>
        <w:t>何检测，或在现场有控制措施，但未有效执行或控制措施不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594" w:x="4213" w:y="5826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GDVTV+FangSong_GB2312" w:hAnsi="WGDVTV+FangSong_GB2312" w:cs="WGDVTV+FangSong_GB2312"/>
          <w:color w:val="000000"/>
          <w:spacing w:val="1"/>
          <w:sz w:val="42"/>
        </w:rPr>
        <w:t>当，或危害常发生或在预期情况下发生。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078" w:x="4213" w:y="865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GDVTV+FangSong_GB2312" w:hAnsi="WGDVTV+FangSong_GB2312" w:cs="WGDVTV+FangSong_GB2312"/>
          <w:color w:val="000000"/>
          <w:spacing w:val="-8"/>
          <w:sz w:val="42"/>
        </w:rPr>
        <w:t>没有保护措施（如没有保护防装置、没有个人防护用品等），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078" w:x="4213" w:y="865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GDVTV+FangSong_GB2312" w:hAnsi="WGDVTV+FangSong_GB2312" w:cs="WGDVTV+FangSong_GB2312"/>
          <w:color w:val="000000"/>
          <w:spacing w:val="1"/>
          <w:sz w:val="42"/>
        </w:rPr>
        <w:t>或未严格按操作程序执行，或危害的发生容易被发现（现场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078" w:x="4213" w:y="865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GDVTV+FangSong_GB2312" w:hAnsi="WGDVTV+FangSong_GB2312" w:cs="WGDVTV+FangSong_GB2312"/>
          <w:color w:val="000000"/>
          <w:spacing w:val="-14"/>
          <w:sz w:val="42"/>
        </w:rPr>
        <w:t>有检测系统），或曾经做过检测，或过去曾经发生类似事故或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078" w:x="4213" w:y="865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GDVTV+FangSong_GB2312" w:hAnsi="WGDVTV+FangSong_GB2312" w:cs="WGDVTV+FangSong_GB2312"/>
          <w:color w:val="000000"/>
          <w:spacing w:val="1"/>
          <w:sz w:val="42"/>
        </w:rPr>
        <w:t>事件，或在异常情况下发生类似事故或事件。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078" w:x="4213" w:y="8652"/>
        <w:widowControl w:val="off"/>
        <w:autoSpaceDE w:val="off"/>
        <w:autoSpaceDN w:val="off"/>
        <w:spacing w:before="52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GDVTV+FangSong_GB2312" w:hAnsi="WGDVTV+FangSong_GB2312" w:cs="WGDVTV+FangSong_GB2312"/>
          <w:color w:val="000000"/>
          <w:spacing w:val="1"/>
          <w:sz w:val="42"/>
        </w:rPr>
        <w:t>危害一旦发生能及时发现。并定期进行检测，或现场有防范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078" w:x="4213" w:y="865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GDVTV+FangSong_GB2312" w:hAnsi="WGDVTV+FangSong_GB2312" w:cs="WGDVTV+FangSong_GB2312"/>
          <w:color w:val="000000"/>
          <w:spacing w:val="-6"/>
          <w:sz w:val="42"/>
        </w:rPr>
        <w:t>控制措施，并能有效执行，或过去偶尔发生危险事故或事件。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078" w:x="4213" w:y="8652"/>
        <w:widowControl w:val="off"/>
        <w:autoSpaceDE w:val="off"/>
        <w:autoSpaceDN w:val="off"/>
        <w:spacing w:before="52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GDVTV+FangSong_GB2312" w:hAnsi="WGDVTV+FangSong_GB2312" w:cs="WGDVTV+FangSong_GB2312"/>
          <w:color w:val="000000"/>
          <w:spacing w:val="1"/>
          <w:sz w:val="42"/>
        </w:rPr>
        <w:t>有充分、有效的防范、控制、检测、保护措施，或员工安全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078" w:x="4213" w:y="865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GDVTV+FangSong_GB2312" w:hAnsi="WGDVTV+FangSong_GB2312" w:cs="WGDVTV+FangSong_GB2312"/>
          <w:color w:val="000000"/>
          <w:spacing w:val="1"/>
          <w:sz w:val="42"/>
        </w:rPr>
        <w:t>卫生意识相当高，严格执行操作规程。极不可能发生事故或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078" w:x="4213" w:y="865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GDVTV+FangSong_GB2312" w:hAnsi="WGDVTV+FangSong_GB2312" w:cs="WGDVTV+FangSong_GB2312"/>
          <w:color w:val="000000"/>
          <w:spacing w:val="1"/>
          <w:sz w:val="42"/>
        </w:rPr>
        <w:t>事件。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022" w:x="6762" w:y="1805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GDVTV+FangSong_GB2312" w:hAnsi="WGDVTV+FangSong_GB2312" w:cs="WGDVTV+FangSong_GB2312"/>
          <w:color w:val="000000"/>
          <w:spacing w:val="62"/>
          <w:sz w:val="42"/>
        </w:rPr>
        <w:t>风险控制措施及实施期限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9009" w:x="7194" w:y="19008"/>
        <w:widowControl w:val="off"/>
        <w:autoSpaceDE w:val="off"/>
        <w:autoSpaceDN w:val="off"/>
        <w:spacing w:before="0" w:after="0" w:line="421" w:lineRule="exact"/>
        <w:ind w:left="25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GDVTV+FangSong_GB2312" w:hAnsi="WGDVTV+FangSong_GB2312" w:cs="WGDVTV+FangSong_GB2312"/>
          <w:color w:val="000000"/>
          <w:spacing w:val="63"/>
          <w:sz w:val="42"/>
        </w:rPr>
        <w:t>应采取的行动</w:t>
      </w:r>
      <w:r>
        <w:rPr>
          <w:rFonts w:ascii="BRNADE+FangSong_GB2312"/>
          <w:color w:val="000000"/>
          <w:spacing w:val="31"/>
          <w:sz w:val="42"/>
        </w:rPr>
        <w:t>/</w:t>
      </w:r>
      <w:r>
        <w:rPr>
          <w:rFonts w:ascii="WGDVTV+FangSong_GB2312" w:hAnsi="WGDVTV+FangSong_GB2312" w:cs="WGDVTV+FangSong_GB2312"/>
          <w:color w:val="000000"/>
          <w:spacing w:val="61"/>
          <w:sz w:val="42"/>
        </w:rPr>
        <w:t>控制措施</w:t>
      </w:r>
      <w:r>
        <w:rPr>
          <w:rFonts w:ascii="Times New Roman"/>
          <w:color w:val="000000"/>
          <w:spacing w:val="550"/>
          <w:sz w:val="42"/>
        </w:rPr>
        <w:t xml:space="preserve"> </w:t>
      </w:r>
      <w:r>
        <w:rPr>
          <w:rFonts w:ascii="WGDVTV+FangSong_GB2312" w:hAnsi="WGDVTV+FangSong_GB2312" w:cs="WGDVTV+FangSong_GB2312"/>
          <w:color w:val="000000"/>
          <w:spacing w:val="62"/>
          <w:sz w:val="42"/>
        </w:rPr>
        <w:t>实施期限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9009" w:x="7194" w:y="19008"/>
        <w:widowControl w:val="off"/>
        <w:autoSpaceDE w:val="off"/>
        <w:autoSpaceDN w:val="off"/>
        <w:spacing w:before="52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GDVTV+FangSong_GB2312" w:hAnsi="WGDVTV+FangSong_GB2312" w:cs="WGDVTV+FangSong_GB2312"/>
          <w:color w:val="000000"/>
          <w:spacing w:val="0"/>
          <w:sz w:val="42"/>
        </w:rPr>
        <w:t>在</w:t>
      </w:r>
      <w:r>
        <w:rPr>
          <w:rFonts w:ascii="Times New Roman"/>
          <w:color w:val="000000"/>
          <w:spacing w:val="-39"/>
          <w:sz w:val="42"/>
        </w:rPr>
        <w:t xml:space="preserve"> </w:t>
      </w:r>
      <w:r>
        <w:rPr>
          <w:rFonts w:ascii="WGDVTV+FangSong_GB2312" w:hAnsi="WGDVTV+FangSong_GB2312" w:cs="WGDVTV+FangSong_GB2312"/>
          <w:color w:val="000000"/>
          <w:spacing w:val="0"/>
          <w:sz w:val="42"/>
        </w:rPr>
        <w:t>采</w:t>
      </w:r>
      <w:r>
        <w:rPr>
          <w:rFonts w:ascii="Times New Roman"/>
          <w:color w:val="000000"/>
          <w:spacing w:val="-39"/>
          <w:sz w:val="42"/>
        </w:rPr>
        <w:t xml:space="preserve"> </w:t>
      </w:r>
      <w:r>
        <w:rPr>
          <w:rFonts w:ascii="WGDVTV+FangSong_GB2312" w:hAnsi="WGDVTV+FangSong_GB2312" w:cs="WGDVTV+FangSong_GB2312"/>
          <w:color w:val="000000"/>
          <w:spacing w:val="62"/>
          <w:sz w:val="42"/>
        </w:rPr>
        <w:t>取措</w:t>
      </w:r>
      <w:r>
        <w:rPr>
          <w:rFonts w:ascii="Times New Roman"/>
          <w:color w:val="000000"/>
          <w:spacing w:val="-101"/>
          <w:sz w:val="42"/>
        </w:rPr>
        <w:t xml:space="preserve"> </w:t>
      </w:r>
      <w:r>
        <w:rPr>
          <w:rFonts w:ascii="WGDVTV+FangSong_GB2312" w:hAnsi="WGDVTV+FangSong_GB2312" w:cs="WGDVTV+FangSong_GB2312"/>
          <w:color w:val="000000"/>
          <w:spacing w:val="62"/>
          <w:sz w:val="42"/>
        </w:rPr>
        <w:t>施降</w:t>
      </w:r>
      <w:r>
        <w:rPr>
          <w:rFonts w:ascii="Times New Roman"/>
          <w:color w:val="000000"/>
          <w:spacing w:val="-101"/>
          <w:sz w:val="42"/>
        </w:rPr>
        <w:t xml:space="preserve"> </w:t>
      </w:r>
      <w:r>
        <w:rPr>
          <w:rFonts w:ascii="WGDVTV+FangSong_GB2312" w:hAnsi="WGDVTV+FangSong_GB2312" w:cs="WGDVTV+FangSong_GB2312"/>
          <w:color w:val="000000"/>
          <w:spacing w:val="62"/>
          <w:sz w:val="42"/>
        </w:rPr>
        <w:t>低危</w:t>
      </w:r>
      <w:r>
        <w:rPr>
          <w:rFonts w:ascii="Times New Roman"/>
          <w:color w:val="000000"/>
          <w:spacing w:val="-101"/>
          <w:sz w:val="42"/>
        </w:rPr>
        <w:t xml:space="preserve"> </w:t>
      </w:r>
      <w:r>
        <w:rPr>
          <w:rFonts w:ascii="WGDVTV+FangSong_GB2312" w:hAnsi="WGDVTV+FangSong_GB2312" w:cs="WGDVTV+FangSong_GB2312"/>
          <w:color w:val="000000"/>
          <w:spacing w:val="0"/>
          <w:sz w:val="42"/>
        </w:rPr>
        <w:t>害</w:t>
      </w:r>
      <w:r>
        <w:rPr>
          <w:rFonts w:ascii="Times New Roman"/>
          <w:color w:val="000000"/>
          <w:spacing w:val="-39"/>
          <w:sz w:val="42"/>
        </w:rPr>
        <w:t xml:space="preserve"> </w:t>
      </w:r>
      <w:r>
        <w:rPr>
          <w:rFonts w:ascii="WGDVTV+FangSong_GB2312" w:hAnsi="WGDVTV+FangSong_GB2312" w:cs="WGDVTV+FangSong_GB2312"/>
          <w:color w:val="000000"/>
          <w:spacing w:val="0"/>
          <w:sz w:val="42"/>
        </w:rPr>
        <w:t>前</w:t>
      </w:r>
      <w:r>
        <w:rPr>
          <w:rFonts w:ascii="Times New Roman"/>
          <w:color w:val="000000"/>
          <w:spacing w:val="-38"/>
          <w:sz w:val="42"/>
        </w:rPr>
        <w:t xml:space="preserve"> </w:t>
      </w:r>
      <w:r>
        <w:rPr>
          <w:rFonts w:ascii="BRNADE+FangSong_GB2312"/>
          <w:color w:val="000000"/>
          <w:spacing w:val="35"/>
          <w:sz w:val="42"/>
        </w:rPr>
        <w:t>,</w:t>
      </w:r>
      <w:r>
        <w:rPr>
          <w:rFonts w:ascii="WGDVTV+FangSong_GB2312" w:hAnsi="WGDVTV+FangSong_GB2312" w:cs="WGDVTV+FangSong_GB2312"/>
          <w:color w:val="000000"/>
          <w:spacing w:val="0"/>
          <w:sz w:val="42"/>
        </w:rPr>
        <w:t>不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051" w:x="2805" w:y="22784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BRNADE+FangSong_GB2312"/>
          <w:color w:val="000000"/>
          <w:spacing w:val="0"/>
          <w:sz w:val="42"/>
        </w:rPr>
        <w:t>15</w:t>
      </w:r>
      <w:r>
        <w:rPr>
          <w:rFonts w:ascii="WGDVTV+FangSong_GB2312" w:hAnsi="WGDVTV+FangSong_GB2312" w:cs="WGDVTV+FangSong_GB2312"/>
          <w:color w:val="000000"/>
          <w:spacing w:val="62"/>
          <w:sz w:val="42"/>
        </w:rPr>
        <w:t>－</w:t>
      </w:r>
      <w:r>
        <w:rPr>
          <w:rFonts w:ascii="BRNADE+FangSong_GB2312"/>
          <w:color w:val="000000"/>
          <w:spacing w:val="1"/>
          <w:sz w:val="42"/>
        </w:rPr>
        <w:t>16</w:t>
      </w:r>
      <w:r>
        <w:rPr>
          <w:rFonts w:ascii="Times New Roman"/>
          <w:color w:val="000000"/>
          <w:spacing w:val="521"/>
          <w:sz w:val="42"/>
        </w:rPr>
        <w:t xml:space="preserve"> </w:t>
      </w:r>
      <w:r>
        <w:rPr>
          <w:rFonts w:ascii="WGDVTV+FangSong_GB2312" w:hAnsi="WGDVTV+FangSong_GB2312" w:cs="WGDVTV+FangSong_GB2312"/>
          <w:color w:val="000000"/>
          <w:spacing w:val="60"/>
          <w:sz w:val="42"/>
        </w:rPr>
        <w:t>重大风险</w:t>
      </w:r>
      <w:r>
        <w:rPr>
          <w:rFonts w:ascii="Times New Roman"/>
          <w:color w:val="000000"/>
          <w:spacing w:val="353"/>
          <w:sz w:val="42"/>
        </w:rPr>
        <w:t xml:space="preserve"> </w:t>
      </w:r>
      <w:r>
        <w:rPr>
          <w:rFonts w:ascii="WGDVTV+FangSong_GB2312" w:hAnsi="WGDVTV+FangSong_GB2312" w:cs="WGDVTV+FangSong_GB2312"/>
          <w:color w:val="000000"/>
          <w:spacing w:val="39"/>
          <w:sz w:val="42"/>
        </w:rPr>
        <w:t>采取紧急措施降低风险，建</w:t>
      </w:r>
      <w:r>
        <w:rPr>
          <w:rFonts w:ascii="Times New Roman"/>
          <w:color w:val="000000"/>
          <w:spacing w:val="323"/>
          <w:sz w:val="42"/>
        </w:rPr>
        <w:t xml:space="preserve"> </w:t>
      </w:r>
      <w:r>
        <w:rPr>
          <w:rFonts w:ascii="WGDVTV+FangSong_GB2312" w:hAnsi="WGDVTV+FangSong_GB2312" w:cs="WGDVTV+FangSong_GB2312"/>
          <w:color w:val="000000"/>
          <w:spacing w:val="60"/>
          <w:sz w:val="42"/>
        </w:rPr>
        <w:t>立即或近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" style="position:absolute;margin-left:125pt;margin-top:90.35pt;z-index:-7;width:644pt;height:757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noProof w:val="on"/>
        </w:rPr>
        <w:pict>
          <v:shape xmlns:v="urn:schemas-microsoft-com:vml" id="_x00002" style="position:absolute;margin-left:125pt;margin-top:938.1pt;z-index:-11;width:644pt;height:240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8728" w:x="7194" w:y="205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CNPDU+FangSong_GB2312" w:hAnsi="WCNPDU+FangSong_GB2312" w:cs="WCNPDU+FangSong_GB2312"/>
          <w:color w:val="000000"/>
          <w:spacing w:val="0"/>
          <w:sz w:val="42"/>
        </w:rPr>
        <w:t>立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WCNPDU+FangSong_GB2312" w:hAnsi="WCNPDU+FangSong_GB2312" w:cs="WCNPDU+FangSong_GB2312"/>
          <w:color w:val="000000"/>
          <w:spacing w:val="0"/>
          <w:sz w:val="42"/>
        </w:rPr>
        <w:t>运</w:t>
      </w:r>
      <w:r>
        <w:rPr>
          <w:rFonts w:ascii="Times New Roman"/>
          <w:color w:val="000000"/>
          <w:spacing w:val="-18"/>
          <w:sz w:val="42"/>
        </w:rPr>
        <w:t xml:space="preserve"> </w:t>
      </w:r>
      <w:r>
        <w:rPr>
          <w:rFonts w:ascii="WCNPDU+FangSong_GB2312" w:hAnsi="WCNPDU+FangSong_GB2312" w:cs="WCNPDU+FangSong_GB2312"/>
          <w:color w:val="000000"/>
          <w:spacing w:val="0"/>
          <w:sz w:val="42"/>
        </w:rPr>
        <w:t>行</w:t>
      </w:r>
      <w:r>
        <w:rPr>
          <w:rFonts w:ascii="Times New Roman"/>
          <w:color w:val="000000"/>
          <w:spacing w:val="-18"/>
          <w:sz w:val="42"/>
        </w:rPr>
        <w:t xml:space="preserve"> </w:t>
      </w:r>
      <w:r>
        <w:rPr>
          <w:rFonts w:ascii="WCNPDU+FangSong_GB2312" w:hAnsi="WCNPDU+FangSong_GB2312" w:cs="WCNPDU+FangSong_GB2312"/>
          <w:color w:val="000000"/>
          <w:spacing w:val="0"/>
          <w:sz w:val="42"/>
        </w:rPr>
        <w:t>控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WCNPDU+FangSong_GB2312" w:hAnsi="WCNPDU+FangSong_GB2312" w:cs="WCNPDU+FangSong_GB2312"/>
          <w:color w:val="000000"/>
          <w:spacing w:val="0"/>
          <w:sz w:val="42"/>
        </w:rPr>
        <w:t>制</w:t>
      </w:r>
      <w:r>
        <w:rPr>
          <w:rFonts w:ascii="Times New Roman"/>
          <w:color w:val="000000"/>
          <w:spacing w:val="-18"/>
          <w:sz w:val="42"/>
        </w:rPr>
        <w:t xml:space="preserve"> </w:t>
      </w:r>
      <w:r>
        <w:rPr>
          <w:rFonts w:ascii="WCNPDU+FangSong_GB2312" w:hAnsi="WCNPDU+FangSong_GB2312" w:cs="WCNPDU+FangSong_GB2312"/>
          <w:color w:val="000000"/>
          <w:spacing w:val="0"/>
          <w:sz w:val="42"/>
        </w:rPr>
        <w:t>程</w:t>
      </w:r>
      <w:r>
        <w:rPr>
          <w:rFonts w:ascii="Times New Roman"/>
          <w:color w:val="000000"/>
          <w:spacing w:val="-18"/>
          <w:sz w:val="42"/>
        </w:rPr>
        <w:t xml:space="preserve"> </w:t>
      </w:r>
      <w:r>
        <w:rPr>
          <w:rFonts w:ascii="WCNPDU+FangSong_GB2312" w:hAnsi="WCNPDU+FangSong_GB2312" w:cs="WCNPDU+FangSong_GB2312"/>
          <w:color w:val="000000"/>
          <w:spacing w:val="0"/>
          <w:sz w:val="42"/>
        </w:rPr>
        <w:t>序</w:t>
      </w:r>
      <w:r>
        <w:rPr>
          <w:rFonts w:ascii="Times New Roman"/>
          <w:color w:val="000000"/>
          <w:spacing w:val="-18"/>
          <w:sz w:val="42"/>
        </w:rPr>
        <w:t xml:space="preserve"> </w:t>
      </w:r>
      <w:r>
        <w:rPr>
          <w:rFonts w:ascii="WCNPDU+FangSong_GB2312" w:hAnsi="WCNPDU+FangSong_GB2312" w:cs="WCNPDU+FangSong_GB2312"/>
          <w:color w:val="000000"/>
          <w:spacing w:val="0"/>
          <w:sz w:val="42"/>
        </w:rPr>
        <w:t>，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WCNPDU+FangSong_GB2312" w:hAnsi="WCNPDU+FangSong_GB2312" w:cs="WCNPDU+FangSong_GB2312"/>
          <w:color w:val="000000"/>
          <w:spacing w:val="0"/>
          <w:sz w:val="42"/>
        </w:rPr>
        <w:t>定</w:t>
      </w:r>
      <w:r>
        <w:rPr>
          <w:rFonts w:ascii="Times New Roman"/>
          <w:color w:val="000000"/>
          <w:spacing w:val="-18"/>
          <w:sz w:val="42"/>
        </w:rPr>
        <w:t xml:space="preserve"> </w:t>
      </w:r>
      <w:r>
        <w:rPr>
          <w:rFonts w:ascii="WCNPDU+FangSong_GB2312" w:hAnsi="WCNPDU+FangSong_GB2312" w:cs="WCNPDU+FangSong_GB2312"/>
          <w:color w:val="000000"/>
          <w:spacing w:val="0"/>
          <w:sz w:val="42"/>
        </w:rPr>
        <w:t>期</w:t>
      </w:r>
      <w:r>
        <w:rPr>
          <w:rFonts w:ascii="Times New Roman"/>
          <w:color w:val="000000"/>
          <w:spacing w:val="-18"/>
          <w:sz w:val="42"/>
        </w:rPr>
        <w:t xml:space="preserve"> </w:t>
      </w:r>
      <w:r>
        <w:rPr>
          <w:rFonts w:ascii="WCNPDU+FangSong_GB2312" w:hAnsi="WCNPDU+FangSong_GB2312" w:cs="WCNPDU+FangSong_GB2312"/>
          <w:color w:val="000000"/>
          <w:spacing w:val="0"/>
          <w:sz w:val="42"/>
        </w:rPr>
        <w:t>检</w:t>
      </w:r>
      <w:r>
        <w:rPr>
          <w:rFonts w:ascii="Times New Roman"/>
          <w:color w:val="000000"/>
          <w:spacing w:val="600"/>
          <w:sz w:val="42"/>
        </w:rPr>
        <w:t xml:space="preserve"> </w:t>
      </w:r>
      <w:r>
        <w:rPr>
          <w:rFonts w:ascii="WCNPDU+FangSong_GB2312" w:hAnsi="WCNPDU+FangSong_GB2312" w:cs="WCNPDU+FangSong_GB2312"/>
          <w:color w:val="000000"/>
          <w:spacing w:val="60"/>
          <w:sz w:val="42"/>
        </w:rPr>
        <w:t>期整改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8728" w:x="7194" w:y="205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CNPDU+FangSong_GB2312" w:hAnsi="WCNPDU+FangSong_GB2312" w:cs="WCNPDU+FangSong_GB2312"/>
          <w:color w:val="000000"/>
          <w:spacing w:val="59"/>
          <w:sz w:val="42"/>
        </w:rPr>
        <w:t>查、测量及评估。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8935" w:x="7194" w:y="393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CNPDU+FangSong_GB2312" w:hAnsi="WCNPDU+FangSong_GB2312" w:cs="WCNPDU+FangSong_GB2312"/>
          <w:color w:val="000000"/>
          <w:spacing w:val="39"/>
          <w:sz w:val="42"/>
        </w:rPr>
        <w:t>可考虑建立目标、建立操作</w:t>
      </w:r>
      <w:r>
        <w:rPr>
          <w:rFonts w:ascii="Times New Roman"/>
          <w:color w:val="000000"/>
          <w:spacing w:val="381"/>
          <w:sz w:val="42"/>
        </w:rPr>
        <w:t xml:space="preserve"> </w:t>
      </w:r>
      <w:r>
        <w:rPr>
          <w:rFonts w:ascii="TMDEHI+FangSong_GB2312"/>
          <w:color w:val="000000"/>
          <w:spacing w:val="0"/>
          <w:sz w:val="42"/>
        </w:rPr>
        <w:t>2</w:t>
      </w:r>
      <w:r>
        <w:rPr>
          <w:rFonts w:ascii="Times New Roman"/>
          <w:color w:val="000000"/>
          <w:spacing w:val="46"/>
          <w:sz w:val="42"/>
        </w:rPr>
        <w:t xml:space="preserve"> </w:t>
      </w:r>
      <w:r>
        <w:rPr>
          <w:rFonts w:ascii="WCNPDU+FangSong_GB2312" w:hAnsi="WCNPDU+FangSong_GB2312" w:cs="WCNPDU+FangSong_GB2312"/>
          <w:color w:val="000000"/>
          <w:spacing w:val="60"/>
          <w:sz w:val="42"/>
        </w:rPr>
        <w:t>年内治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34" w:x="5296" w:y="440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CNPDU+FangSong_GB2312" w:hAnsi="WCNPDU+FangSong_GB2312" w:cs="WCNPDU+FangSong_GB2312"/>
          <w:color w:val="000000"/>
          <w:spacing w:val="62"/>
          <w:sz w:val="42"/>
        </w:rPr>
        <w:t>中等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51" w:x="13885" w:y="487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CNPDU+FangSong_GB2312" w:hAnsi="WCNPDU+FangSong_GB2312" w:cs="WCNPDU+FangSong_GB2312"/>
          <w:color w:val="000000"/>
          <w:spacing w:val="0"/>
          <w:sz w:val="42"/>
        </w:rPr>
        <w:t>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9004" w:x="7194" w:y="582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CNPDU+FangSong_GB2312" w:hAnsi="WCNPDU+FangSong_GB2312" w:cs="WCNPDU+FangSong_GB2312"/>
          <w:color w:val="000000"/>
          <w:spacing w:val="39"/>
          <w:sz w:val="42"/>
        </w:rPr>
        <w:t>可考虑建立操作规程、作业</w:t>
      </w:r>
      <w:r>
        <w:rPr>
          <w:rFonts w:ascii="Times New Roman"/>
          <w:color w:val="000000"/>
          <w:spacing w:val="323"/>
          <w:sz w:val="42"/>
        </w:rPr>
        <w:t xml:space="preserve"> </w:t>
      </w:r>
      <w:r>
        <w:rPr>
          <w:rFonts w:ascii="WCNPDU+FangSong_GB2312" w:hAnsi="WCNPDU+FangSong_GB2312" w:cs="WCNPDU+FangSong_GB2312"/>
          <w:color w:val="000000"/>
          <w:spacing w:val="60"/>
          <w:sz w:val="42"/>
        </w:rPr>
        <w:t>有条件、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358" w:x="5055" w:y="676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CNPDU+FangSong_GB2312" w:hAnsi="WCNPDU+FangSong_GB2312" w:cs="WCNPDU+FangSong_GB2312"/>
          <w:color w:val="000000"/>
          <w:spacing w:val="60"/>
          <w:sz w:val="42"/>
        </w:rPr>
        <w:t>可容忍</w:t>
      </w:r>
      <w:r>
        <w:rPr>
          <w:rFonts w:ascii="Times New Roman"/>
          <w:color w:val="000000"/>
          <w:spacing w:val="594"/>
          <w:sz w:val="42"/>
        </w:rPr>
        <w:t xml:space="preserve"> </w:t>
      </w:r>
      <w:r>
        <w:rPr>
          <w:rFonts w:ascii="WCNPDU+FangSong_GB2312" w:hAnsi="WCNPDU+FangSong_GB2312" w:cs="WCNPDU+FangSong_GB2312"/>
          <w:color w:val="000000"/>
          <w:spacing w:val="60"/>
          <w:sz w:val="42"/>
        </w:rPr>
        <w:t>指导书但需定期检查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490" w:x="13164" w:y="676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CNPDU+FangSong_GB2312" w:hAnsi="WCNPDU+FangSong_GB2312" w:cs="WCNPDU+FangSong_GB2312"/>
          <w:color w:val="000000"/>
          <w:spacing w:val="60"/>
          <w:sz w:val="42"/>
        </w:rPr>
        <w:t>有经费时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490" w:x="13164" w:y="6762"/>
        <w:widowControl w:val="off"/>
        <w:autoSpaceDE w:val="off"/>
        <w:autoSpaceDN w:val="off"/>
        <w:spacing w:before="516" w:after="0" w:line="421" w:lineRule="exact"/>
        <w:ind w:left="4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CNPDU+FangSong_GB2312" w:hAnsi="WCNPDU+FangSong_GB2312" w:cs="WCNPDU+FangSong_GB2312"/>
          <w:color w:val="000000"/>
          <w:spacing w:val="62"/>
          <w:sz w:val="42"/>
        </w:rPr>
        <w:t>治理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9063" w:x="4817" w:y="865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CNPDU+FangSong_GB2312" w:hAnsi="WCNPDU+FangSong_GB2312" w:cs="WCNPDU+FangSong_GB2312"/>
          <w:color w:val="000000"/>
          <w:spacing w:val="60"/>
          <w:sz w:val="42"/>
        </w:rPr>
        <w:t>轻微或可</w:t>
      </w:r>
      <w:r>
        <w:rPr>
          <w:rFonts w:ascii="Times New Roman"/>
          <w:color w:val="000000"/>
          <w:spacing w:val="353"/>
          <w:sz w:val="42"/>
        </w:rPr>
        <w:t xml:space="preserve"> </w:t>
      </w:r>
      <w:r>
        <w:rPr>
          <w:rFonts w:ascii="WCNPDU+FangSong_GB2312" w:hAnsi="WCNPDU+FangSong_GB2312" w:cs="WCNPDU+FangSong_GB2312"/>
          <w:color w:val="000000"/>
          <w:spacing w:val="39"/>
          <w:sz w:val="42"/>
        </w:rPr>
        <w:t>无需采用控制措施，但需保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388" w:x="4817" w:y="958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CNPDU+FangSong_GB2312" w:hAnsi="WCNPDU+FangSong_GB2312" w:cs="WCNPDU+FangSong_GB2312"/>
          <w:color w:val="000000"/>
          <w:spacing w:val="60"/>
          <w:sz w:val="42"/>
        </w:rPr>
        <w:t>忽略的风</w:t>
      </w:r>
      <w:r>
        <w:rPr>
          <w:rFonts w:ascii="Times New Roman"/>
          <w:color w:val="000000"/>
          <w:spacing w:val="353"/>
          <w:sz w:val="42"/>
        </w:rPr>
        <w:t xml:space="preserve"> </w:t>
      </w:r>
      <w:r>
        <w:rPr>
          <w:rFonts w:ascii="WCNPDU+FangSong_GB2312" w:hAnsi="WCNPDU+FangSong_GB2312" w:cs="WCNPDU+FangSong_GB2312"/>
          <w:color w:val="000000"/>
          <w:spacing w:val="60"/>
          <w:sz w:val="42"/>
        </w:rPr>
        <w:t>存记录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388" w:x="4817" w:y="9588"/>
        <w:widowControl w:val="off"/>
        <w:autoSpaceDE w:val="off"/>
        <w:autoSpaceDN w:val="off"/>
        <w:spacing w:before="515" w:after="0" w:line="421" w:lineRule="exact"/>
        <w:ind w:left="72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CNPDU+FangSong_GB2312" w:hAnsi="WCNPDU+FangSong_GB2312" w:cs="WCNPDU+FangSong_GB2312"/>
          <w:color w:val="000000"/>
          <w:spacing w:val="0"/>
          <w:sz w:val="42"/>
        </w:rPr>
        <w:t>险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1861" w:x="2701" w:y="1147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TMDEHI+FangSong_GB2312"/>
          <w:color w:val="000000"/>
          <w:spacing w:val="-1"/>
          <w:sz w:val="42"/>
        </w:rPr>
        <w:t>3</w:t>
      </w:r>
      <w:r>
        <w:rPr>
          <w:rFonts w:ascii="WCNPDU+FangSong_GB2312" w:hAnsi="WCNPDU+FangSong_GB2312" w:cs="WCNPDU+FangSong_GB2312"/>
          <w:color w:val="000000"/>
          <w:spacing w:val="1"/>
          <w:sz w:val="42"/>
        </w:rPr>
        <w:t>、外部评价由有关资质的机构自行选用评价准则。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1861" w:x="2701" w:y="1147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TMDEHI+FangSong_GB2312"/>
          <w:color w:val="000000"/>
          <w:spacing w:val="2"/>
          <w:sz w:val="42"/>
        </w:rPr>
        <w:t>6</w:t>
      </w:r>
      <w:r>
        <w:rPr>
          <w:rFonts w:ascii="WCNPDU+FangSong_GB2312" w:hAnsi="WCNPDU+FangSong_GB2312" w:cs="WCNPDU+FangSong_GB2312"/>
          <w:color w:val="000000"/>
          <w:spacing w:val="1"/>
          <w:sz w:val="42"/>
        </w:rPr>
        <w:t>、风险评价、分析的范围及职责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91" w:x="2701" w:y="13347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CNPDU+FangSong_GB2312" w:hAnsi="WCNPDU+FangSong_GB2312" w:cs="WCNPDU+FangSong_GB2312"/>
          <w:color w:val="000000"/>
          <w:spacing w:val="5"/>
          <w:sz w:val="42"/>
        </w:rPr>
        <w:t>（</w:t>
      </w:r>
      <w:r>
        <w:rPr>
          <w:rFonts w:ascii="TMDEHI+FangSong_GB2312"/>
          <w:color w:val="000000"/>
          <w:spacing w:val="2"/>
          <w:sz w:val="42"/>
        </w:rPr>
        <w:t>1</w:t>
      </w:r>
      <w:r>
        <w:rPr>
          <w:rFonts w:ascii="WCNPDU+FangSong_GB2312" w:hAnsi="WCNPDU+FangSong_GB2312" w:cs="WCNPDU+FangSong_GB2312"/>
          <w:color w:val="000000"/>
          <w:spacing w:val="1"/>
          <w:sz w:val="42"/>
        </w:rPr>
        <w:t>）新改扩建项目规划、设计前应由有资质的安全评价机构做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91" w:x="2701" w:y="13347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CNPDU+FangSong_GB2312" w:hAnsi="WCNPDU+FangSong_GB2312" w:cs="WCNPDU+FangSong_GB2312"/>
          <w:color w:val="000000"/>
          <w:spacing w:val="1"/>
          <w:sz w:val="42"/>
        </w:rPr>
        <w:t>安全预（设立）评价；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91" w:x="2701" w:y="15219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CNPDU+FangSong_GB2312" w:hAnsi="WCNPDU+FangSong_GB2312" w:cs="WCNPDU+FangSong_GB2312"/>
          <w:color w:val="000000"/>
          <w:spacing w:val="5"/>
          <w:sz w:val="42"/>
        </w:rPr>
        <w:t>（</w:t>
      </w:r>
      <w:r>
        <w:rPr>
          <w:rFonts w:ascii="TMDEHI+FangSong_GB2312"/>
          <w:color w:val="000000"/>
          <w:spacing w:val="2"/>
          <w:sz w:val="42"/>
        </w:rPr>
        <w:t>2</w:t>
      </w:r>
      <w:r>
        <w:rPr>
          <w:rFonts w:ascii="WCNPDU+FangSong_GB2312" w:hAnsi="WCNPDU+FangSong_GB2312" w:cs="WCNPDU+FangSong_GB2312"/>
          <w:color w:val="000000"/>
          <w:spacing w:val="1"/>
          <w:sz w:val="42"/>
        </w:rPr>
        <w:t>）新改扩建项目的建设阶段应由安全员、厂务部进行风险分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91" w:x="2701" w:y="15219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CNPDU+FangSong_GB2312" w:hAnsi="WCNPDU+FangSong_GB2312" w:cs="WCNPDU+FangSong_GB2312"/>
          <w:color w:val="000000"/>
          <w:spacing w:val="1"/>
          <w:sz w:val="42"/>
        </w:rPr>
        <w:t>析，做好风险控制记录；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02" w:x="2701" w:y="17091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CNPDU+FangSong_GB2312" w:hAnsi="WCNPDU+FangSong_GB2312" w:cs="WCNPDU+FangSong_GB2312"/>
          <w:color w:val="000000"/>
          <w:spacing w:val="5"/>
          <w:sz w:val="42"/>
        </w:rPr>
        <w:t>（</w:t>
      </w:r>
      <w:r>
        <w:rPr>
          <w:rFonts w:ascii="TMDEHI+FangSong_GB2312"/>
          <w:color w:val="000000"/>
          <w:spacing w:val="2"/>
          <w:sz w:val="42"/>
        </w:rPr>
        <w:t>3</w:t>
      </w:r>
      <w:r>
        <w:rPr>
          <w:rFonts w:ascii="WCNPDU+FangSong_GB2312" w:hAnsi="WCNPDU+FangSong_GB2312" w:cs="WCNPDU+FangSong_GB2312"/>
          <w:color w:val="000000"/>
          <w:spacing w:val="1"/>
          <w:sz w:val="42"/>
        </w:rPr>
        <w:t>）公司投产、运行过程中的常规和非常规以及丢弃、废弃、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02" w:x="2701" w:y="17091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CNPDU+FangSong_GB2312" w:hAnsi="WCNPDU+FangSong_GB2312" w:cs="WCNPDU+FangSong_GB2312"/>
          <w:color w:val="000000"/>
          <w:spacing w:val="1"/>
          <w:sz w:val="42"/>
        </w:rPr>
        <w:t>拆除与处置活动应由各部门进行分析并做好风险控制记录；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02" w:x="2701" w:y="17091"/>
        <w:widowControl w:val="off"/>
        <w:autoSpaceDE w:val="off"/>
        <w:autoSpaceDN w:val="off"/>
        <w:spacing w:before="515" w:after="0" w:line="421" w:lineRule="exact"/>
        <w:ind w:left="63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CNPDU+FangSong_GB2312" w:hAnsi="WCNPDU+FangSong_GB2312" w:cs="WCNPDU+FangSong_GB2312"/>
          <w:color w:val="000000"/>
          <w:spacing w:val="1"/>
          <w:sz w:val="42"/>
        </w:rPr>
        <w:t>（</w:t>
      </w:r>
      <w:r>
        <w:rPr>
          <w:rFonts w:ascii="TMDEHI+FangSong_GB2312"/>
          <w:color w:val="000000"/>
          <w:spacing w:val="-1"/>
          <w:sz w:val="42"/>
        </w:rPr>
        <w:t>4</w:t>
      </w:r>
      <w:r>
        <w:rPr>
          <w:rFonts w:ascii="WCNPDU+FangSong_GB2312" w:hAnsi="WCNPDU+FangSong_GB2312" w:cs="WCNPDU+FangSong_GB2312"/>
          <w:color w:val="000000"/>
          <w:spacing w:val="-12"/>
          <w:sz w:val="42"/>
        </w:rPr>
        <w:t>）所有进入经营场所的人员活动、经营场所的设施、设备风险、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02" w:x="2701" w:y="17091"/>
        <w:widowControl w:val="off"/>
        <w:autoSpaceDE w:val="off"/>
        <w:autoSpaceDN w:val="off"/>
        <w:spacing w:before="515" w:after="0" w:line="421" w:lineRule="exact"/>
        <w:ind w:left="63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CNPDU+FangSong_GB2312" w:hAnsi="WCNPDU+FangSong_GB2312" w:cs="WCNPDU+FangSong_GB2312"/>
          <w:color w:val="000000"/>
          <w:spacing w:val="-4"/>
          <w:sz w:val="42"/>
        </w:rPr>
        <w:t>危险因素，包括：违反安全操作规程和安全生产规章制度的风险，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02" w:x="2701" w:y="17091"/>
        <w:widowControl w:val="off"/>
        <w:autoSpaceDE w:val="off"/>
        <w:autoSpaceDN w:val="off"/>
        <w:spacing w:before="515" w:after="0" w:line="421" w:lineRule="exact"/>
        <w:ind w:left="63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CNPDU+FangSong_GB2312" w:hAnsi="WCNPDU+FangSong_GB2312" w:cs="WCNPDU+FangSong_GB2312"/>
          <w:color w:val="000000"/>
          <w:spacing w:val="1"/>
          <w:sz w:val="42"/>
        </w:rPr>
        <w:t>由所在部门进行分析，并做好控制记录；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1772"/>
        <w:widowControl w:val="off"/>
        <w:autoSpaceDE w:val="off"/>
        <w:autoSpaceDN w:val="off"/>
        <w:spacing w:before="0" w:after="0" w:line="421" w:lineRule="exact"/>
        <w:ind w:left="63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CNPDU+FangSong_GB2312" w:hAnsi="WCNPDU+FangSong_GB2312" w:cs="WCNPDU+FangSong_GB2312"/>
          <w:color w:val="000000"/>
          <w:spacing w:val="1"/>
          <w:sz w:val="42"/>
        </w:rPr>
        <w:t>（</w:t>
      </w:r>
      <w:r>
        <w:rPr>
          <w:rFonts w:ascii="TMDEHI+FangSong_GB2312"/>
          <w:color w:val="000000"/>
          <w:spacing w:val="-1"/>
          <w:sz w:val="42"/>
        </w:rPr>
        <w:t>5</w:t>
      </w:r>
      <w:r>
        <w:rPr>
          <w:rFonts w:ascii="WCNPDU+FangSong_GB2312" w:hAnsi="WCNPDU+FangSong_GB2312" w:cs="WCNPDU+FangSong_GB2312"/>
          <w:color w:val="000000"/>
          <w:spacing w:val="1"/>
          <w:sz w:val="42"/>
        </w:rPr>
        <w:t>）商品的运输和销售过程以及经营场所的设施、设备、车辆、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177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CNPDU+FangSong_GB2312" w:hAnsi="WCNPDU+FangSong_GB2312" w:cs="WCNPDU+FangSong_GB2312"/>
          <w:color w:val="000000"/>
          <w:spacing w:val="1"/>
          <w:sz w:val="42"/>
        </w:rPr>
        <w:t>安全防护用品的风险由营销部、业务部进行分析，并做好控制记录；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3" style="position:absolute;margin-left:125pt;margin-top:90.35pt;z-index:-15;width:644pt;height:475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3805" w:x="3331" w:y="20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CROSL+FangSong_GB2312" w:hAnsi="HCROSL+FangSong_GB2312" w:cs="HCROSL+FangSong_GB2312"/>
          <w:color w:val="000000"/>
          <w:spacing w:val="1"/>
          <w:sz w:val="42"/>
        </w:rPr>
        <w:t>（</w:t>
      </w:r>
      <w:r>
        <w:rPr>
          <w:rFonts w:ascii="GIVRWE+FangSong_GB2312"/>
          <w:color w:val="000000"/>
          <w:spacing w:val="-1"/>
          <w:sz w:val="42"/>
        </w:rPr>
        <w:t>6</w:t>
      </w:r>
      <w:r>
        <w:rPr>
          <w:rFonts w:ascii="HCROSL+FangSong_GB2312" w:hAnsi="HCROSL+FangSong_GB2312" w:cs="HCROSL+FangSong_GB2312"/>
          <w:color w:val="000000"/>
          <w:spacing w:val="-4"/>
          <w:sz w:val="42"/>
        </w:rPr>
        <w:t>）气候、地震及其他自然灾害等应由评价资质机构进行风险评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805" w:x="333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CROSL+FangSong_GB2312" w:hAnsi="HCROSL+FangSong_GB2312" w:cs="HCROSL+FangSong_GB2312"/>
          <w:color w:val="000000"/>
          <w:spacing w:val="1"/>
          <w:sz w:val="42"/>
        </w:rPr>
        <w:t>价；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805" w:x="3331" w:y="391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CROSL+FangSong_GB2312" w:hAnsi="HCROSL+FangSong_GB2312" w:cs="HCROSL+FangSong_GB2312"/>
          <w:color w:val="000000"/>
          <w:spacing w:val="1"/>
          <w:sz w:val="42"/>
        </w:rPr>
        <w:t>（</w:t>
      </w:r>
      <w:r>
        <w:rPr>
          <w:rFonts w:ascii="GIVRWE+FangSong_GB2312"/>
          <w:color w:val="000000"/>
          <w:spacing w:val="-1"/>
          <w:sz w:val="42"/>
        </w:rPr>
        <w:t>7</w:t>
      </w:r>
      <w:r>
        <w:rPr>
          <w:rFonts w:ascii="HCROSL+FangSong_GB2312" w:hAnsi="HCROSL+FangSong_GB2312" w:cs="HCROSL+FangSong_GB2312"/>
          <w:color w:val="000000"/>
          <w:spacing w:val="-5"/>
          <w:sz w:val="42"/>
        </w:rPr>
        <w:t>）事故及潜在的紧急情况。企业周边环境由安全管理员进行分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805" w:x="3331" w:y="3910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CROSL+FangSong_GB2312" w:hAnsi="HCROSL+FangSong_GB2312" w:cs="HCROSL+FangSong_GB2312"/>
          <w:color w:val="000000"/>
          <w:spacing w:val="1"/>
          <w:sz w:val="42"/>
        </w:rPr>
        <w:t>析，并做好控制记录。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3791" w:x="2701" w:y="578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GIVRWE+FangSong_GB2312"/>
          <w:color w:val="000000"/>
          <w:spacing w:val="2"/>
          <w:sz w:val="42"/>
        </w:rPr>
        <w:t>7</w:t>
      </w:r>
      <w:r>
        <w:rPr>
          <w:rFonts w:ascii="HCROSL+FangSong_GB2312" w:hAnsi="HCROSL+FangSong_GB2312" w:cs="HCROSL+FangSong_GB2312"/>
          <w:color w:val="000000"/>
          <w:spacing w:val="1"/>
          <w:sz w:val="42"/>
        </w:rPr>
        <w:t>、风险评价周期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438" w:x="3539" w:y="671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GIVRWE+FangSong_GB2312"/>
          <w:color w:val="000000"/>
          <w:spacing w:val="1"/>
          <w:sz w:val="42"/>
        </w:rPr>
        <w:t>7.1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HCROSL+FangSong_GB2312" w:hAnsi="HCROSL+FangSong_GB2312" w:cs="HCROSL+FangSong_GB2312"/>
          <w:color w:val="000000"/>
          <w:spacing w:val="1"/>
          <w:sz w:val="42"/>
        </w:rPr>
        <w:t>常规活动每年一次，非常规活动开始之前，开展风险评价。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438" w:x="3539" w:y="6718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GIVRWE+FangSong_GB2312"/>
          <w:color w:val="000000"/>
          <w:spacing w:val="1"/>
          <w:sz w:val="42"/>
        </w:rPr>
        <w:t>7.2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HCROSL+FangSong_GB2312" w:hAnsi="HCROSL+FangSong_GB2312" w:cs="HCROSL+FangSong_GB2312"/>
          <w:color w:val="000000"/>
          <w:spacing w:val="1"/>
          <w:sz w:val="42"/>
        </w:rPr>
        <w:t>在下列情形发生时及时进行风险评价：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438" w:x="3539" w:y="671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CROSL+FangSong_GB2312" w:hAnsi="HCROSL+FangSong_GB2312" w:cs="HCROSL+FangSong_GB2312"/>
          <w:color w:val="000000"/>
          <w:spacing w:val="1"/>
          <w:sz w:val="42"/>
        </w:rPr>
        <w:t>（</w:t>
      </w:r>
      <w:r>
        <w:rPr>
          <w:rFonts w:ascii="GIVRWE+FangSong_GB2312"/>
          <w:color w:val="000000"/>
          <w:spacing w:val="-1"/>
          <w:sz w:val="42"/>
        </w:rPr>
        <w:t>1</w:t>
      </w:r>
      <w:r>
        <w:rPr>
          <w:rFonts w:ascii="HCROSL+FangSong_GB2312" w:hAnsi="HCROSL+FangSong_GB2312" w:cs="HCROSL+FangSong_GB2312"/>
          <w:color w:val="000000"/>
          <w:spacing w:val="1"/>
          <w:sz w:val="42"/>
        </w:rPr>
        <w:t>）新的或变更的法律法规或其他要求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539" w:x="3539" w:y="952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CROSL+FangSong_GB2312" w:hAnsi="HCROSL+FangSong_GB2312" w:cs="HCROSL+FangSong_GB2312"/>
          <w:color w:val="000000"/>
          <w:spacing w:val="1"/>
          <w:sz w:val="42"/>
        </w:rPr>
        <w:t>（</w:t>
      </w:r>
      <w:r>
        <w:rPr>
          <w:rFonts w:ascii="GIVRWE+FangSong_GB2312"/>
          <w:color w:val="000000"/>
          <w:spacing w:val="-1"/>
          <w:sz w:val="42"/>
        </w:rPr>
        <w:t>2</w:t>
      </w:r>
      <w:r>
        <w:rPr>
          <w:rFonts w:ascii="HCROSL+FangSong_GB2312" w:hAnsi="HCROSL+FangSong_GB2312" w:cs="HCROSL+FangSong_GB2312"/>
          <w:color w:val="000000"/>
          <w:spacing w:val="1"/>
          <w:sz w:val="42"/>
        </w:rPr>
        <w:t>）操作条件变化或工艺改变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210" w:x="3539" w:y="1046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CROSL+FangSong_GB2312" w:hAnsi="HCROSL+FangSong_GB2312" w:cs="HCROSL+FangSong_GB2312"/>
          <w:color w:val="000000"/>
          <w:spacing w:val="1"/>
          <w:sz w:val="42"/>
        </w:rPr>
        <w:t>（</w:t>
      </w:r>
      <w:r>
        <w:rPr>
          <w:rFonts w:ascii="GIVRWE+FangSong_GB2312"/>
          <w:color w:val="000000"/>
          <w:spacing w:val="-1"/>
          <w:sz w:val="42"/>
        </w:rPr>
        <w:t>3</w:t>
      </w:r>
      <w:r>
        <w:rPr>
          <w:rFonts w:ascii="HCROSL+FangSong_GB2312" w:hAnsi="HCROSL+FangSong_GB2312" w:cs="HCROSL+FangSong_GB2312"/>
          <w:color w:val="000000"/>
          <w:spacing w:val="1"/>
          <w:sz w:val="42"/>
        </w:rPr>
        <w:t>）技术改造项目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8961" w:x="3539" w:y="1139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CROSL+FangSong_GB2312" w:hAnsi="HCROSL+FangSong_GB2312" w:cs="HCROSL+FangSong_GB2312"/>
          <w:color w:val="000000"/>
          <w:spacing w:val="1"/>
          <w:sz w:val="42"/>
        </w:rPr>
        <w:t>（</w:t>
      </w:r>
      <w:r>
        <w:rPr>
          <w:rFonts w:ascii="GIVRWE+FangSong_GB2312"/>
          <w:color w:val="000000"/>
          <w:spacing w:val="-1"/>
          <w:sz w:val="42"/>
        </w:rPr>
        <w:t>4</w:t>
      </w:r>
      <w:r>
        <w:rPr>
          <w:rFonts w:ascii="HCROSL+FangSong_GB2312" w:hAnsi="HCROSL+FangSong_GB2312" w:cs="HCROSL+FangSong_GB2312"/>
          <w:color w:val="000000"/>
          <w:spacing w:val="1"/>
          <w:sz w:val="42"/>
        </w:rPr>
        <w:t>）有对事件、事故或其他信息的新认识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8961" w:x="3539" w:y="11399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CROSL+FangSong_GB2312" w:hAnsi="HCROSL+FangSong_GB2312" w:cs="HCROSL+FangSong_GB2312"/>
          <w:color w:val="000000"/>
          <w:spacing w:val="1"/>
          <w:sz w:val="42"/>
        </w:rPr>
        <w:t>（</w:t>
      </w:r>
      <w:r>
        <w:rPr>
          <w:rFonts w:ascii="GIVRWE+FangSong_GB2312"/>
          <w:color w:val="000000"/>
          <w:spacing w:val="-1"/>
          <w:sz w:val="42"/>
        </w:rPr>
        <w:t>5</w:t>
      </w:r>
      <w:r>
        <w:rPr>
          <w:rFonts w:ascii="HCROSL+FangSong_GB2312" w:hAnsi="HCROSL+FangSong_GB2312" w:cs="HCROSL+FangSong_GB2312"/>
          <w:color w:val="000000"/>
          <w:spacing w:val="1"/>
          <w:sz w:val="42"/>
        </w:rPr>
        <w:t>）组织机构发生大的调整。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572" w:x="2701" w:y="1327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GIVRWE+FangSong_GB2312"/>
          <w:color w:val="000000"/>
          <w:spacing w:val="2"/>
          <w:sz w:val="42"/>
        </w:rPr>
        <w:t>8</w:t>
      </w:r>
      <w:r>
        <w:rPr>
          <w:rFonts w:ascii="HCROSL+FangSong_GB2312" w:hAnsi="HCROSL+FangSong_GB2312" w:cs="HCROSL+FangSong_GB2312"/>
          <w:color w:val="000000"/>
          <w:spacing w:val="1"/>
          <w:sz w:val="42"/>
        </w:rPr>
        <w:t>、风险评价活动实施步骤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20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GIVRWE+FangSong_GB2312"/>
          <w:color w:val="000000"/>
          <w:spacing w:val="1"/>
          <w:sz w:val="42"/>
        </w:rPr>
        <w:t>8.1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HCROSL+FangSong_GB2312" w:hAnsi="HCROSL+FangSong_GB2312" w:cs="HCROSL+FangSong_GB2312"/>
          <w:color w:val="000000"/>
          <w:spacing w:val="1"/>
          <w:sz w:val="42"/>
        </w:rPr>
        <w:t>主要负责人主持风险评价活动，成立评价小组。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208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GIVRWE+FangSong_GB2312"/>
          <w:color w:val="000000"/>
          <w:spacing w:val="1"/>
          <w:sz w:val="42"/>
        </w:rPr>
        <w:t>8.2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HCROSL+FangSong_GB2312" w:hAnsi="HCROSL+FangSong_GB2312" w:cs="HCROSL+FangSong_GB2312"/>
          <w:color w:val="000000"/>
          <w:spacing w:val="1"/>
          <w:sz w:val="42"/>
        </w:rPr>
        <w:t>各相关部门收集整理评价所需材料，提交评价组织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208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GIVRWE+FangSong_GB2312"/>
          <w:color w:val="000000"/>
          <w:spacing w:val="1"/>
          <w:sz w:val="42"/>
        </w:rPr>
        <w:t>8.3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HCROSL+FangSong_GB2312" w:hAnsi="HCROSL+FangSong_GB2312" w:cs="HCROSL+FangSong_GB2312"/>
          <w:color w:val="000000"/>
          <w:spacing w:val="1"/>
          <w:sz w:val="42"/>
        </w:rPr>
        <w:t>危险源辨识：实施现场检查，识别危险有害因素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208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GIVRWE+FangSong_GB2312"/>
          <w:color w:val="000000"/>
          <w:spacing w:val="1"/>
          <w:sz w:val="42"/>
        </w:rPr>
        <w:t>8.4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HCROSL+FangSong_GB2312" w:hAnsi="HCROSL+FangSong_GB2312" w:cs="HCROSL+FangSong_GB2312"/>
          <w:color w:val="000000"/>
          <w:spacing w:val="1"/>
          <w:sz w:val="42"/>
        </w:rPr>
        <w:t>通过定性和定量评价，确定评价目标的风险等级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208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GIVRWE+FangSong_GB2312"/>
          <w:color w:val="000000"/>
          <w:spacing w:val="1"/>
          <w:sz w:val="42"/>
        </w:rPr>
        <w:t>8.4.1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HCROSL+FangSong_GB2312" w:hAnsi="HCROSL+FangSong_GB2312" w:cs="HCROSL+FangSong_GB2312"/>
          <w:color w:val="000000"/>
          <w:spacing w:val="1"/>
          <w:sz w:val="42"/>
        </w:rPr>
        <w:t>作业风险：巨大风险作业由所在部门负责人初审签字，经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208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CROSL+FangSong_GB2312" w:hAnsi="HCROSL+FangSong_GB2312" w:cs="HCROSL+FangSong_GB2312"/>
          <w:color w:val="000000"/>
          <w:spacing w:val="-4"/>
          <w:sz w:val="42"/>
        </w:rPr>
        <w:t>安全员复检签字后报公司领导终审批准；重大风险作业由所在部门负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420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CROSL+FangSong_GB2312" w:hAnsi="HCROSL+FangSong_GB2312" w:cs="HCROSL+FangSong_GB2312"/>
          <w:color w:val="000000"/>
          <w:spacing w:val="1"/>
          <w:sz w:val="42"/>
        </w:rPr>
        <w:t>责人初审签字，报安全员终审批准；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761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GIVRWE+FangSong_GB2312"/>
          <w:color w:val="000000"/>
          <w:spacing w:val="1"/>
          <w:sz w:val="42"/>
        </w:rPr>
        <w:t>8.4.2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HCROSL+FangSong_GB2312" w:hAnsi="HCROSL+FangSong_GB2312" w:cs="HCROSL+FangSong_GB2312"/>
          <w:color w:val="000000"/>
          <w:spacing w:val="1"/>
          <w:sz w:val="42"/>
        </w:rPr>
        <w:t>岗位（装置、部位等）风险：巨大风险和重大风险所在岗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761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CROSL+FangSong_GB2312" w:hAnsi="HCROSL+FangSong_GB2312" w:cs="HCROSL+FangSong_GB2312"/>
          <w:color w:val="000000"/>
          <w:spacing w:val="1"/>
          <w:sz w:val="42"/>
        </w:rPr>
        <w:t>位（装置、部位等）由所在部门作为重大部位和关键装置按照《关键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761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CROSL+FangSong_GB2312" w:hAnsi="HCROSL+FangSong_GB2312" w:cs="HCROSL+FangSong_GB2312"/>
          <w:color w:val="000000"/>
          <w:spacing w:val="1"/>
          <w:sz w:val="42"/>
        </w:rPr>
        <w:t>装置、重点部位安全管理制度》进行管理；中等风险、可接受风险和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TWEPRI+FangSong_GB2312" w:hAnsi="TWEPRI+FangSong_GB2312" w:cs="TWEPRI+FangSong_GB2312"/>
          <w:color w:val="000000"/>
          <w:spacing w:val="1"/>
          <w:sz w:val="42"/>
        </w:rPr>
        <w:t>轻微或可忽略风险所在的岗位（装置、部位等）应由所在部门采取隔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TWEPRI+FangSong_GB2312" w:hAnsi="TWEPRI+FangSong_GB2312" w:cs="TWEPRI+FangSong_GB2312"/>
          <w:color w:val="000000"/>
          <w:spacing w:val="1"/>
          <w:sz w:val="42"/>
        </w:rPr>
        <w:t>离、防护、制度操作规程等措施降低风险。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NWPOM+FangSong_GB2312"/>
          <w:color w:val="000000"/>
          <w:spacing w:val="2"/>
          <w:sz w:val="42"/>
        </w:rPr>
        <w:t>9</w:t>
      </w:r>
      <w:r>
        <w:rPr>
          <w:rFonts w:ascii="TWEPRI+FangSong_GB2312" w:hAnsi="TWEPRI+FangSong_GB2312" w:cs="TWEPRI+FangSong_GB2312"/>
          <w:color w:val="000000"/>
          <w:spacing w:val="1"/>
          <w:sz w:val="42"/>
        </w:rPr>
        <w:t>、风险控制的内容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141" w:x="3539" w:y="484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NWPOM+FangSong_GB2312"/>
          <w:color w:val="000000"/>
          <w:spacing w:val="1"/>
          <w:sz w:val="42"/>
        </w:rPr>
        <w:t>9.1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TWEPRI+FangSong_GB2312" w:hAnsi="TWEPRI+FangSong_GB2312" w:cs="TWEPRI+FangSong_GB2312"/>
          <w:color w:val="000000"/>
          <w:spacing w:val="1"/>
          <w:sz w:val="42"/>
        </w:rPr>
        <w:t>选择风险控制措施时应考虑：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03" w:x="2701" w:y="5782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NWPOM+FangSong_GB2312"/>
          <w:color w:val="000000"/>
          <w:spacing w:val="1"/>
          <w:sz w:val="42"/>
        </w:rPr>
        <w:t>9.1.1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TWEPRI+FangSong_GB2312" w:hAnsi="TWEPRI+FangSong_GB2312" w:cs="TWEPRI+FangSong_GB2312"/>
          <w:color w:val="000000"/>
          <w:spacing w:val="1"/>
          <w:sz w:val="42"/>
        </w:rPr>
        <w:t>控制措施的可行性、可靠性、先进性、安全性和经济合理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403" w:x="2701" w:y="578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TWEPRI+FangSong_GB2312" w:hAnsi="TWEPRI+FangSong_GB2312" w:cs="TWEPRI+FangSong_GB2312"/>
          <w:color w:val="000000"/>
          <w:spacing w:val="1"/>
          <w:sz w:val="42"/>
        </w:rPr>
        <w:t>性及厂的经营运行情况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173" w:x="3539" w:y="765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NWPOM+FangSong_GB2312"/>
          <w:color w:val="000000"/>
          <w:spacing w:val="1"/>
          <w:sz w:val="42"/>
        </w:rPr>
        <w:t>9.1.2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TWEPRI+FangSong_GB2312" w:hAnsi="TWEPRI+FangSong_GB2312" w:cs="TWEPRI+FangSong_GB2312"/>
          <w:color w:val="000000"/>
          <w:spacing w:val="1"/>
          <w:sz w:val="42"/>
        </w:rPr>
        <w:t>可靠的技术保证和服务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734" w:x="3539" w:y="859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NWPOM+FangSong_GB2312"/>
          <w:color w:val="000000"/>
          <w:spacing w:val="1"/>
          <w:sz w:val="42"/>
        </w:rPr>
        <w:t>9.2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TWEPRI+FangSong_GB2312" w:hAnsi="TWEPRI+FangSong_GB2312" w:cs="TWEPRI+FangSong_GB2312"/>
          <w:color w:val="000000"/>
          <w:spacing w:val="1"/>
          <w:sz w:val="42"/>
        </w:rPr>
        <w:t>控制措施应包括：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626" w:x="3539" w:y="952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NWPOM+FangSong_GB2312"/>
          <w:color w:val="000000"/>
          <w:spacing w:val="1"/>
          <w:sz w:val="42"/>
        </w:rPr>
        <w:t>9.2.1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TWEPRI+FangSong_GB2312" w:hAnsi="TWEPRI+FangSong_GB2312" w:cs="TWEPRI+FangSong_GB2312"/>
          <w:color w:val="000000"/>
          <w:spacing w:val="1"/>
          <w:sz w:val="42"/>
        </w:rPr>
        <w:t>工程技术措施，实现本质安全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626" w:x="3539" w:y="9527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NWPOM+FangSong_GB2312"/>
          <w:color w:val="000000"/>
          <w:spacing w:val="1"/>
          <w:sz w:val="42"/>
        </w:rPr>
        <w:t>9.2.2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TWEPRI+FangSong_GB2312" w:hAnsi="TWEPRI+FangSong_GB2312" w:cs="TWEPRI+FangSong_GB2312"/>
          <w:color w:val="000000"/>
          <w:spacing w:val="1"/>
          <w:sz w:val="42"/>
        </w:rPr>
        <w:t>管理措施，规范安全管理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465" w:x="2701" w:y="11399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NWPOM+FangSong_GB2312"/>
          <w:color w:val="000000"/>
          <w:spacing w:val="1"/>
          <w:sz w:val="42"/>
        </w:rPr>
        <w:t>9.2.3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TWEPRI+FangSong_GB2312" w:hAnsi="TWEPRI+FangSong_GB2312" w:cs="TWEPRI+FangSong_GB2312"/>
          <w:color w:val="000000"/>
          <w:spacing w:val="1"/>
          <w:sz w:val="42"/>
        </w:rPr>
        <w:t>教育措施，提高从业人员的操作技能和安全意识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465" w:x="2701" w:y="11399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NWPOM+FangSong_GB2312"/>
          <w:color w:val="000000"/>
          <w:spacing w:val="1"/>
          <w:sz w:val="42"/>
        </w:rPr>
        <w:t>9.2.4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TWEPRI+FangSong_GB2312" w:hAnsi="TWEPRI+FangSong_GB2312" w:cs="TWEPRI+FangSong_GB2312"/>
          <w:color w:val="000000"/>
          <w:spacing w:val="1"/>
          <w:sz w:val="42"/>
        </w:rPr>
        <w:t>人体防护措施，减少职业危害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2465" w:x="2701" w:y="11399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NWPOM+FangSong_GB2312"/>
          <w:color w:val="000000"/>
          <w:spacing w:val="2"/>
          <w:sz w:val="42"/>
        </w:rPr>
        <w:t>10</w:t>
      </w:r>
      <w:r>
        <w:rPr>
          <w:rFonts w:ascii="TWEPRI+FangSong_GB2312" w:hAnsi="TWEPRI+FangSong_GB2312" w:cs="TWEPRI+FangSong_GB2312"/>
          <w:color w:val="000000"/>
          <w:spacing w:val="1"/>
          <w:sz w:val="42"/>
        </w:rPr>
        <w:t>、风险信息更新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3" w:x="2701" w:y="1420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NWPOM+FangSong_GB2312"/>
          <w:color w:val="000000"/>
          <w:spacing w:val="1"/>
          <w:sz w:val="42"/>
        </w:rPr>
        <w:t>10.1</w:t>
      </w:r>
      <w:r>
        <w:rPr>
          <w:rFonts w:ascii="Times New Roman"/>
          <w:color w:val="000000"/>
          <w:spacing w:val="104"/>
          <w:sz w:val="42"/>
        </w:rPr>
        <w:t xml:space="preserve"> </w:t>
      </w:r>
      <w:r>
        <w:rPr>
          <w:rFonts w:ascii="TWEPRI+FangSong_GB2312" w:hAnsi="TWEPRI+FangSong_GB2312" w:cs="TWEPRI+FangSong_GB2312"/>
          <w:color w:val="000000"/>
          <w:spacing w:val="1"/>
          <w:sz w:val="42"/>
        </w:rPr>
        <w:t>不间断的组织风险评价工作，识别与生产经营活动有关的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3" w:x="2701" w:y="1420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TWEPRI+FangSong_GB2312" w:hAnsi="TWEPRI+FangSong_GB2312" w:cs="TWEPRI+FangSong_GB2312"/>
          <w:color w:val="000000"/>
          <w:spacing w:val="1"/>
          <w:sz w:val="42"/>
        </w:rPr>
        <w:t>危险、有害因素。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47" w:x="2701" w:y="1613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NWPOM+FangSong_GB2312"/>
          <w:color w:val="000000"/>
          <w:spacing w:val="1"/>
          <w:sz w:val="42"/>
        </w:rPr>
        <w:t>10.2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TWEPRI+FangSong_GB2312" w:hAnsi="TWEPRI+FangSong_GB2312" w:cs="TWEPRI+FangSong_GB2312"/>
          <w:color w:val="000000"/>
          <w:spacing w:val="1"/>
          <w:sz w:val="42"/>
        </w:rPr>
        <w:t>企业对于常规活动，每年组织一次评审或检查，检查危险、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47" w:x="2701" w:y="16134"/>
        <w:widowControl w:val="off"/>
        <w:autoSpaceDE w:val="off"/>
        <w:autoSpaceDN w:val="off"/>
        <w:spacing w:before="41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TWEPRI+FangSong_GB2312" w:hAnsi="TWEPRI+FangSong_GB2312" w:cs="TWEPRI+FangSong_GB2312"/>
          <w:color w:val="000000"/>
          <w:spacing w:val="1"/>
          <w:sz w:val="42"/>
        </w:rPr>
        <w:t>有害因素识别的充分性，即危险、有害因素是否得到了全面识别；看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47" w:x="2701" w:y="16134"/>
        <w:widowControl w:val="off"/>
        <w:autoSpaceDE w:val="off"/>
        <w:autoSpaceDN w:val="off"/>
        <w:spacing w:before="42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TWEPRI+FangSong_GB2312" w:hAnsi="TWEPRI+FangSong_GB2312" w:cs="TWEPRI+FangSong_GB2312"/>
          <w:color w:val="000000"/>
          <w:spacing w:val="-2"/>
          <w:sz w:val="42"/>
        </w:rPr>
        <w:t>控制措施是否充分、有效，是否需要补充完善控制措施，根据国内外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47" w:x="2701" w:y="16134"/>
        <w:widowControl w:val="off"/>
        <w:autoSpaceDE w:val="off"/>
        <w:autoSpaceDN w:val="off"/>
        <w:spacing w:before="41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TWEPRI+FangSong_GB2312" w:hAnsi="TWEPRI+FangSong_GB2312" w:cs="TWEPRI+FangSong_GB2312"/>
          <w:color w:val="000000"/>
          <w:spacing w:val="1"/>
          <w:sz w:val="42"/>
        </w:rPr>
        <w:t>技术的发展，是否需要选择、更新控制措施；看风险控制效果是否达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47" w:x="2701" w:y="16134"/>
        <w:widowControl w:val="off"/>
        <w:autoSpaceDE w:val="off"/>
        <w:autoSpaceDN w:val="off"/>
        <w:spacing w:before="41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TWEPRI+FangSong_GB2312" w:hAnsi="TWEPRI+FangSong_GB2312" w:cs="TWEPRI+FangSong_GB2312"/>
          <w:color w:val="000000"/>
          <w:spacing w:val="1"/>
          <w:sz w:val="42"/>
        </w:rPr>
        <w:t>到要求，是否控制在可接受范围内。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47" w:x="2701" w:y="20336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NWPOM+FangSong_GB2312"/>
          <w:color w:val="000000"/>
          <w:spacing w:val="1"/>
          <w:sz w:val="42"/>
        </w:rPr>
        <w:t>10.3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TWEPRI+FangSong_GB2312" w:hAnsi="TWEPRI+FangSong_GB2312" w:cs="TWEPRI+FangSong_GB2312"/>
          <w:color w:val="000000"/>
          <w:spacing w:val="1"/>
          <w:sz w:val="42"/>
        </w:rPr>
        <w:t>企业对于非常规性（如拆除、新改扩建项目、检维修项目、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47" w:x="2701" w:y="20336"/>
        <w:widowControl w:val="off"/>
        <w:autoSpaceDE w:val="off"/>
        <w:autoSpaceDN w:val="off"/>
        <w:spacing w:before="41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TWEPRI+FangSong_GB2312" w:hAnsi="TWEPRI+FangSong_GB2312" w:cs="TWEPRI+FangSong_GB2312"/>
          <w:color w:val="000000"/>
          <w:spacing w:val="1"/>
          <w:sz w:val="42"/>
        </w:rPr>
        <w:t>开停车、较中道的隐患治理项目和工艺变更、设备变更项目等）的危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47" w:x="2701" w:y="20336"/>
        <w:widowControl w:val="off"/>
        <w:autoSpaceDE w:val="off"/>
        <w:autoSpaceDN w:val="off"/>
        <w:spacing w:before="41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TWEPRI+FangSong_GB2312" w:hAnsi="TWEPRI+FangSong_GB2312" w:cs="TWEPRI+FangSong_GB2312"/>
          <w:color w:val="000000"/>
          <w:spacing w:val="-4"/>
          <w:sz w:val="42"/>
        </w:rPr>
        <w:t>险性较大的活动，在活动开始之前进行危险、有害因素识别和风险评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47" w:x="2701" w:y="20336"/>
        <w:widowControl w:val="off"/>
        <w:autoSpaceDE w:val="off"/>
        <w:autoSpaceDN w:val="off"/>
        <w:spacing w:before="42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TWEPRI+FangSong_GB2312" w:hAnsi="TWEPRI+FangSong_GB2312" w:cs="TWEPRI+FangSong_GB2312"/>
          <w:color w:val="000000"/>
          <w:spacing w:val="1"/>
          <w:sz w:val="42"/>
        </w:rPr>
        <w:t>价，在此基础上编写实施方案，并经有关领导严格审批。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8839" w:x="3539" w:y="209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EFFBMT+FangSong_GB2312"/>
          <w:color w:val="000000"/>
          <w:spacing w:val="0"/>
          <w:sz w:val="42"/>
        </w:rPr>
        <w:t>10.4</w:t>
      </w:r>
      <w:r>
        <w:rPr>
          <w:rFonts w:ascii="IJIASH+FangSong_GB2312" w:hAnsi="IJIASH+FangSong_GB2312" w:cs="IJIASH+FangSong_GB2312"/>
          <w:color w:val="000000"/>
          <w:spacing w:val="1"/>
          <w:sz w:val="42"/>
        </w:rPr>
        <w:t>公司发生下列情况时进行风险评价：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750" w:x="3539" w:y="287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IJIASH+FangSong_GB2312" w:hAnsi="IJIASH+FangSong_GB2312" w:cs="IJIASH+FangSong_GB2312"/>
          <w:color w:val="000000"/>
          <w:spacing w:val="1"/>
          <w:sz w:val="42"/>
        </w:rPr>
        <w:t>①新的或变更的法律法规或其他要求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813" w:x="3539" w:y="381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IJIASH+FangSong_GB2312" w:hAnsi="IJIASH+FangSong_GB2312" w:cs="IJIASH+FangSong_GB2312"/>
          <w:color w:val="000000"/>
          <w:spacing w:val="1"/>
          <w:sz w:val="42"/>
        </w:rPr>
        <w:t>②操作条件变化或工艺改变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813" w:x="3539" w:y="381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IJIASH+FangSong_GB2312" w:hAnsi="IJIASH+FangSong_GB2312" w:cs="IJIASH+FangSong_GB2312"/>
          <w:color w:val="000000"/>
          <w:spacing w:val="1"/>
          <w:sz w:val="42"/>
        </w:rPr>
        <w:t>③技术改造项目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8234" w:x="3539" w:y="568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IJIASH+FangSong_GB2312" w:hAnsi="IJIASH+FangSong_GB2312" w:cs="IJIASH+FangSong_GB2312"/>
          <w:color w:val="000000"/>
          <w:spacing w:val="1"/>
          <w:sz w:val="42"/>
        </w:rPr>
        <w:t>④有对事件、事故或其他信息的新认识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8234" w:x="3539" w:y="568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IJIASH+FangSong_GB2312" w:hAnsi="IJIASH+FangSong_GB2312" w:cs="IJIASH+FangSong_GB2312"/>
          <w:color w:val="000000"/>
          <w:spacing w:val="1"/>
          <w:sz w:val="42"/>
        </w:rPr>
        <w:t>⑤组织机构发生大的调整。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3" w:x="2701" w:y="755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EFFBMT+FangSong_GB2312"/>
          <w:color w:val="000000"/>
          <w:spacing w:val="2"/>
          <w:sz w:val="42"/>
        </w:rPr>
        <w:t>11</w:t>
      </w:r>
      <w:r>
        <w:rPr>
          <w:rFonts w:ascii="IJIASH+FangSong_GB2312" w:hAnsi="IJIASH+FangSong_GB2312" w:cs="IJIASH+FangSong_GB2312"/>
          <w:color w:val="000000"/>
          <w:spacing w:val="1"/>
          <w:sz w:val="42"/>
        </w:rPr>
        <w:t>、隐患治理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3" w:x="2701" w:y="7558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EFFBMT+FangSong_GB2312"/>
          <w:color w:val="000000"/>
          <w:spacing w:val="1"/>
          <w:sz w:val="42"/>
        </w:rPr>
        <w:t>12.1</w:t>
      </w:r>
      <w:r>
        <w:rPr>
          <w:rFonts w:ascii="EFFBMT+FangSong_GB2312"/>
          <w:color w:val="000000"/>
          <w:spacing w:val="-1"/>
          <w:sz w:val="42"/>
        </w:rPr>
        <w:t xml:space="preserve"> </w:t>
      </w:r>
      <w:r>
        <w:rPr>
          <w:rFonts w:ascii="IJIASH+FangSong_GB2312" w:hAnsi="IJIASH+FangSong_GB2312" w:cs="IJIASH+FangSong_GB2312"/>
          <w:color w:val="000000"/>
          <w:spacing w:val="1"/>
          <w:sz w:val="42"/>
        </w:rPr>
        <w:t>评价出的隐患应及时治理，按照《隐患排查治理制度》执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3" w:x="2701" w:y="755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IJIASH+FangSong_GB2312" w:hAnsi="IJIASH+FangSong_GB2312" w:cs="IJIASH+FangSong_GB2312"/>
          <w:color w:val="000000"/>
          <w:spacing w:val="1"/>
          <w:sz w:val="42"/>
        </w:rPr>
        <w:t>行。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816" w:x="2701" w:y="1036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EFFBMT+FangSong_GB2312"/>
          <w:color w:val="000000"/>
          <w:spacing w:val="2"/>
          <w:sz w:val="42"/>
        </w:rPr>
        <w:t>12</w:t>
      </w:r>
      <w:r>
        <w:rPr>
          <w:rFonts w:ascii="IJIASH+FangSong_GB2312" w:hAnsi="IJIASH+FangSong_GB2312" w:cs="IJIASH+FangSong_GB2312"/>
          <w:color w:val="000000"/>
          <w:spacing w:val="1"/>
          <w:sz w:val="42"/>
        </w:rPr>
        <w:t>、风险管理的宣传、培训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318" w:x="3539" w:y="1130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EFFBMT+FangSong_GB2312"/>
          <w:color w:val="000000"/>
          <w:spacing w:val="1"/>
          <w:sz w:val="42"/>
        </w:rPr>
        <w:t>13.1</w:t>
      </w:r>
      <w:r>
        <w:rPr>
          <w:rFonts w:ascii="EFFBMT+FangSong_GB2312"/>
          <w:color w:val="000000"/>
          <w:spacing w:val="-1"/>
          <w:sz w:val="42"/>
        </w:rPr>
        <w:t xml:space="preserve"> </w:t>
      </w:r>
      <w:r>
        <w:rPr>
          <w:rFonts w:ascii="IJIASH+FangSong_GB2312" w:hAnsi="IJIASH+FangSong_GB2312" w:cs="IJIASH+FangSong_GB2312"/>
          <w:color w:val="000000"/>
          <w:spacing w:val="1"/>
          <w:sz w:val="42"/>
        </w:rPr>
        <w:t>风险评价的结果由组织从业人员学习，培训内容包括：危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22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IJIASH+FangSong_GB2312" w:hAnsi="IJIASH+FangSong_GB2312" w:cs="IJIASH+FangSong_GB2312"/>
          <w:color w:val="000000"/>
          <w:spacing w:val="1"/>
          <w:sz w:val="42"/>
        </w:rPr>
        <w:t>险因素识别、风险评价方法、风险控制措施和应急救援预案等；增强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317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IJIASH+FangSong_GB2312" w:hAnsi="IJIASH+FangSong_GB2312" w:cs="IJIASH+FangSong_GB2312"/>
          <w:color w:val="000000"/>
          <w:spacing w:val="-4"/>
          <w:sz w:val="42"/>
        </w:rPr>
        <w:t>从业人员的风险意识，使其认识到所在岗位的风险，并掌握控制风险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315" w:x="2701" w:y="1411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IJIASH+FangSong_GB2312" w:hAnsi="IJIASH+FangSong_GB2312" w:cs="IJIASH+FangSong_GB2312"/>
          <w:color w:val="000000"/>
          <w:spacing w:val="1"/>
          <w:sz w:val="42"/>
        </w:rPr>
        <w:t>的技能。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3619" w:x="12174" w:y="1504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EFFBMT+FangSong_GB2312"/>
          <w:color w:val="000000"/>
          <w:spacing w:val="0"/>
          <w:sz w:val="42"/>
        </w:rPr>
        <w:t>2017</w:t>
      </w:r>
      <w:r>
        <w:rPr>
          <w:rFonts w:ascii="IJIASH+FangSong_GB2312" w:hAnsi="IJIASH+FangSong_GB2312" w:cs="IJIASH+FangSong_GB2312"/>
          <w:color w:val="000000"/>
          <w:spacing w:val="0"/>
          <w:sz w:val="42"/>
        </w:rPr>
        <w:t>年</w:t>
      </w:r>
      <w:r>
        <w:rPr>
          <w:rFonts w:ascii="Times New Roman"/>
          <w:color w:val="000000"/>
          <w:spacing w:val="-6"/>
          <w:sz w:val="42"/>
        </w:rPr>
        <w:t xml:space="preserve"> </w:t>
      </w:r>
      <w:r>
        <w:rPr>
          <w:rFonts w:ascii="EFFBMT+FangSong_GB2312"/>
          <w:color w:val="000000"/>
          <w:spacing w:val="96"/>
          <w:sz w:val="42"/>
        </w:rPr>
        <w:t>1</w:t>
      </w:r>
      <w:r>
        <w:rPr>
          <w:rFonts w:ascii="IJIASH+FangSong_GB2312" w:hAnsi="IJIASH+FangSong_GB2312" w:cs="IJIASH+FangSong_GB2312"/>
          <w:color w:val="000000"/>
          <w:spacing w:val="0"/>
          <w:sz w:val="42"/>
        </w:rPr>
        <w:t>月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EFFBMT+FangSong_GB2312"/>
          <w:color w:val="000000"/>
          <w:spacing w:val="96"/>
          <w:sz w:val="42"/>
        </w:rPr>
        <w:t>1</w:t>
      </w:r>
      <w:r>
        <w:rPr>
          <w:rFonts w:ascii="IJIASH+FangSong_GB2312" w:hAnsi="IJIASH+FangSong_GB2312" w:cs="IJIASH+FangSong_GB2312"/>
          <w:color w:val="000000"/>
          <w:spacing w:val="0"/>
          <w:sz w:val="42"/>
        </w:rPr>
        <w:t>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3619" w:x="12174" w:y="15047"/>
        <w:widowControl w:val="off"/>
        <w:autoSpaceDE w:val="off"/>
        <w:autoSpaceDN w:val="off"/>
        <w:spacing w:before="515" w:after="0" w:line="421" w:lineRule="exact"/>
        <w:ind w:left="39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IJIASH+FangSong_GB2312" w:hAnsi="IJIASH+FangSong_GB2312" w:cs="IJIASH+FangSong_GB2312"/>
          <w:color w:val="000000"/>
          <w:spacing w:val="1"/>
          <w:sz w:val="42"/>
        </w:rPr>
        <w:t>大庆乙烯商场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sectPr>
      <w:pgSz w:w="17840" w:h="2524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CFCENK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94E0ACAE-0000-0000-0000-000000000000}"/>
  </w:font>
  <w:font w:name="GIVRWE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" w:fontKey="{6618EDA5-0000-0000-0000-000000000000}"/>
  </w:font>
  <w:font w:name="AFMTOL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3" w:fontKey="{80F31E73-0000-0000-0000-000000000000}"/>
  </w:font>
  <w:font w:name="MTTUKO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4" w:fontKey="{5E014FF7-0000-0000-0000-000000000000}"/>
  </w:font>
  <w:font w:name="AJRNNS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5" w:fontKey="{02B44709-0000-0000-0000-000000000000}"/>
  </w:font>
  <w:font w:name="HGSRMF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6" w:fontKey="{F1E3D7FA-0000-0000-0000-000000000000}"/>
  </w:font>
  <w:font w:name="WGDVTV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7" w:fontKey="{8660A1FA-0000-0000-0000-000000000000}"/>
  </w:font>
  <w:font w:name="BRNADE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8" w:fontKey="{110B36D9-0000-0000-0000-000000000000}"/>
  </w:font>
  <w:font w:name="WCNPDU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9" w:fontKey="{59894A6B-0000-0000-0000-000000000000}"/>
  </w:font>
  <w:font w:name="TMDEHI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0" w:fontKey="{B6D27478-0000-0000-0000-000000000000}"/>
  </w:font>
  <w:font w:name="HCROSL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1" w:fontKey="{A1570652-0000-0000-0000-000000000000}"/>
  </w:font>
  <w:font w:name="TWEPRI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2" w:fontKey="{505B13A5-0000-0000-0000-000000000000}"/>
  </w:font>
  <w:font w:name="MNWPOM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3" w:fontKey="{2DD51020-0000-0000-0000-000000000000}"/>
  </w:font>
  <w:font w:name="EFFBMT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4" w:fontKey="{D3A60316-0000-0000-0000-000000000000}"/>
  </w:font>
  <w:font w:name="IJIASH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5" w:fontKey="{36ED2CBC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styles" Target="styles.xml" /><Relationship Id="rId6" Type="http://schemas.openxmlformats.org/officeDocument/2006/relationships/fontTable" Target="fontTable.xml" /><Relationship Id="rId7" Type="http://schemas.openxmlformats.org/officeDocument/2006/relationships/settings" Target="settings.xml" /><Relationship Id="rId8" Type="http://schemas.openxmlformats.org/officeDocument/2006/relationships/webSettings" Target="webSetting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14" Type="http://schemas.openxmlformats.org/officeDocument/2006/relationships/font" Target="fonts/font14.odttf" /><Relationship Id="rId15" Type="http://schemas.openxmlformats.org/officeDocument/2006/relationships/font" Target="fonts/font15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docProps/app.xml><?xml version="1.0" encoding="utf-8"?>
<Properties xmlns="http://schemas.openxmlformats.org/officeDocument/2006/extended-properties">
  <Template>Normal</Template>
  <TotalTime>3</TotalTime>
  <Pages>8</Pages>
  <Words>334</Words>
  <Characters>2951</Characters>
  <Application>Aspose</Application>
  <DocSecurity>0</DocSecurity>
  <Lines>176</Lines>
  <Paragraphs>176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3025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I5-4590二机</dc:creator>
  <lastModifiedBy>I5-4590二机</lastModifiedBy>
  <revision>1</revision>
  <dcterms:created xmlns:xsi="http://www.w3.org/2001/XMLSchema-instance" xmlns:dcterms="http://purl.org/dc/terms/" xsi:type="dcterms:W3CDTF">2023-02-26T10:22:08+08:00</dcterms:created>
  <dcterms:modified xmlns:xsi="http://www.w3.org/2001/XMLSchema-instance" xmlns:dcterms="http://purl.org/dc/terms/" xsi:type="dcterms:W3CDTF">2023-02-26T10:22:08+08:00</dcterms:modified>
</coreProperties>
</file>