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1DD64">
      <w:pPr>
        <w:jc w:val="center"/>
        <w:rPr>
          <w:rFonts w:hint="eastAsia" w:eastAsiaTheme="minorEastAsia"/>
          <w:lang w:eastAsia="zh-CN"/>
        </w:rPr>
      </w:pPr>
      <w:r>
        <w:rPr>
          <w:rFonts w:hint="eastAsia" w:eastAsiaTheme="minorEastAsia"/>
          <w:lang w:eastAsia="zh-CN"/>
        </w:rPr>
        <w:drawing>
          <wp:inline distT="0" distB="0" distL="114300" distR="114300">
            <wp:extent cx="4639310" cy="2609215"/>
            <wp:effectExtent l="0" t="0" r="8890" b="12065"/>
            <wp:docPr id="1" name="图片 1" descr="D3DE1A97-63B3-4eae-B406-267BBF4E8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3DE1A97-63B3-4eae-B406-267BBF4E8F07"/>
                    <pic:cNvPicPr>
                      <a:picLocks noChangeAspect="1"/>
                    </pic:cNvPicPr>
                  </pic:nvPicPr>
                  <pic:blipFill>
                    <a:blip r:embed="rId4"/>
                    <a:stretch>
                      <a:fillRect/>
                    </a:stretch>
                  </pic:blipFill>
                  <pic:spPr>
                    <a:xfrm>
                      <a:off x="0" y="0"/>
                      <a:ext cx="4639310" cy="2609215"/>
                    </a:xfrm>
                    <a:prstGeom prst="rect">
                      <a:avLst/>
                    </a:prstGeom>
                  </pic:spPr>
                </pic:pic>
              </a:graphicData>
            </a:graphic>
          </wp:inline>
        </w:drawing>
      </w:r>
    </w:p>
    <w:p w14:paraId="238270D2">
      <w:pPr>
        <w:pStyle w:val="2"/>
        <w:bidi w:val="0"/>
        <w:jc w:val="center"/>
      </w:pPr>
      <w:r>
        <w:rPr>
          <w:rFonts w:hint="eastAsia"/>
        </w:rPr>
        <w:t>碳寻能源数字化转型案例｜日事清流程×项目×绩效管理一体化实践</w:t>
      </w:r>
    </w:p>
    <w:p w14:paraId="2AF0D6D5">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随着城镇化发展进程的不断加快与人口数量的持续增长，有限的资源被迅速消耗。为解决废弃物处理与能源供应问题，废转能企业应运而生。为了不断拓宽市场，加快公司发展速度，碳寻积极寻找公司管理问题的解决方法，最终选择与日事清携手共进。</w:t>
      </w:r>
    </w:p>
    <w:p w14:paraId="3A91A853">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p>
    <w:p w14:paraId="32DE1BCC">
      <w:pPr>
        <w:pStyle w:val="2"/>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客户背景</w:t>
      </w:r>
    </w:p>
    <w:p w14:paraId="7B2C978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5049520" cy="2244725"/>
            <wp:effectExtent l="0" t="0" r="10160" b="10795"/>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5"/>
                    <a:stretch>
                      <a:fillRect/>
                    </a:stretch>
                  </pic:blipFill>
                  <pic:spPr>
                    <a:xfrm>
                      <a:off x="0" y="0"/>
                      <a:ext cx="5049520" cy="2244725"/>
                    </a:xfrm>
                    <a:prstGeom prst="rect">
                      <a:avLst/>
                    </a:prstGeom>
                    <a:noFill/>
                    <a:ln w="9525">
                      <a:noFill/>
                    </a:ln>
                  </pic:spPr>
                </pic:pic>
              </a:graphicData>
            </a:graphic>
          </wp:inline>
        </w:drawing>
      </w:r>
    </w:p>
    <w:p w14:paraId="5C71D7C4">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20BE9E0F">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b/>
          <w:bCs/>
        </w:rPr>
        <w:t>广东碳寻能源有限公司</w:t>
      </w:r>
      <w:r>
        <w:rPr>
          <w:rFonts w:hint="eastAsia"/>
        </w:rPr>
        <w:t>成立于2018年，是一家在环保与节能行业里专注于废转能技术的科技型高新企业，公司经营范围涵括技术研发、装备制造与设备运营服务。</w:t>
      </w:r>
    </w:p>
    <w:p w14:paraId="510BC0D1">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碳寻采用自主发明专利的热解气化废转能技术将有机固体废弃物进行减量化、再利用、资源化处置。区别于传统垃圾焚烧行业，碳寻秉持着 “一治一转”的理念，通过核心热解气化废转能技术将废物进行能量梯级使用并生产出不同类型的清洁能源产品，以达到“以废治废，转废为能”的效果，将被称之为“放错地方的资源”的东西重新合理地分配至能源缺口，助力国家的绿色循环经济建设和碳中和发展。</w:t>
      </w:r>
    </w:p>
    <w:p w14:paraId="10B1FF2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p>
    <w:p w14:paraId="041EEC2A">
      <w:pPr>
        <w:pStyle w:val="2"/>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痛点</w:t>
      </w:r>
    </w:p>
    <w:p w14:paraId="4E620ADF">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1.流程管理：</w:t>
      </w:r>
    </w:p>
    <w:p w14:paraId="77E54C79">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碳寻之前审批流程是使用纸质的表单以及OA系统。但</w:t>
      </w:r>
      <w:r>
        <w:rPr>
          <w:rFonts w:hint="eastAsia"/>
          <w:b/>
          <w:bCs/>
        </w:rPr>
        <w:t>OA系统比较繁琐</w:t>
      </w:r>
      <w:r>
        <w:rPr>
          <w:rFonts w:hint="eastAsia"/>
        </w:rPr>
        <w:t>，员工不喜欢用，</w:t>
      </w:r>
      <w:r>
        <w:rPr>
          <w:rFonts w:hint="eastAsia"/>
          <w:b/>
          <w:bCs/>
        </w:rPr>
        <w:t>纸质表单审批找领导麻烦</w:t>
      </w:r>
      <w:r>
        <w:rPr>
          <w:rFonts w:hint="eastAsia"/>
        </w:rPr>
        <w:t>，且后期查找也不方便。</w:t>
      </w:r>
    </w:p>
    <w:p w14:paraId="445A866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p>
    <w:p w14:paraId="46FD6307">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2.项目管理：</w:t>
      </w:r>
    </w:p>
    <w:p w14:paraId="5B2A0169">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b/>
          <w:bCs/>
        </w:rPr>
      </w:pPr>
      <w:r>
        <w:rPr>
          <w:rFonts w:hint="eastAsia"/>
        </w:rPr>
        <w:t>原来的项目管理是采用的面对面对话、会议的形式去进行任务的沟通。一事一议的方式没有做到流程化，谈完了也没有信息留存。管理人员难以了解每一项任务当前的进度、过程和结果，以至于</w:t>
      </w:r>
      <w:r>
        <w:rPr>
          <w:rFonts w:hint="eastAsia"/>
          <w:b/>
          <w:bCs/>
        </w:rPr>
        <w:t>不好把控项目当前的进度</w:t>
      </w:r>
      <w:r>
        <w:rPr>
          <w:rFonts w:hint="eastAsia"/>
        </w:rPr>
        <w:t>。之后有相同的项目时也</w:t>
      </w:r>
      <w:r>
        <w:rPr>
          <w:rFonts w:hint="eastAsia"/>
          <w:b/>
          <w:bCs/>
        </w:rPr>
        <w:t>不能直接拿已经梳理好的流程框架使用。</w:t>
      </w:r>
    </w:p>
    <w:p w14:paraId="12A44D10">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b/>
          <w:bCs/>
        </w:rPr>
      </w:pPr>
    </w:p>
    <w:p w14:paraId="1C913EA0">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3.绩效管理：</w:t>
      </w:r>
    </w:p>
    <w:p w14:paraId="554D2E52">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b/>
          <w:bCs/>
        </w:rPr>
      </w:pPr>
      <w:r>
        <w:rPr>
          <w:rFonts w:hint="eastAsia"/>
        </w:rPr>
        <w:t>碳寻之前的绩效考核方式是将绩效表格打印出来，发给领导做打分，然后再收集分数。</w:t>
      </w:r>
      <w:r>
        <w:rPr>
          <w:rFonts w:hint="eastAsia"/>
          <w:b/>
          <w:bCs/>
        </w:rPr>
        <w:t>线下操作的考核周期比较长，需要花费很多时间去做绩效管理。</w:t>
      </w:r>
    </w:p>
    <w:p w14:paraId="2CFFF786">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b/>
          <w:bCs/>
        </w:rPr>
      </w:pPr>
    </w:p>
    <w:p w14:paraId="354119C4">
      <w:pPr>
        <w:pStyle w:val="2"/>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解决方案</w:t>
      </w:r>
    </w:p>
    <w:p w14:paraId="3395AE26">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（一）流程管理：</w:t>
      </w:r>
    </w:p>
    <w:p w14:paraId="264190DA">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碳寻应用日事清后，通过【流程】功能进行日常的审批流程管理。</w:t>
      </w:r>
    </w:p>
    <w:p w14:paraId="4230512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以用章申请流程为例，发起流程后，申请时间，申请人，需要什么章，章的用途等具体信息都能在流程中详细的展现出来。管理人员不再需要和申请人反复沟通、记录信息，打开日事清流程就能直接查看。</w:t>
      </w:r>
    </w:p>
    <w:p w14:paraId="1219B74F">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700270" cy="2593340"/>
            <wp:effectExtent l="0" t="0" r="8890" b="12700"/>
            <wp:docPr id="1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7"/>
                    <pic:cNvPicPr>
                      <a:picLocks noChangeAspect="1"/>
                    </pic:cNvPicPr>
                  </pic:nvPicPr>
                  <pic:blipFill>
                    <a:blip r:embed="rId6"/>
                    <a:stretch>
                      <a:fillRect/>
                    </a:stretch>
                  </pic:blipFill>
                  <pic:spPr>
                    <a:xfrm>
                      <a:off x="0" y="0"/>
                      <a:ext cx="4700270" cy="2593340"/>
                    </a:xfrm>
                    <a:prstGeom prst="rect">
                      <a:avLst/>
                    </a:prstGeom>
                    <a:noFill/>
                    <a:ln w="9525">
                      <a:noFill/>
                    </a:ln>
                  </pic:spPr>
                </pic:pic>
              </a:graphicData>
            </a:graphic>
          </wp:inline>
        </w:drawing>
      </w:r>
    </w:p>
    <w:p w14:paraId="43E744AC">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0DFB109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此外，管理人员可以根据用章途径判断该申请是盖章申请或是借章申请，并选择不同的后续步骤。如果是盖章申请，审核人审核通过后可以直接做盖章使用。如果是借章申请，需要走后续的用章归还步骤，确认印章无缺陷归还回来，保障印章不会出现丢失、破损情况。</w:t>
      </w:r>
    </w:p>
    <w:p w14:paraId="06C6D59D">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832350" cy="2665095"/>
            <wp:effectExtent l="0" t="0" r="13970" b="190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7"/>
                    <a:stretch>
                      <a:fillRect/>
                    </a:stretch>
                  </pic:blipFill>
                  <pic:spPr>
                    <a:xfrm>
                      <a:off x="0" y="0"/>
                      <a:ext cx="4832350" cy="2665095"/>
                    </a:xfrm>
                    <a:prstGeom prst="rect">
                      <a:avLst/>
                    </a:prstGeom>
                    <a:noFill/>
                    <a:ln w="9525">
                      <a:noFill/>
                    </a:ln>
                  </pic:spPr>
                </pic:pic>
              </a:graphicData>
            </a:graphic>
          </wp:inline>
        </w:drawing>
      </w:r>
    </w:p>
    <w:p w14:paraId="6DE3EED5">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470B8BF1">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（二）项目管理：</w:t>
      </w:r>
    </w:p>
    <w:p w14:paraId="73C6E4E6">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1.在日事清的【项目】功能中，碳寻的每一个计划使用一个项目，每一个卡片代表一个阶段。而每个阶段需要做的事情可以直接列到卡片上，任务需要谁来做，什么时间来做，能够在任务上直接设置，避免任务遗漏、找不到具体负责人的情况出现。</w:t>
      </w:r>
    </w:p>
    <w:p w14:paraId="2F0AAD8A">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5311140" cy="2925445"/>
            <wp:effectExtent l="0" t="0" r="7620" b="635"/>
            <wp:docPr id="1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descr="IMG_259"/>
                    <pic:cNvPicPr>
                      <a:picLocks noChangeAspect="1"/>
                    </pic:cNvPicPr>
                  </pic:nvPicPr>
                  <pic:blipFill>
                    <a:blip r:embed="rId8"/>
                    <a:stretch>
                      <a:fillRect/>
                    </a:stretch>
                  </pic:blipFill>
                  <pic:spPr>
                    <a:xfrm>
                      <a:off x="0" y="0"/>
                      <a:ext cx="5311140" cy="2925445"/>
                    </a:xfrm>
                    <a:prstGeom prst="rect">
                      <a:avLst/>
                    </a:prstGeom>
                    <a:noFill/>
                    <a:ln w="9525">
                      <a:noFill/>
                    </a:ln>
                  </pic:spPr>
                </pic:pic>
              </a:graphicData>
            </a:graphic>
          </wp:inline>
        </w:drawing>
      </w:r>
    </w:p>
    <w:p w14:paraId="1203A6AC">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47730F0A">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当碳寻的管理人员设置好任务对应的执行人和日期后，任务会自动派发到对应执行人的日程中。由对应的执行人在自己的日程中完成任务、给出结果反馈后，对应项目中的任务也能同步显示打勾完成的状态。最终，项目的负责人能够清晰地知道每一条任务的当前进度及完成情况。</w:t>
      </w:r>
    </w:p>
    <w:p w14:paraId="157D2350">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right="0"/>
        <w:jc w:val="center"/>
        <w:textAlignment w:val="auto"/>
        <w:rPr>
          <w:rFonts w:ascii="宋体" w:hAnsi="宋体" w:eastAsia="宋体" w:cs="宋体"/>
          <w:kern w:val="0"/>
          <w:sz w:val="24"/>
          <w:szCs w:val="24"/>
          <w:lang w:val="en-US" w:eastAsia="zh-CN" w:bidi="ar"/>
        </w:rPr>
      </w:pPr>
      <w:bookmarkStart w:id="0" w:name="_GoBack"/>
      <w:r>
        <w:rPr>
          <w:rFonts w:ascii="宋体" w:hAnsi="宋体" w:eastAsia="宋体" w:cs="宋体"/>
          <w:kern w:val="0"/>
          <w:sz w:val="24"/>
          <w:szCs w:val="24"/>
          <w:lang w:val="en-US" w:eastAsia="zh-CN" w:bidi="ar"/>
        </w:rPr>
        <w:drawing>
          <wp:inline distT="0" distB="0" distL="114300" distR="114300">
            <wp:extent cx="4997450" cy="2740025"/>
            <wp:effectExtent l="0" t="0" r="1270" b="3175"/>
            <wp:docPr id="1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IMG_260"/>
                    <pic:cNvPicPr>
                      <a:picLocks noChangeAspect="1"/>
                    </pic:cNvPicPr>
                  </pic:nvPicPr>
                  <pic:blipFill>
                    <a:blip r:embed="rId9"/>
                    <a:stretch>
                      <a:fillRect/>
                    </a:stretch>
                  </pic:blipFill>
                  <pic:spPr>
                    <a:xfrm>
                      <a:off x="0" y="0"/>
                      <a:ext cx="4997450" cy="2740025"/>
                    </a:xfrm>
                    <a:prstGeom prst="rect">
                      <a:avLst/>
                    </a:prstGeom>
                    <a:noFill/>
                    <a:ln w="9525">
                      <a:noFill/>
                    </a:ln>
                  </pic:spPr>
                </pic:pic>
              </a:graphicData>
            </a:graphic>
          </wp:inline>
        </w:drawing>
      </w:r>
      <w:bookmarkEnd w:id="0"/>
    </w:p>
    <w:p w14:paraId="023DBBAE">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right="0"/>
        <w:jc w:val="center"/>
        <w:textAlignment w:val="auto"/>
        <w:rPr>
          <w:rFonts w:ascii="宋体" w:hAnsi="宋体" w:eastAsia="宋体" w:cs="宋体"/>
          <w:kern w:val="0"/>
          <w:sz w:val="24"/>
          <w:szCs w:val="24"/>
          <w:lang w:val="en-US" w:eastAsia="zh-CN" w:bidi="ar"/>
        </w:rPr>
      </w:pPr>
    </w:p>
    <w:p w14:paraId="188685F9">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2.通过日事清的【项目】功能，项目负责人可以多维度筛选查看当前项目的执行情况以及统计关于项目的报表。</w:t>
      </w:r>
    </w:p>
    <w:p w14:paraId="16CA5E44">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pPr>
      <w:r>
        <w:rPr>
          <w:rFonts w:ascii="宋体" w:hAnsi="宋体" w:eastAsia="宋体" w:cs="宋体"/>
          <w:kern w:val="0"/>
          <w:sz w:val="24"/>
          <w:szCs w:val="24"/>
          <w:shd w:val="clear" w:fill="FFFFFF"/>
          <w:lang w:val="en-US" w:eastAsia="zh-CN" w:bidi="ar"/>
        </w:rPr>
        <w:drawing>
          <wp:inline distT="0" distB="0" distL="114300" distR="114300">
            <wp:extent cx="4307205" cy="2372995"/>
            <wp:effectExtent l="0" t="0" r="5715" b="4445"/>
            <wp:docPr id="1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IMG_261"/>
                    <pic:cNvPicPr>
                      <a:picLocks noChangeAspect="1"/>
                    </pic:cNvPicPr>
                  </pic:nvPicPr>
                  <pic:blipFill>
                    <a:blip r:embed="rId10"/>
                    <a:stretch>
                      <a:fillRect/>
                    </a:stretch>
                  </pic:blipFill>
                  <pic:spPr>
                    <a:xfrm>
                      <a:off x="0" y="0"/>
                      <a:ext cx="4307205" cy="2372995"/>
                    </a:xfrm>
                    <a:prstGeom prst="rect">
                      <a:avLst/>
                    </a:prstGeom>
                    <a:noFill/>
                    <a:ln w="9525">
                      <a:noFill/>
                    </a:ln>
                  </pic:spPr>
                </pic:pic>
              </a:graphicData>
            </a:graphic>
          </wp:inline>
        </w:drawing>
      </w:r>
    </w:p>
    <w:p w14:paraId="14B806F9">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342765" cy="2394585"/>
            <wp:effectExtent l="0" t="0" r="635" b="13335"/>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1"/>
                    <a:stretch>
                      <a:fillRect/>
                    </a:stretch>
                  </pic:blipFill>
                  <pic:spPr>
                    <a:xfrm>
                      <a:off x="0" y="0"/>
                      <a:ext cx="4342765" cy="2394585"/>
                    </a:xfrm>
                    <a:prstGeom prst="rect">
                      <a:avLst/>
                    </a:prstGeom>
                    <a:noFill/>
                    <a:ln w="9525">
                      <a:noFill/>
                    </a:ln>
                  </pic:spPr>
                </pic:pic>
              </a:graphicData>
            </a:graphic>
          </wp:inline>
        </w:drawing>
      </w:r>
    </w:p>
    <w:p w14:paraId="2339655F">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7869CA84">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3.碳寻设置的项目中，所有上传的文档和图片都会记录在文档模块里。项目结束后，碳寻的相关负责人可以批量下载文件，留存到本地。</w:t>
      </w:r>
    </w:p>
    <w:p w14:paraId="2BA951FE">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510405" cy="2487295"/>
            <wp:effectExtent l="0" t="0" r="635" b="12065"/>
            <wp:docPr id="1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IMG_263"/>
                    <pic:cNvPicPr>
                      <a:picLocks noChangeAspect="1"/>
                    </pic:cNvPicPr>
                  </pic:nvPicPr>
                  <pic:blipFill>
                    <a:blip r:embed="rId12"/>
                    <a:stretch>
                      <a:fillRect/>
                    </a:stretch>
                  </pic:blipFill>
                  <pic:spPr>
                    <a:xfrm>
                      <a:off x="0" y="0"/>
                      <a:ext cx="4510405" cy="2487295"/>
                    </a:xfrm>
                    <a:prstGeom prst="rect">
                      <a:avLst/>
                    </a:prstGeom>
                    <a:noFill/>
                    <a:ln w="9525">
                      <a:noFill/>
                    </a:ln>
                  </pic:spPr>
                </pic:pic>
              </a:graphicData>
            </a:graphic>
          </wp:inline>
        </w:drawing>
      </w:r>
    </w:p>
    <w:p w14:paraId="14463DFA">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lang w:val="en-US" w:eastAsia="zh-CN"/>
        </w:rPr>
      </w:pPr>
    </w:p>
    <w:p w14:paraId="72676DC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4.当碳寻的一个项目负责人同时负责多个项目时，项目集可以快速查看他当前参与的所有项目的状态和进度。</w:t>
      </w:r>
    </w:p>
    <w:p w14:paraId="1AE2CFC8">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785995" cy="2639060"/>
            <wp:effectExtent l="0" t="0" r="14605" b="1270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3"/>
                    <a:stretch>
                      <a:fillRect/>
                    </a:stretch>
                  </pic:blipFill>
                  <pic:spPr>
                    <a:xfrm>
                      <a:off x="0" y="0"/>
                      <a:ext cx="4785995" cy="2639060"/>
                    </a:xfrm>
                    <a:prstGeom prst="rect">
                      <a:avLst/>
                    </a:prstGeom>
                    <a:noFill/>
                    <a:ln w="9525">
                      <a:noFill/>
                    </a:ln>
                  </pic:spPr>
                </pic:pic>
              </a:graphicData>
            </a:graphic>
          </wp:inline>
        </w:drawing>
      </w:r>
    </w:p>
    <w:p w14:paraId="224CFCFB">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46CF51D7">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（三）绩效管理：</w:t>
      </w:r>
    </w:p>
    <w:p w14:paraId="5356360A">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1.使用日事清的【绩效】功能后，碳寻首先根据公司的考核规则在偏好设置中设置考核内容满分数值以及每个分数区间的等级名称。</w:t>
      </w:r>
    </w:p>
    <w:p w14:paraId="53F7EE7F">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867910" cy="2363470"/>
            <wp:effectExtent l="0" t="0" r="0" b="0"/>
            <wp:docPr id="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IMG_265"/>
                    <pic:cNvPicPr>
                      <a:picLocks noChangeAspect="1"/>
                    </pic:cNvPicPr>
                  </pic:nvPicPr>
                  <pic:blipFill>
                    <a:blip r:embed="rId14"/>
                    <a:srcRect b="11989"/>
                    <a:stretch>
                      <a:fillRect/>
                    </a:stretch>
                  </pic:blipFill>
                  <pic:spPr>
                    <a:xfrm>
                      <a:off x="0" y="0"/>
                      <a:ext cx="4867910" cy="2363470"/>
                    </a:xfrm>
                    <a:prstGeom prst="rect">
                      <a:avLst/>
                    </a:prstGeom>
                    <a:noFill/>
                    <a:ln w="9525">
                      <a:noFill/>
                    </a:ln>
                  </pic:spPr>
                </pic:pic>
              </a:graphicData>
            </a:graphic>
          </wp:inline>
        </w:drawing>
      </w:r>
    </w:p>
    <w:p w14:paraId="4367DAFD">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3535AA85">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2.随后，碳寻设置好各个部门的考核模板。日事清中的考核模板由三部分组成：基础信息、考核内容、考核流程。在考核模板配置好后，负责人就可直接选择模板、发起考核。</w:t>
      </w:r>
    </w:p>
    <w:p w14:paraId="76B608BC">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考核模板基础信息：填写考核模板名称，选择考核周期，设置被考核对象，设置被考核对象权限。</w:t>
      </w:r>
    </w:p>
    <w:p w14:paraId="7C4A919F">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588510" cy="1169670"/>
            <wp:effectExtent l="0" t="0" r="13970" b="3810"/>
            <wp:docPr id="7"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IMG_266"/>
                    <pic:cNvPicPr>
                      <a:picLocks noChangeAspect="1"/>
                    </pic:cNvPicPr>
                  </pic:nvPicPr>
                  <pic:blipFill>
                    <a:blip r:embed="rId15"/>
                    <a:stretch>
                      <a:fillRect/>
                    </a:stretch>
                  </pic:blipFill>
                  <pic:spPr>
                    <a:xfrm>
                      <a:off x="0" y="0"/>
                      <a:ext cx="4588510" cy="1169670"/>
                    </a:xfrm>
                    <a:prstGeom prst="rect">
                      <a:avLst/>
                    </a:prstGeom>
                    <a:noFill/>
                    <a:ln w="9525">
                      <a:noFill/>
                    </a:ln>
                  </pic:spPr>
                </pic:pic>
              </a:graphicData>
            </a:graphic>
          </wp:inline>
        </w:drawing>
      </w:r>
    </w:p>
    <w:p w14:paraId="02BF712C">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743BCE3E">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考核内容：设置好被考核人的考核项及其权重。</w:t>
      </w:r>
    </w:p>
    <w:p w14:paraId="0DA774AC">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641215" cy="2560320"/>
            <wp:effectExtent l="0" t="0" r="6985" b="0"/>
            <wp:docPr id="10"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IMG_267"/>
                    <pic:cNvPicPr>
                      <a:picLocks noChangeAspect="1"/>
                    </pic:cNvPicPr>
                  </pic:nvPicPr>
                  <pic:blipFill>
                    <a:blip r:embed="rId16"/>
                    <a:stretch>
                      <a:fillRect/>
                    </a:stretch>
                  </pic:blipFill>
                  <pic:spPr>
                    <a:xfrm>
                      <a:off x="0" y="0"/>
                      <a:ext cx="4641215" cy="2560320"/>
                    </a:xfrm>
                    <a:prstGeom prst="rect">
                      <a:avLst/>
                    </a:prstGeom>
                    <a:noFill/>
                    <a:ln w="9525">
                      <a:noFill/>
                    </a:ln>
                  </pic:spPr>
                </pic:pic>
              </a:graphicData>
            </a:graphic>
          </wp:inline>
        </w:drawing>
      </w:r>
    </w:p>
    <w:p w14:paraId="12A955B4">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p>
    <w:p w14:paraId="2F7CADFF">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考核流程：先由负责人确认被考核人的考核内容是否异常，做好考核内容的编辑调整，并设置被考核人自评等环节的具体信息。</w:t>
      </w:r>
    </w:p>
    <w:p w14:paraId="22BEE82E">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jc w:val="center"/>
        <w:textAlignment w:val="auto"/>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302760" cy="2373630"/>
            <wp:effectExtent l="0" t="0" r="10160" b="3810"/>
            <wp:docPr id="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descr="IMG_268"/>
                    <pic:cNvPicPr>
                      <a:picLocks noChangeAspect="1"/>
                    </pic:cNvPicPr>
                  </pic:nvPicPr>
                  <pic:blipFill>
                    <a:blip r:embed="rId17"/>
                    <a:stretch>
                      <a:fillRect/>
                    </a:stretch>
                  </pic:blipFill>
                  <pic:spPr>
                    <a:xfrm>
                      <a:off x="0" y="0"/>
                      <a:ext cx="4302760" cy="2373630"/>
                    </a:xfrm>
                    <a:prstGeom prst="rect">
                      <a:avLst/>
                    </a:prstGeom>
                    <a:noFill/>
                    <a:ln w="9525">
                      <a:noFill/>
                    </a:ln>
                  </pic:spPr>
                </pic:pic>
              </a:graphicData>
            </a:graphic>
          </wp:inline>
        </w:drawing>
      </w:r>
    </w:p>
    <w:p w14:paraId="1FF0536F">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lang w:val="en-US" w:eastAsia="zh-CN"/>
        </w:rPr>
      </w:pPr>
    </w:p>
    <w:p w14:paraId="2FF4084C">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3.模板设置好后，绩效负责人可以一键发起绩效考核，同时对多人的绩效考核评分、导出考核内容。</w:t>
      </w:r>
    </w:p>
    <w:p w14:paraId="2D098C09">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right="0"/>
        <w:jc w:val="center"/>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4542790" cy="2490470"/>
            <wp:effectExtent l="0" t="0" r="13970" b="8890"/>
            <wp:docPr id="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IMG_269"/>
                    <pic:cNvPicPr>
                      <a:picLocks noChangeAspect="1"/>
                    </pic:cNvPicPr>
                  </pic:nvPicPr>
                  <pic:blipFill>
                    <a:blip r:embed="rId18"/>
                    <a:stretch>
                      <a:fillRect/>
                    </a:stretch>
                  </pic:blipFill>
                  <pic:spPr>
                    <a:xfrm>
                      <a:off x="0" y="0"/>
                      <a:ext cx="4542790" cy="2490470"/>
                    </a:xfrm>
                    <a:prstGeom prst="rect">
                      <a:avLst/>
                    </a:prstGeom>
                    <a:noFill/>
                    <a:ln w="9525">
                      <a:noFill/>
                    </a:ln>
                  </pic:spPr>
                </pic:pic>
              </a:graphicData>
            </a:graphic>
          </wp:inline>
        </w:drawing>
      </w:r>
    </w:p>
    <w:p w14:paraId="5B18F6ED">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lang w:val="en-US" w:eastAsia="zh-CN"/>
        </w:rPr>
      </w:pPr>
    </w:p>
    <w:p w14:paraId="2E40192D">
      <w:pPr>
        <w:pStyle w:val="2"/>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总结</w:t>
      </w:r>
    </w:p>
    <w:p w14:paraId="420010AD">
      <w:pPr>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eastAsiaTheme="minorEastAsia"/>
          <w:lang w:eastAsia="zh-CN"/>
        </w:rPr>
      </w:pPr>
      <w:r>
        <w:rPr>
          <w:rFonts w:hint="eastAsia"/>
        </w:rPr>
        <w:t>很高兴能和广东碳寻能源有限公司的高经理合作。高经理是个很负责任、十分聪慧的小姐姐，认真参与了最初的组织架构搭建、权限配置，后续的需求沟通、方案搭建工作。通过她的积极了解与沟通，日事清高效快速地在碳寻内搭建测试并使用起来。此外，高经理还做作为讲师来为碳寻内部员工做了日事清应用的答疑和培训工作。十分感谢在合作期间高经理提供的宝贵建议。希望在后续的使用过程中，日事清与碳寻能够共同进步和成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9164F"/>
    <w:rsid w:val="28354E06"/>
    <w:rsid w:val="412B4EE4"/>
    <w:rsid w:val="532760A3"/>
    <w:rsid w:val="5E89164F"/>
    <w:rsid w:val="6247291B"/>
    <w:rsid w:val="73013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2025-04-22T06:33:00Z</dcterms:created>
  <dc:creator>拼了！</dc:creator>
  <cp:lastModifiedBy>拼了！</cp:lastModifiedBy>
  <dcterms:modified xsi:type="dcterms:W3CDTF">2025-04-22T06:46:15Z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F4D5AB80D90F4E15B2B7D5FB3DD18C19_11</vt:lpwstr>
  </property>
  <property fmtid="{D5CDD505-2E9C-101B-9397-08002B2CF9AE}" pid="4" name="KSOTemplateDocerSaveRecord">
    <vt:lpwstr>eyJoZGlkIjoiNjgxMWIwODEwNDEyNDM2ZGE4Nzk5MjYzYjUwMjNkZGMiLCJ1c2VySWQiOiI2MzYxMTc0NDAifQ==</vt:lpwstr>
  </property>
</Properties>
</file>