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07DB39">
      <w:pPr>
        <w:pStyle w:val="2"/>
        <w:bidi w:val="0"/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一文概述间充质干细胞（MSC）的三系分化及其培养Protocol</w:t>
      </w:r>
    </w:p>
    <w:p w14:paraId="10A25A4C">
      <w:pPr>
        <w:rPr>
          <w:rFonts w:hint="eastAsia" w:ascii="等线" w:hAnsi="等线" w:eastAsia="等线" w:cs="等线"/>
        </w:rPr>
      </w:pPr>
    </w:p>
    <w:p w14:paraId="41A34C57">
      <w:pPr>
        <w:rPr>
          <w:rFonts w:hint="eastAsia" w:ascii="等线" w:hAnsi="等线" w:eastAsia="等线" w:cs="等线"/>
        </w:rPr>
      </w:pPr>
    </w:p>
    <w:p w14:paraId="2A519043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间充质干细胞（Mesenchymal Stem Cells, MSCs）具有独特的生物学特性和治疗潜能，正在成为疾病研究领域的“新星”，研究热度持续不减。MSC涉及相关研究较多，如多发性硬化症、关节炎、神经病理性疼痛、肠道疾病等，是移植和自身免疫系统疾病领域的研究热点。</w:t>
      </w:r>
    </w:p>
    <w:p w14:paraId="4B5124B8">
      <w:pPr>
        <w:rPr>
          <w:rFonts w:hint="eastAsia" w:ascii="等线" w:hAnsi="等线" w:eastAsia="等线" w:cs="等线"/>
        </w:rPr>
      </w:pPr>
    </w:p>
    <w:p w14:paraId="529C26BD">
      <w:pPr>
        <w:rPr>
          <w:rFonts w:hint="eastAsia" w:ascii="等线" w:hAnsi="等线" w:eastAsia="等线" w:cs="等线"/>
          <w:lang w:eastAsia="zh-CN"/>
        </w:rPr>
      </w:pPr>
      <w:r>
        <w:rPr>
          <w:rFonts w:hint="eastAsia" w:ascii="等线" w:hAnsi="等线" w:eastAsia="等线" w:cs="等线"/>
          <w:lang w:eastAsia="zh-CN"/>
        </w:rPr>
        <w:drawing>
          <wp:inline distT="0" distB="0" distL="114300" distR="114300">
            <wp:extent cx="5273040" cy="2870200"/>
            <wp:effectExtent l="0" t="0" r="3810" b="6350"/>
            <wp:docPr id="3" name="图片 3" descr="2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.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7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E4FC9A">
      <w:pPr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</w:rPr>
      </w:pP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</w:rPr>
        <w:t>2014-2024年MSCs Pubmed发表文献数量统计</w:t>
      </w:r>
    </w:p>
    <w:p w14:paraId="1573895C">
      <w:pPr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</w:rPr>
      </w:pPr>
    </w:p>
    <w:p w14:paraId="413D7F2B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间充质干细胞是源自中胚层的具有高度自我更新、多谱系分化潜力的多能干细胞，广泛存在于全身多种组织，具有易分离、易获取的优点，可在体外进行分化扩增培养。</w:t>
      </w:r>
    </w:p>
    <w:p w14:paraId="5CBEC86B">
      <w:pPr>
        <w:rPr>
          <w:rFonts w:hint="eastAsia" w:ascii="等线" w:hAnsi="等线" w:eastAsia="等线" w:cs="等线"/>
        </w:rPr>
      </w:pPr>
    </w:p>
    <w:p w14:paraId="3BCBFB69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MSC是肿瘤治疗及基因传递研究、功能基因组学、药物筛选、高通量筛选和毒理学的优秀工具。国际细胞治疗协会（ISCT）将人源MSC定义为：</w:t>
      </w:r>
    </w:p>
    <w:p w14:paraId="2E4C4E8C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Ø 在标准培养条件下，为贴壁生长；</w:t>
      </w:r>
    </w:p>
    <w:p w14:paraId="12E44CDF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Ø 需表达CD105、CD73和CD90，不表达CD45、CD34、CD14或CD11b、CD79α或CD19及HLA-DR表面标记；</w:t>
      </w:r>
    </w:p>
    <w:p w14:paraId="47063913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Ø 在体外可以分化为成骨细胞、成软骨细胞和脂肪细胞。</w:t>
      </w:r>
    </w:p>
    <w:p w14:paraId="3A5A5CCF">
      <w:pPr>
        <w:rPr>
          <w:rFonts w:hint="eastAsia" w:ascii="等线" w:hAnsi="等线" w:eastAsia="等线" w:cs="等线"/>
        </w:rPr>
      </w:pPr>
    </w:p>
    <w:p w14:paraId="5F43B4FC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间充质干细胞来自多种细胞或组织，如骨髓、脂肪组织、外周血、胎盘组织、牙髓等。同样MSC也可以分化成多种细胞类型，如成骨细胞、软骨细胞、脂肪细胞、肌细胞、神经细胞、基质细胞等。</w:t>
      </w:r>
    </w:p>
    <w:p w14:paraId="3285A5BD">
      <w:pPr>
        <w:rPr>
          <w:rFonts w:hint="eastAsia" w:ascii="等线" w:hAnsi="等线" w:eastAsia="等线" w:cs="等线"/>
          <w:lang w:eastAsia="zh-CN"/>
        </w:rPr>
      </w:pPr>
      <w:r>
        <w:rPr>
          <w:rFonts w:hint="eastAsia" w:ascii="等线" w:hAnsi="等线" w:eastAsia="等线" w:cs="等线"/>
          <w:lang w:eastAsia="zh-CN"/>
        </w:rPr>
        <w:drawing>
          <wp:inline distT="0" distB="0" distL="114300" distR="114300">
            <wp:extent cx="5266690" cy="5227955"/>
            <wp:effectExtent l="0" t="0" r="10160" b="10795"/>
            <wp:docPr id="4" name="图片 4" descr="2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.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227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07ECD">
      <w:pPr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</w:rPr>
      </w:pP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</w:rPr>
        <w:t>MSC来源及分化（源自参考文献）</w:t>
      </w:r>
    </w:p>
    <w:p w14:paraId="1616AE74">
      <w:pPr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  <w:lang w:eastAsia="zh-CN"/>
        </w:rPr>
      </w:pPr>
    </w:p>
    <w:p w14:paraId="21DAC425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值得注意的是，间充质干细胞的分化潜力可能会因干细胞来源、扩增条件及其培养微环境而异。其中三系分化是MSC培养扩增的重点。三系分化通常指成骨、成脂和成软骨分化。为了更好地理解MSC的三系分化，本文初步总结了MSC三系分化的大概过程以及一些标志物对应的鉴定方法。</w:t>
      </w:r>
    </w:p>
    <w:p w14:paraId="2DEE919A">
      <w:pPr>
        <w:pStyle w:val="3"/>
        <w:bidi w:val="0"/>
        <w:rPr>
          <w:rFonts w:hint="eastAsia"/>
        </w:rPr>
      </w:pPr>
      <w:r>
        <w:rPr>
          <w:rFonts w:hint="eastAsia"/>
        </w:rPr>
        <w:t>成骨分化</w:t>
      </w:r>
    </w:p>
    <w:p w14:paraId="584D629A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MSC在多种细胞因子的刺激及其他特点理化环境中，可以定向分化为骨原细胞。然后骨原细胞进一步分化成骨细胞前体细胞，进入快速增殖期。成骨细胞在此阶段合成和分泌有机基质，形成类骨质（主要为I型胶原蛋白），特征物是碱性磷酸酶，是成骨细胞分化成熟的早期标志；碱性磷酸酶经固蓝染色后在显微镜下呈现蓝色，未分化的细胞则无明显颜色。</w:t>
      </w:r>
    </w:p>
    <w:p w14:paraId="7D0BE10A">
      <w:pPr>
        <w:rPr>
          <w:rFonts w:hint="eastAsia" w:ascii="等线" w:hAnsi="等线" w:eastAsia="等线" w:cs="等线"/>
        </w:rPr>
      </w:pPr>
    </w:p>
    <w:p w14:paraId="60EF9C61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成熟的成骨细胞表达ECM钙化相关蛋白。长时间的成骨诱导使钙离子以钙盐方式沉淀下来，形成“骨结节”。骨结节可通过茜素红染色（茜素红和钙发生显色反应，产生一种深红色化合物），把外面沉积的钙结节染成深红色，通过着色物面积和深浅来表示成骨分化的强弱。</w:t>
      </w:r>
    </w:p>
    <w:p w14:paraId="23801662">
      <w:pPr>
        <w:rPr>
          <w:rFonts w:hint="eastAsia" w:ascii="等线" w:hAnsi="等线" w:eastAsia="等线" w:cs="等线"/>
          <w:lang w:eastAsia="zh-CN"/>
        </w:rPr>
      </w:pPr>
      <w:r>
        <w:rPr>
          <w:rFonts w:hint="eastAsia" w:ascii="等线" w:hAnsi="等线" w:eastAsia="等线" w:cs="等线"/>
          <w:lang w:eastAsia="zh-CN"/>
        </w:rPr>
        <w:drawing>
          <wp:inline distT="0" distB="0" distL="114300" distR="114300">
            <wp:extent cx="5266690" cy="1848485"/>
            <wp:effectExtent l="0" t="0" r="10160" b="18415"/>
            <wp:docPr id="5" name="图片 5" descr="2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.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848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144453">
      <w:pPr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</w:rPr>
      </w:pP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</w:rPr>
        <w:t>MSC来源及分化（源自参考文献）</w:t>
      </w:r>
    </w:p>
    <w:p w14:paraId="750D8E76">
      <w:pPr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  <w:lang w:eastAsia="zh-CN"/>
        </w:rPr>
      </w:pPr>
    </w:p>
    <w:p w14:paraId="0A86250E">
      <w:pPr>
        <w:pStyle w:val="3"/>
        <w:bidi w:val="0"/>
        <w:rPr>
          <w:rFonts w:hint="eastAsia"/>
        </w:rPr>
      </w:pPr>
      <w:r>
        <w:rPr>
          <w:rFonts w:hint="eastAsia"/>
        </w:rPr>
        <w:t>成软骨分化</w:t>
      </w:r>
    </w:p>
    <w:p w14:paraId="4B23D614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首先MSC聚集成团，成团的中间细胞经分裂分化转变成一种大而圆的细胞，即成软骨细胞。成软骨细胞产生基质和纤维（主要为II型胶原蛋白），通过免疫组化观察II型胶原蛋白的表达情况。</w:t>
      </w:r>
    </w:p>
    <w:p w14:paraId="12DFEB03">
      <w:pPr>
        <w:rPr>
          <w:rFonts w:hint="eastAsia" w:ascii="等线" w:hAnsi="等线" w:eastAsia="等线" w:cs="等线"/>
        </w:rPr>
      </w:pPr>
    </w:p>
    <w:p w14:paraId="38EE6BD7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一般用阿利新蓝鉴定成软骨细胞分化结果。阿利新蓝属于碱性染料，可以与细胞内的核酸结合，使细胞核呈深蓝色。同时，阿利新蓝与软骨基质中的多糖结合，使软骨细胞和基质呈浅蓝色。</w:t>
      </w:r>
    </w:p>
    <w:p w14:paraId="51A96CE9">
      <w:pPr>
        <w:rPr>
          <w:rFonts w:hint="eastAsia" w:ascii="等线" w:hAnsi="等线" w:eastAsia="等线" w:cs="等线"/>
          <w:lang w:eastAsia="zh-CN"/>
        </w:rPr>
      </w:pPr>
      <w:r>
        <w:rPr>
          <w:rFonts w:hint="eastAsia" w:ascii="等线" w:hAnsi="等线" w:eastAsia="等线" w:cs="等线"/>
          <w:lang w:eastAsia="zh-CN"/>
        </w:rPr>
        <w:drawing>
          <wp:inline distT="0" distB="0" distL="114300" distR="114300">
            <wp:extent cx="5266690" cy="1770380"/>
            <wp:effectExtent l="0" t="0" r="10160" b="1270"/>
            <wp:docPr id="6" name="图片 6" descr="2.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.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77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6C977">
      <w:pPr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</w:rPr>
      </w:pP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</w:rPr>
        <w:t>不同来源的MSC成软骨分化鉴定</w:t>
      </w:r>
    </w:p>
    <w:p w14:paraId="0A61DDB6">
      <w:pPr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  <w:lang w:eastAsia="zh-CN"/>
        </w:rPr>
      </w:pPr>
    </w:p>
    <w:p w14:paraId="5074395C">
      <w:pPr>
        <w:pStyle w:val="3"/>
        <w:bidi w:val="0"/>
        <w:rPr>
          <w:rFonts w:hint="eastAsia"/>
        </w:rPr>
      </w:pPr>
      <w:r>
        <w:rPr>
          <w:rFonts w:hint="eastAsia"/>
        </w:rPr>
        <w:t>成脂分化</w:t>
      </w:r>
    </w:p>
    <w:p w14:paraId="371ADB53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MSC成脂分化有两个阶段，先是分化为脂肪前体细胞，接着在特定刺激影响下（如C/EBPs和PPAR-γ）分化为脂肪细胞。</w:t>
      </w:r>
    </w:p>
    <w:p w14:paraId="68345EA9">
      <w:pPr>
        <w:rPr>
          <w:rFonts w:hint="eastAsia" w:ascii="等线" w:hAnsi="等线" w:eastAsia="等线" w:cs="等线"/>
        </w:rPr>
      </w:pPr>
    </w:p>
    <w:p w14:paraId="1C1863F2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细胞在胞浆中不断积累脂肪滴，并不断变大。利用油红O染色后，在显微镜下为红色。未分化的细胞则无明显颜色。</w:t>
      </w:r>
    </w:p>
    <w:p w14:paraId="796A3E08">
      <w:pPr>
        <w:rPr>
          <w:rFonts w:hint="eastAsia" w:ascii="等线" w:hAnsi="等线" w:eastAsia="等线" w:cs="等线"/>
        </w:rPr>
      </w:pPr>
    </w:p>
    <w:p w14:paraId="6AB1F045">
      <w:pPr>
        <w:rPr>
          <w:rFonts w:hint="eastAsia" w:ascii="等线" w:hAnsi="等线" w:eastAsia="等线" w:cs="等线"/>
          <w:lang w:eastAsia="zh-CN"/>
        </w:rPr>
      </w:pPr>
      <w:r>
        <w:rPr>
          <w:rFonts w:hint="eastAsia" w:ascii="等线" w:hAnsi="等线" w:eastAsia="等线" w:cs="等线"/>
          <w:lang w:eastAsia="zh-CN"/>
        </w:rPr>
        <w:drawing>
          <wp:inline distT="0" distB="0" distL="114300" distR="114300">
            <wp:extent cx="5266690" cy="1706880"/>
            <wp:effectExtent l="0" t="0" r="10160" b="7620"/>
            <wp:docPr id="7" name="图片 7" descr="2.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.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70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90ADD4">
      <w:pPr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</w:rPr>
      </w:pP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</w:rPr>
        <w:t>不同来源的MSC成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  <w:lang w:val="en-US" w:eastAsia="zh-CN"/>
        </w:rPr>
        <w:t>脂</w:t>
      </w:r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</w:rPr>
        <w:t>分化鉴定</w:t>
      </w:r>
    </w:p>
    <w:p w14:paraId="076C6979">
      <w:pPr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  <w:lang w:eastAsia="zh-CN"/>
        </w:rPr>
      </w:pPr>
    </w:p>
    <w:p w14:paraId="28216EBF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各种因素都会影响分化潜力。如培养环境、生长因子以及其他细胞的存在，都会影响分化过程。特定的信号分子，如骨形态发生蛋白（BMP）或Wingless相关整合位点（Wnts），可以分别促进干细胞分化为骨细胞或神经细胞。</w:t>
      </w:r>
      <w:bookmarkStart w:id="0" w:name="_GoBack"/>
      <w:bookmarkEnd w:id="0"/>
    </w:p>
    <w:p w14:paraId="49765DD3">
      <w:pPr>
        <w:rPr>
          <w:rFonts w:hint="eastAsia" w:ascii="等线" w:hAnsi="等线" w:eastAsia="等线" w:cs="等线"/>
        </w:rPr>
      </w:pPr>
    </w:p>
    <w:p w14:paraId="27758417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间充质干细胞研究这么火热，我们义翘神州整理了一份详细的MSC操作指南。Protocol干货满满，除了以上三系分化鉴定示例，还包括间充质干细胞如何分离、如何传代扩增，以及如何判定扩增后的细胞就是间充质干细胞。欢迎大家下载学习。</w:t>
      </w:r>
    </w:p>
    <w:p w14:paraId="52ECE55C">
      <w:pPr>
        <w:rPr>
          <w:rFonts w:hint="eastAsia" w:ascii="等线" w:hAnsi="等线" w:eastAsia="等线" w:cs="等线"/>
        </w:rPr>
      </w:pPr>
    </w:p>
    <w:p w14:paraId="46AD3B8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</w:rPr>
        <w:t>免责声明：义翘神州内容团队仅是分享和解读公开的研究论文及其发现，专注于介绍全球生物医药研究新进展。本文仅作信息交流用，文中观点不代表义翘神州立场。随着对疾病机制研究的深入，新的实验结果或结论可能会修改或推翻文中的描述，还请大家理解。</w:t>
      </w:r>
    </w:p>
    <w:p w14:paraId="263B391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</w:rPr>
      </w:pPr>
    </w:p>
    <w:p w14:paraId="6B8C99E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A0A0A0"/>
          <w:spacing w:val="8"/>
          <w:sz w:val="18"/>
          <w:szCs w:val="18"/>
          <w:shd w:val="clear" w:fill="FFFFFF"/>
        </w:rPr>
        <w:t>本文不属于治疗方案推荐，如需获得治疗方案指导，请前往正规医院就诊。</w:t>
      </w:r>
    </w:p>
    <w:p w14:paraId="41713986">
      <w:pPr>
        <w:rPr>
          <w:rFonts w:hint="eastAsia" w:ascii="等线" w:hAnsi="等线" w:eastAsia="等线" w:cs="等线"/>
        </w:rPr>
      </w:pPr>
    </w:p>
    <w:p w14:paraId="768235BC">
      <w:pPr>
        <w:rPr>
          <w:rFonts w:hint="eastAsia" w:ascii="等线" w:hAnsi="等线" w:eastAsia="等线" w:cs="等线"/>
        </w:rPr>
      </w:pPr>
    </w:p>
    <w:p w14:paraId="20EE8B9C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【参考文献】</w:t>
      </w:r>
    </w:p>
    <w:p w14:paraId="12ABCBA5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1.Dragomirka Jovic. A Brief Overview of Global Trends in MSC-Based Cell Therapy. Stem Cell Reviews and Reports, 2022. https://doi.org/10.1007/s12015-022-10369-1</w:t>
      </w:r>
    </w:p>
    <w:p w14:paraId="0E3CF2D6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2.Xing Liang Fan, et al. Mechanisms underlying the protective effects of mesenchymal stem cell-based therapy. Cellular and Molecular Life Sciences, 2020. https://doi.org/10.1007/s00018-020-03454-6</w:t>
      </w:r>
    </w:p>
    <w:p w14:paraId="06770B49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3.Yu Han, et al. Mesenchymal Stem Cells for Regenerative Medicine. Cells, 2019. doi:10.3390/cells8080886</w:t>
      </w:r>
    </w:p>
    <w:p w14:paraId="4BD6118B">
      <w:pPr>
        <w:rPr>
          <w:rFonts w:hint="eastAsia" w:ascii="等线" w:hAnsi="等线" w:eastAsia="等线" w:cs="等线"/>
        </w:rPr>
      </w:pPr>
      <w:r>
        <w:rPr>
          <w:rFonts w:hint="eastAsia" w:ascii="等线" w:hAnsi="等线" w:eastAsia="等线" w:cs="等线"/>
        </w:rPr>
        <w:t>4.Tilotta V, et al. Mesenchymal stem cell-derived secretome enhances nucleus pulposus cell metabolism and modulates extracellular matrix gene expression in vitro. Front. Bioeng. Biotechnol. 2023. doi: 10.3389/fbioe.2023.1152207</w:t>
      </w:r>
    </w:p>
    <w:p w14:paraId="43F9C4C0">
      <w:pPr>
        <w:rPr>
          <w:rFonts w:hint="eastAsia" w:ascii="等线" w:hAnsi="等线" w:eastAsia="等线" w:cs="等线"/>
        </w:rPr>
      </w:pPr>
    </w:p>
    <w:p w14:paraId="6E133407">
      <w:pPr>
        <w:rPr>
          <w:rFonts w:hint="eastAsia" w:ascii="等线" w:hAnsi="等线" w:eastAsia="等线" w:cs="等线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1YTA5Y2Y5Y2I0NzU2ZDExMmM5ZWY5YTU1YWU0MjAifQ=="/>
  </w:docVars>
  <w:rsids>
    <w:rsidRoot w:val="00000000"/>
    <w:rsid w:val="2C20505F"/>
    <w:rsid w:val="73C41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1597</Words>
  <Characters>2273</Characters>
  <Lines>0</Lines>
  <Paragraphs>0</Paragraphs>
  <TotalTime>30</TotalTime>
  <ScaleCrop>false</ScaleCrop>
  <LinksUpToDate>false</LinksUpToDate>
  <CharactersWithSpaces>2357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2024-08-12T06:37:00Z</dcterms:created>
  <dc:creator>s</dc:creator>
  <cp:lastModifiedBy>忘了天空的颜色</cp:lastModifiedBy>
  <dcterms:modified xsi:type="dcterms:W3CDTF">2024-08-12T08:46:45Z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27726D0F60424F55920DCDE656980B02_13</vt:lpwstr>
  </property>
</Properties>
</file>