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-1141730</wp:posOffset>
            </wp:positionH>
            <wp:positionV relativeFrom="paragraph">
              <wp:posOffset>-868045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-1224280</wp:posOffset>
                </wp:positionH>
                <wp:positionV relativeFrom="paragraph">
                  <wp:posOffset>1988820</wp:posOffset>
                </wp:positionV>
                <wp:extent cx="7679055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2022-2028全球石墨烯负极材料行业调研及趋势分析报告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4pt;margin-top:156.6pt;height:186pt;width:604.65pt;z-index:251660288;mso-width-relative:page;mso-height-relative:page;" filled="f" stroked="f" coordsize="21600,21600" o:gfxdata="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4BDJKdwAAAANAQAADwAAAAAAAAABACAAAAAiAAAA&#10;ZHJzL2Rvd25yZXYueG1sUEsBAhQAFAAAAAgAh07iQH1FHsY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2022-2028全球石墨烯负极材料行业调研及趋势分析报告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257290" cy="8185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290" cy="818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64.45pt;width:492.7pt;z-index:251661312;mso-width-relative:page;mso-height-relative:page;" filled="f" stroked="f" coordsize="21600,21600" o:gfxdata="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9UlDaNsAAAALAQAADwAAAAAAAAABACAAAAAiAAAAZHJz&#10;L2Rvd25yZXYueG1sUEsBAhQAFAAAAAgAh07iQJTVKFI6AgAAZg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/>
        </w:rPr>
      </w:pPr>
      <w:r>
        <w:rPr>
          <w:rFonts w:hint="eastAsia"/>
        </w:rPr>
        <w:t>据恒州诚思调研统计，2021年全球石墨烯负极材料市场规模约 亿元，2017-2021年年复合增长率CAGR约为%，预计未来将持续保持平稳增长的态势，到2028年市场规模将接近 亿元，未来六年CAGR为 %。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本文调研和分析全球石墨烯负极材料发展现状及未来趋势，核心内容如下：</w:t>
      </w:r>
    </w:p>
    <w:p>
      <w:pPr>
        <w:rPr>
          <w:rFonts w:hint="eastAsia"/>
        </w:rPr>
      </w:pPr>
      <w:r>
        <w:rPr>
          <w:rFonts w:hint="eastAsia"/>
        </w:rPr>
        <w:t>（1）全球市场总体规模，分别按销量和按收入进行了统计分析，历史数据2017-2021年，预测数据2022至2028年。</w:t>
      </w:r>
    </w:p>
    <w:p>
      <w:pPr>
        <w:rPr>
          <w:rFonts w:hint="eastAsia"/>
        </w:rPr>
      </w:pPr>
      <w:r>
        <w:rPr>
          <w:rFonts w:hint="eastAsia"/>
        </w:rPr>
        <w:t>（2）全球市场竞争格局，全球范围内主要生产商石墨烯负极材料销量、收入、价格及市场份额，数据2017-2021年。</w:t>
      </w:r>
    </w:p>
    <w:p>
      <w:pPr>
        <w:rPr>
          <w:rFonts w:hint="eastAsia"/>
        </w:rPr>
      </w:pPr>
      <w:r>
        <w:rPr>
          <w:rFonts w:hint="eastAsia"/>
        </w:rPr>
        <w:t>（3）中国市场竞争格局，中国主要生产商石墨烯负极材料销量、收入、价格及市场份额，数据2017-2021年，包括国际企业及中国本土企业。</w:t>
      </w:r>
    </w:p>
    <w:p>
      <w:pPr>
        <w:rPr>
          <w:rFonts w:hint="eastAsia"/>
        </w:rPr>
      </w:pPr>
      <w:r>
        <w:rPr>
          <w:rFonts w:hint="eastAsia"/>
        </w:rPr>
        <w:t>（4）全球其他重点国家及地区石墨烯负极材料市场竞争格局，如美国、欧洲、日本、韩国、东南亚和印度等核心参与者及其2021年份额。</w:t>
      </w:r>
    </w:p>
    <w:p>
      <w:pPr>
        <w:rPr>
          <w:rFonts w:hint="eastAsia"/>
        </w:rPr>
      </w:pPr>
      <w:r>
        <w:rPr>
          <w:rFonts w:hint="eastAsia"/>
        </w:rPr>
        <w:t>（5）按产品类型和应用拆分，分析全球与核心国家/地区细分市场规模。</w:t>
      </w:r>
    </w:p>
    <w:p>
      <w:pPr>
        <w:rPr>
          <w:rFonts w:hint="eastAsia"/>
        </w:rPr>
      </w:pPr>
      <w:r>
        <w:rPr>
          <w:rFonts w:hint="eastAsia"/>
        </w:rPr>
        <w:t>（6）全球石墨烯负极材料核心生产地区及其产量、产能。</w:t>
      </w:r>
    </w:p>
    <w:p>
      <w:pPr>
        <w:rPr>
          <w:rFonts w:hint="eastAsia"/>
        </w:rPr>
      </w:pPr>
      <w:r>
        <w:rPr>
          <w:rFonts w:hint="eastAsia"/>
        </w:rPr>
        <w:t>（7）石墨烯负极材料行业产业链上游、中游及下游分析。</w:t>
      </w:r>
    </w:p>
    <w:p>
      <w:pPr>
        <w:rPr>
          <w:rFonts w:hint="eastAsia"/>
        </w:rPr>
      </w:pPr>
      <w:r>
        <w:rPr>
          <w:rFonts w:hint="eastAsia"/>
        </w:rPr>
        <w:t>合成石墨负极材料在锂离子电池应用中因其卓越的循环性能、循环稳定性（寿命）、快速充电和制造而备受推崇，部分原因在于其较高的纯度。 始终如一的高质量粉末的关键是石墨化。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本文重点关注如下国家或地区：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按产品类型拆分，包含：</w:t>
      </w:r>
    </w:p>
    <w:p>
      <w:pPr>
        <w:rPr>
          <w:rFonts w:hint="eastAsia"/>
        </w:rPr>
      </w:pPr>
      <w:r>
        <w:rPr>
          <w:rFonts w:hint="eastAsia"/>
        </w:rPr>
        <w:t xml:space="preserve">    合成石墨</w:t>
      </w:r>
    </w:p>
    <w:p>
      <w:pPr>
        <w:rPr>
          <w:rFonts w:hint="eastAsia"/>
        </w:rPr>
      </w:pPr>
      <w:r>
        <w:rPr>
          <w:rFonts w:hint="eastAsia"/>
        </w:rPr>
        <w:t xml:space="preserve">    天然石墨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按应用拆分，包含：</w:t>
      </w:r>
    </w:p>
    <w:p>
      <w:pPr>
        <w:rPr>
          <w:rFonts w:hint="eastAsia"/>
        </w:rPr>
      </w:pPr>
      <w:r>
        <w:rPr>
          <w:rFonts w:hint="eastAsia"/>
        </w:rPr>
        <w:t xml:space="preserve">    电动汽车</w:t>
      </w:r>
    </w:p>
    <w:p>
      <w:pPr>
        <w:rPr>
          <w:rFonts w:hint="eastAsia"/>
        </w:rPr>
      </w:pPr>
      <w:r>
        <w:rPr>
          <w:rFonts w:hint="eastAsia"/>
        </w:rPr>
        <w:t xml:space="preserve">    储能系统</w:t>
      </w:r>
    </w:p>
    <w:p>
      <w:pPr>
        <w:rPr>
          <w:rFonts w:hint="eastAsia"/>
        </w:rPr>
      </w:pPr>
      <w:r>
        <w:rPr>
          <w:rFonts w:hint="eastAsia"/>
        </w:rPr>
        <w:t xml:space="preserve">    消费电子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全球范围内石墨烯负极材料主要厂商：</w:t>
      </w:r>
    </w:p>
    <w:p>
      <w:pPr>
        <w:rPr>
          <w:rFonts w:hint="eastAsia"/>
        </w:rPr>
      </w:pPr>
      <w:r>
        <w:rPr>
          <w:rFonts w:hint="eastAsia"/>
        </w:rPr>
        <w:t xml:space="preserve">    Amsted Graphite Materials</w:t>
      </w:r>
    </w:p>
    <w:p>
      <w:pPr>
        <w:rPr>
          <w:rFonts w:hint="eastAsia"/>
        </w:rPr>
      </w:pPr>
      <w:r>
        <w:rPr>
          <w:rFonts w:hint="eastAsia"/>
        </w:rPr>
        <w:t xml:space="preserve">    MTI Corporation</w:t>
      </w:r>
    </w:p>
    <w:p>
      <w:pPr>
        <w:rPr>
          <w:rFonts w:hint="eastAsia"/>
        </w:rPr>
      </w:pPr>
      <w:r>
        <w:rPr>
          <w:rFonts w:hint="eastAsia"/>
        </w:rPr>
        <w:t xml:space="preserve">    西格里集团</w:t>
      </w:r>
    </w:p>
    <w:p>
      <w:pPr>
        <w:rPr>
          <w:rFonts w:hint="eastAsia"/>
        </w:rPr>
      </w:pPr>
      <w:r>
        <w:rPr>
          <w:rFonts w:hint="eastAsia"/>
        </w:rPr>
        <w:t xml:space="preserve">    Targray</w:t>
      </w:r>
    </w:p>
    <w:p>
      <w:pPr>
        <w:rPr>
          <w:rFonts w:hint="eastAsia"/>
        </w:rPr>
      </w:pPr>
      <w:r>
        <w:rPr>
          <w:rFonts w:hint="eastAsia"/>
        </w:rPr>
        <w:t xml:space="preserve">    Himadri</w:t>
      </w:r>
    </w:p>
    <w:p>
      <w:pPr>
        <w:rPr>
          <w:rFonts w:hint="eastAsia"/>
        </w:rPr>
      </w:pPr>
      <w:r>
        <w:rPr>
          <w:rFonts w:hint="eastAsia"/>
        </w:rPr>
        <w:t xml:space="preserve">    Asbury Carbons</w:t>
      </w:r>
    </w:p>
    <w:p>
      <w:pPr>
        <w:rPr>
          <w:rFonts w:hint="eastAsia"/>
        </w:rPr>
      </w:pPr>
      <w:r>
        <w:rPr>
          <w:rFonts w:hint="eastAsia"/>
        </w:rPr>
        <w:t xml:space="preserve">    康菲</w:t>
      </w:r>
    </w:p>
    <w:p>
      <w:pPr>
        <w:rPr>
          <w:rFonts w:hint="eastAsia"/>
        </w:rPr>
      </w:pPr>
      <w:r>
        <w:rPr>
          <w:rFonts w:hint="eastAsia"/>
        </w:rPr>
        <w:t xml:space="preserve">    Grafitbergbau Kaisersberg</w:t>
      </w:r>
    </w:p>
    <w:p>
      <w:pPr>
        <w:rPr>
          <w:rFonts w:hint="eastAsia"/>
        </w:rPr>
      </w:pPr>
      <w:r>
        <w:rPr>
          <w:rFonts w:hint="eastAsia"/>
        </w:rPr>
        <w:t xml:space="preserve">    GrafTech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Nippon Graphite Industries</w:t>
      </w:r>
    </w:p>
    <w:p>
      <w:pPr>
        <w:rPr>
          <w:rFonts w:hint="eastAsia"/>
        </w:rPr>
      </w:pPr>
      <w:r>
        <w:rPr>
          <w:rFonts w:hint="eastAsia"/>
        </w:rPr>
        <w:t xml:space="preserve">    SEC Carbon</w:t>
      </w:r>
    </w:p>
    <w:p>
      <w:pPr>
        <w:rPr>
          <w:rFonts w:hint="eastAsia"/>
        </w:rPr>
      </w:pPr>
      <w:r>
        <w:rPr>
          <w:rFonts w:hint="eastAsia"/>
        </w:rPr>
        <w:t xml:space="preserve">    Superior Graphite</w:t>
      </w:r>
    </w:p>
    <w:p>
      <w:pPr>
        <w:rPr>
          <w:rFonts w:hint="eastAsia"/>
        </w:rPr>
      </w:pPr>
      <w:r>
        <w:rPr>
          <w:rFonts w:hint="eastAsia"/>
        </w:rPr>
        <w:t xml:space="preserve">    Timcal</w:t>
      </w:r>
    </w:p>
    <w:p>
      <w:pPr>
        <w:rPr>
          <w:rFonts w:hint="eastAsia"/>
        </w:rPr>
      </w:pPr>
      <w:r>
        <w:rPr>
          <w:rFonts w:hint="eastAsia"/>
        </w:rPr>
        <w:t xml:space="preserve">    Nacional de Grafite</w:t>
      </w:r>
    </w:p>
    <w:p>
      <w:pPr>
        <w:rPr>
          <w:rFonts w:hint="eastAsia"/>
        </w:rPr>
      </w:pPr>
      <w:r>
        <w:rPr>
          <w:rFonts w:hint="eastAsia"/>
        </w:rPr>
        <w:t xml:space="preserve">    奥宇石墨集团</w:t>
      </w:r>
    </w:p>
    <w:p>
      <w:pPr>
        <w:rPr>
          <w:rFonts w:hint="eastAsia"/>
        </w:rPr>
      </w:pPr>
      <w:r>
        <w:rPr>
          <w:rFonts w:hint="eastAsia"/>
        </w:rPr>
        <w:t xml:space="preserve">    Eagle Graphite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市场综述</w:t>
      </w:r>
    </w:p>
    <w:p>
      <w:pPr>
        <w:rPr>
          <w:rFonts w:hint="eastAsia"/>
        </w:rPr>
      </w:pPr>
      <w:r>
        <w:rPr>
          <w:rFonts w:hint="eastAsia"/>
        </w:rPr>
        <w:t xml:space="preserve">    1.1 石墨烯负极材料定义及分类</w:t>
      </w:r>
    </w:p>
    <w:p>
      <w:pPr>
        <w:rPr>
          <w:rFonts w:hint="eastAsia"/>
        </w:rPr>
      </w:pPr>
      <w:r>
        <w:rPr>
          <w:rFonts w:hint="eastAsia"/>
        </w:rPr>
        <w:t xml:space="preserve">    1.2 全球石墨烯负极材料行业市场规模及预测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1.2.1 按收入计，2017-2028年全球石墨烯负极材料行业市场规模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1.2.2 按销量计，2017-2028年全球石墨烯负极材料行业市场规模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1.2.3 2017-2028年全球石墨烯负极材料价格趋势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1.3 中国石墨烯负极材料行业市场规模及预测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1.3.1 按收入计，2017-2028年中国石墨烯负极材料行业市场规模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1.3.2 按销量计，2017-2028年中国石墨烯负极材料行业市场规模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1.3.3 2017-2028年中国石墨烯负极材料价格趋势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1.4 中国在全球市场的地位分析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按收入计，2017-2028年中国在全球石墨烯负极材料市场的占比</w:t>
      </w:r>
    </w:p>
    <w:p>
      <w:pPr>
        <w:rPr>
          <w:rFonts w:hint="eastAsia"/>
        </w:rPr>
      </w:pPr>
      <w:r>
        <w:rPr>
          <w:rFonts w:hint="eastAsia"/>
        </w:rPr>
        <w:t xml:space="preserve">        1.4.2 按销量计，2017-2028年中国在全球石墨烯负极材料市场的占比</w:t>
      </w:r>
    </w:p>
    <w:p>
      <w:pPr>
        <w:rPr>
          <w:rFonts w:hint="eastAsia"/>
        </w:rPr>
      </w:pPr>
      <w:r>
        <w:rPr>
          <w:rFonts w:hint="eastAsia"/>
        </w:rPr>
        <w:t xml:space="preserve">        1.4.3 2017-2028年中国与全球石墨烯负极材料市场规模增速对比</w:t>
      </w:r>
    </w:p>
    <w:p>
      <w:pPr>
        <w:rPr>
          <w:rFonts w:hint="eastAsia"/>
        </w:rPr>
      </w:pPr>
      <w:r>
        <w:rPr>
          <w:rFonts w:hint="eastAsia"/>
        </w:rPr>
        <w:t xml:space="preserve">    1.5 行业发展机遇、挑战、趋势及政策分析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石墨烯负极材料行业驱动因素及发展机遇分析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1.5.2 石墨烯负极材料行业阻碍因素及面临的挑战分析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1.5.3 石墨烯负极材料行业发展趋势分析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1.5.4 中国市场相关行业政策分析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 全球石墨烯负极材料行业竞争格局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2.1 按石墨烯负极材料收入计，2017-2022年全球主要厂商市场份额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2.2 按石墨烯负极材料销量计，2017-2022年全球主要厂商市场份额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2.3 石墨烯负极材料价格对比，2017-2022年全球主要厂商价格</w:t>
      </w:r>
    </w:p>
    <w:p>
      <w:pPr>
        <w:rPr>
          <w:rFonts w:hint="eastAsia"/>
        </w:rPr>
      </w:pPr>
      <w:r>
        <w:rPr>
          <w:rFonts w:hint="eastAsia"/>
        </w:rPr>
        <w:t xml:space="preserve">    2.4 全球第一梯队、第二梯队和第三梯队，三类石墨烯负极材料市场参与者分析</w:t>
      </w:r>
    </w:p>
    <w:p>
      <w:pPr>
        <w:rPr>
          <w:rFonts w:hint="eastAsia"/>
        </w:rPr>
      </w:pPr>
      <w:r>
        <w:rPr>
          <w:rFonts w:hint="eastAsia"/>
        </w:rPr>
        <w:t xml:space="preserve">    2.5 全球石墨烯负极材料行业集中度分析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2.6 全球石墨烯负极材料行业企业并购情况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2.7 全球石墨烯负极材料行业主要厂商产品列举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3 中国市场石墨烯负极材料行业竞争格局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3.1 按石墨烯负极材料收入计，2017-2022年中国市场主要厂商市场份额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按石墨烯负极材料销量计，2017-2022年中国市场主要厂商市场份额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中国市场石墨烯负极材料参与者份额：第一梯队、第二梯队、第三梯队</w:t>
      </w:r>
    </w:p>
    <w:p>
      <w:pPr>
        <w:rPr>
          <w:rFonts w:hint="eastAsia"/>
        </w:rPr>
      </w:pPr>
      <w:r>
        <w:rPr>
          <w:rFonts w:hint="eastAsia"/>
        </w:rPr>
        <w:t xml:space="preserve">    3.4 2017-2022年中国市场石墨烯负极材料进口与国产厂商份额对比</w:t>
      </w:r>
    </w:p>
    <w:p>
      <w:pPr>
        <w:rPr>
          <w:rFonts w:hint="eastAsia"/>
        </w:rPr>
      </w:pPr>
      <w:r>
        <w:rPr>
          <w:rFonts w:hint="eastAsia"/>
        </w:rPr>
        <w:t xml:space="preserve">    3.5 2021年中国本土厂商石墨烯负极材料内销与外销占比</w:t>
      </w:r>
    </w:p>
    <w:p>
      <w:pPr>
        <w:rPr>
          <w:rFonts w:hint="eastAsia"/>
        </w:rPr>
      </w:pPr>
      <w:r>
        <w:rPr>
          <w:rFonts w:hint="eastAsia"/>
        </w:rPr>
        <w:t xml:space="preserve">    3.6 中国市场进出口分析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2017-2028年中国市场石墨烯负极材料产量、销量、进口和出口量</w:t>
      </w:r>
    </w:p>
    <w:p>
      <w:pPr>
        <w:rPr>
          <w:rFonts w:hint="eastAsia"/>
        </w:rPr>
      </w:pPr>
      <w:r>
        <w:rPr>
          <w:rFonts w:hint="eastAsia"/>
        </w:rPr>
        <w:t xml:space="preserve">        3.6.2 中国市场石墨烯负极材料进出口贸易趋势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    3.6.3 中国市场石墨烯负极材料主要进口来源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    3.6.4 中国市场石墨烯负极材料中国市场主要出口目的地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4 全球主要地区产能及产量分析</w:t>
      </w:r>
    </w:p>
    <w:p>
      <w:pPr>
        <w:rPr>
          <w:rFonts w:hint="eastAsia"/>
        </w:rPr>
      </w:pPr>
      <w:r>
        <w:rPr>
          <w:rFonts w:hint="eastAsia"/>
        </w:rPr>
        <w:t xml:space="preserve">    4.1 2017-2028年全球石墨烯负极材料行业总产能、产量及产能利用率</w:t>
      </w:r>
    </w:p>
    <w:p>
      <w:pPr>
        <w:rPr>
          <w:rFonts w:hint="eastAsia"/>
        </w:rPr>
      </w:pPr>
      <w:r>
        <w:rPr>
          <w:rFonts w:hint="eastAsia"/>
        </w:rPr>
        <w:t xml:space="preserve">    4.2 全球石墨烯负极材料行业主要生产商总部及产地分布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全球主要生产商近几年石墨烯负极材料产能变化及未来规划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全球主要地区石墨烯负极材料产能分析</w:t>
      </w:r>
    </w:p>
    <w:p>
      <w:pPr>
        <w:rPr>
          <w:rFonts w:hint="eastAsia"/>
        </w:rPr>
      </w:pPr>
      <w:r>
        <w:rPr>
          <w:rFonts w:hint="eastAsia"/>
        </w:rPr>
        <w:t xml:space="preserve">    4.5 全球石墨烯负极材料产地分布及主要生产地区产量分析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全球主要地区石墨烯负极材料产量及未来增速预测，2017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4.5.2 2017-2028年全球主要生产地区及石墨烯负极材料产量</w:t>
      </w:r>
    </w:p>
    <w:p>
      <w:pPr>
        <w:rPr>
          <w:rFonts w:hint="eastAsia"/>
        </w:rPr>
      </w:pPr>
      <w:r>
        <w:rPr>
          <w:rFonts w:hint="eastAsia"/>
        </w:rPr>
        <w:t xml:space="preserve">        4.5.3 2017-2028年全球主要生产地区及石墨烯负极材料产量份额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5 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5.1 石墨烯负极材料行业产业链</w:t>
      </w:r>
    </w:p>
    <w:p>
      <w:pPr>
        <w:rPr>
          <w:rFonts w:hint="eastAsia"/>
        </w:rPr>
      </w:pPr>
      <w:r>
        <w:rPr>
          <w:rFonts w:hint="eastAsia"/>
        </w:rPr>
        <w:t xml:space="preserve">    5.2 上游分析</w:t>
      </w:r>
    </w:p>
    <w:p>
      <w:pPr>
        <w:rPr>
          <w:rFonts w:hint="eastAsia"/>
        </w:rPr>
      </w:pPr>
      <w:r>
        <w:rPr>
          <w:rFonts w:hint="eastAsia"/>
        </w:rPr>
        <w:t xml:space="preserve">        5.2.1 石墨烯负极材料核心原料</w:t>
      </w:r>
    </w:p>
    <w:p>
      <w:pPr>
        <w:rPr>
          <w:rFonts w:hint="eastAsia"/>
        </w:rPr>
      </w:pPr>
      <w:r>
        <w:rPr>
          <w:rFonts w:hint="eastAsia"/>
        </w:rPr>
        <w:t xml:space="preserve">        5.2.2 石墨烯负极材料原料供应商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5.3 中游分析</w:t>
      </w:r>
    </w:p>
    <w:p>
      <w:pPr>
        <w:rPr>
          <w:rFonts w:hint="eastAsia"/>
        </w:rPr>
      </w:pPr>
      <w:r>
        <w:rPr>
          <w:rFonts w:hint="eastAsia"/>
        </w:rPr>
        <w:t xml:space="preserve">    5.4 下游分析</w:t>
      </w:r>
    </w:p>
    <w:p>
      <w:pPr>
        <w:rPr>
          <w:rFonts w:hint="eastAsia"/>
        </w:rPr>
      </w:pPr>
      <w:r>
        <w:rPr>
          <w:rFonts w:hint="eastAsia"/>
        </w:rPr>
        <w:t xml:space="preserve">    5.5 石墨烯负极材料生产方式</w:t>
      </w:r>
    </w:p>
    <w:p>
      <w:pPr>
        <w:rPr>
          <w:rFonts w:hint="eastAsia"/>
        </w:rPr>
      </w:pPr>
      <w:r>
        <w:rPr>
          <w:rFonts w:hint="eastAsia"/>
        </w:rPr>
        <w:t xml:space="preserve">    5.6 石墨烯负极材料行业采购模式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5.7 石墨烯负极材料行业销售模式及销售渠道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5.7.1 石墨烯负极材料销售渠道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5.7.2 石墨烯负极材料代表性经销商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 按产品类型拆分，市场规模分析</w:t>
      </w:r>
    </w:p>
    <w:p>
      <w:pPr>
        <w:rPr>
          <w:rFonts w:hint="eastAsia"/>
        </w:rPr>
      </w:pPr>
      <w:r>
        <w:rPr>
          <w:rFonts w:hint="eastAsia"/>
        </w:rPr>
        <w:t xml:space="preserve">    6.1 石墨烯负极材料行业产品分类</w:t>
      </w:r>
    </w:p>
    <w:p>
      <w:pPr>
        <w:rPr>
          <w:rFonts w:hint="eastAsia"/>
        </w:rPr>
      </w:pPr>
      <w:r>
        <w:rPr>
          <w:rFonts w:hint="eastAsia"/>
        </w:rPr>
        <w:t xml:space="preserve">        6.1.1 合成石墨</w:t>
      </w:r>
    </w:p>
    <w:p>
      <w:pPr>
        <w:rPr>
          <w:rFonts w:hint="eastAsia"/>
        </w:rPr>
      </w:pPr>
      <w:r>
        <w:rPr>
          <w:rFonts w:hint="eastAsia"/>
        </w:rPr>
        <w:t xml:space="preserve">        6.1.2 天然石墨</w:t>
      </w:r>
    </w:p>
    <w:p>
      <w:pPr>
        <w:rPr>
          <w:rFonts w:hint="eastAsia"/>
        </w:rPr>
      </w:pPr>
      <w:r>
        <w:rPr>
          <w:rFonts w:hint="eastAsia"/>
        </w:rPr>
        <w:t xml:space="preserve">    6.2 按产品类型拆分，全球石墨烯负极材料细分市场规模增速预测，2017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6.3 按产品类型拆分，2017-2028年全球石墨烯负极材料细分市场规模（按收入）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6.4 按产品类型拆分，2017-2028年全球石墨烯负极材料细分市场规模（按销量）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6.5 按产品类型拆分，2017-2028年全球石墨烯负极材料细分市场价格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7 全球石墨烯负极材料市场下游行业分布</w:t>
      </w:r>
    </w:p>
    <w:p>
      <w:pPr>
        <w:rPr>
          <w:rFonts w:hint="eastAsia"/>
        </w:rPr>
      </w:pPr>
      <w:r>
        <w:rPr>
          <w:rFonts w:hint="eastAsia"/>
        </w:rPr>
        <w:t xml:space="preserve">    7.1 石墨烯负极材料行业下游分布</w:t>
      </w:r>
    </w:p>
    <w:p>
      <w:pPr>
        <w:rPr>
          <w:rFonts w:hint="eastAsia"/>
        </w:rPr>
      </w:pPr>
      <w:r>
        <w:rPr>
          <w:rFonts w:hint="eastAsia"/>
        </w:rPr>
        <w:t xml:space="preserve">        7.1.1 电动汽车</w:t>
      </w:r>
    </w:p>
    <w:p>
      <w:pPr>
        <w:rPr>
          <w:rFonts w:hint="eastAsia"/>
        </w:rPr>
      </w:pPr>
      <w:r>
        <w:rPr>
          <w:rFonts w:hint="eastAsia"/>
        </w:rPr>
        <w:t xml:space="preserve">        7.1.2 储能系统</w:t>
      </w:r>
    </w:p>
    <w:p>
      <w:pPr>
        <w:rPr>
          <w:rFonts w:hint="eastAsia"/>
        </w:rPr>
      </w:pPr>
      <w:r>
        <w:rPr>
          <w:rFonts w:hint="eastAsia"/>
        </w:rPr>
        <w:t xml:space="preserve">        7.1.3 消费电子</w:t>
      </w:r>
    </w:p>
    <w:p>
      <w:pPr>
        <w:rPr>
          <w:rFonts w:hint="eastAsia"/>
        </w:rPr>
      </w:pPr>
      <w:r>
        <w:rPr>
          <w:rFonts w:hint="eastAsia"/>
        </w:rPr>
        <w:t xml:space="preserve">    7.2 全球石墨烯负极材料主要下游市场规模增速预测，2017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7.3 按应用拆分，2017-2028年全球石墨烯负极材料细分市场规模（按收入）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7.4 按应用拆分，2017-2028年全球石墨烯负极材料细分市场规模（按销量）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7.5 按应用拆分，2017-2028年全球石墨烯负极材料细分市场价格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8 全球主要地区市场规模对比分析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全球主要地区石墨烯负极材料市场规模增速预测，2017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8.2 2017-2028年全球主要地区石墨烯负极材料市场规模（按收入）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8.3 2017-2028年全球主要地区石墨烯负极材料市场规模（按销量）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8.4 北美</w:t>
      </w:r>
    </w:p>
    <w:p>
      <w:pPr>
        <w:rPr>
          <w:rFonts w:hint="eastAsia"/>
        </w:rPr>
      </w:pPr>
      <w:r>
        <w:rPr>
          <w:rFonts w:hint="eastAsia"/>
        </w:rPr>
        <w:t xml:space="preserve">        8.4.1 2017-2028年北美石墨烯负极材料市场规模预测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8.4.2 2021年北美石墨烯负极材料市场规模，按国家细分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8.5 欧洲</w:t>
      </w:r>
    </w:p>
    <w:p>
      <w:pPr>
        <w:rPr>
          <w:rFonts w:hint="eastAsia"/>
        </w:rPr>
      </w:pPr>
      <w:r>
        <w:rPr>
          <w:rFonts w:hint="eastAsia"/>
        </w:rPr>
        <w:t xml:space="preserve">        8.5.1 2017-2028年欧洲石墨烯负极材料市场规模预测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8.5.2 2021年欧洲石墨烯负极材料市场规模，按国家细分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8.6 亚太</w:t>
      </w:r>
    </w:p>
    <w:p>
      <w:pPr>
        <w:rPr>
          <w:rFonts w:hint="eastAsia"/>
        </w:rPr>
      </w:pPr>
      <w:r>
        <w:rPr>
          <w:rFonts w:hint="eastAsia"/>
        </w:rPr>
        <w:t xml:space="preserve">        8.6.1 2017-2028年亚太石墨烯负极材料市场规模预测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8.6.2 2021年亚太石墨烯负极材料市场规模，按国家/地区细分</w:t>
      </w:r>
    </w:p>
    <w:p>
      <w:pPr>
        <w:rPr>
          <w:rFonts w:hint="eastAsia"/>
        </w:rPr>
      </w:pPr>
      <w:r>
        <w:rPr>
          <w:rFonts w:hint="eastAsia"/>
        </w:rPr>
        <w:t xml:space="preserve">    8.7 南美</w:t>
      </w:r>
    </w:p>
    <w:p>
      <w:pPr>
        <w:rPr>
          <w:rFonts w:hint="eastAsia"/>
        </w:rPr>
      </w:pPr>
      <w:r>
        <w:rPr>
          <w:rFonts w:hint="eastAsia"/>
        </w:rPr>
        <w:t xml:space="preserve">        8.7.1 2017-2028年南美石墨烯负极材料市场规模预测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8.7.2 2021年南美石墨烯负极材料市场规模，按国家细分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8.8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8.8.1 2017-2028年中东及非洲石墨烯负极材料市场规模预测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8.8.2 2021年中东及非洲石墨烯负极材料市场规模，按国家细分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9 全球主要国家/地区分析</w:t>
      </w:r>
    </w:p>
    <w:p>
      <w:pPr>
        <w:rPr>
          <w:rFonts w:hint="eastAsia"/>
        </w:rPr>
      </w:pPr>
      <w:r>
        <w:rPr>
          <w:rFonts w:hint="eastAsia"/>
        </w:rPr>
        <w:t xml:space="preserve">    9.1 全球主要国家/地区石墨烯负极材料市场规模增速预测，2017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9.2 2017-2028年全球主要国家/地区石墨烯负极材料市场规模（按收入）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9.3 2017-2028年全球主要国家/地区石墨烯负极材料市场规模（按销量）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9.4 美国</w:t>
      </w:r>
    </w:p>
    <w:p>
      <w:pPr>
        <w:rPr>
          <w:rFonts w:hint="eastAsia"/>
        </w:rPr>
      </w:pPr>
      <w:r>
        <w:rPr>
          <w:rFonts w:hint="eastAsia"/>
        </w:rPr>
        <w:t xml:space="preserve">        9.4.1 2017-2028年美国石墨烯负极材料市场规模（按销量）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9.4.2 美国市场石墨烯负极材料主要厂商及2021年份额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9.4.3 美国市场不同产品类型 石墨烯负极材料份额（按销量），2021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9.4.4 美国市场不同应用石墨烯负极材料份额（按销量），2021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9.5 欧洲</w:t>
      </w:r>
    </w:p>
    <w:p>
      <w:pPr>
        <w:rPr>
          <w:rFonts w:hint="eastAsia"/>
        </w:rPr>
      </w:pPr>
      <w:r>
        <w:rPr>
          <w:rFonts w:hint="eastAsia"/>
        </w:rPr>
        <w:t xml:space="preserve">        9.5.1 2017-2028年欧洲石墨烯负极材料市场规模（按销量）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9.5.2 欧洲市场石墨烯负极材料主要厂商及2021年份额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9.5.3 欧洲市场不同产品类型 石墨烯负极材料份额（按销量），2021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9.5.4 欧洲市场不同应用石墨烯负极材料份额（按销量），2021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9.6 中国</w:t>
      </w:r>
    </w:p>
    <w:p>
      <w:pPr>
        <w:rPr>
          <w:rFonts w:hint="eastAsia"/>
        </w:rPr>
      </w:pPr>
      <w:r>
        <w:rPr>
          <w:rFonts w:hint="eastAsia"/>
        </w:rPr>
        <w:t xml:space="preserve">        9.6.1 2017-2028年中国石墨烯负极材料市场规模（按销量）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9.6.2 中国市场石墨烯负极材料主要厂商及2021年份额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9.6.3 中国市场不同产品类型 石墨烯负极材料份额（按销量），2021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9.6.4 中国市场不同应用石墨烯负极材料份额（按销量），2021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9.7 日本</w:t>
      </w:r>
    </w:p>
    <w:p>
      <w:pPr>
        <w:rPr>
          <w:rFonts w:hint="eastAsia"/>
        </w:rPr>
      </w:pPr>
      <w:r>
        <w:rPr>
          <w:rFonts w:hint="eastAsia"/>
        </w:rPr>
        <w:t xml:space="preserve">        9.7.1 2017-2028年日本石墨烯负极材料市场规模（按销量）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9.7.2 日本市场石墨烯负极材料主要厂商及2021年份额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9.7.3 日本市场不同产品类型 石墨烯负极材料份额（按销量），2021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9.7.4 日本市场不同应用石墨烯负极材料份额（按销量），2021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9.8 韩国</w:t>
      </w:r>
    </w:p>
    <w:p>
      <w:pPr>
        <w:rPr>
          <w:rFonts w:hint="eastAsia"/>
        </w:rPr>
      </w:pPr>
      <w:r>
        <w:rPr>
          <w:rFonts w:hint="eastAsia"/>
        </w:rPr>
        <w:t xml:space="preserve">        9.8.1 2017-2028年韩国石墨烯负极材料市场规模（按销量）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9.8.2 韩国市场石墨烯负极材料主要厂商及2021年份额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9.8.3 韩国市场不同产品类型 石墨烯负极材料份额（按销量），2021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9.8.4 韩国市场不同应用石墨烯负极材料份额（按销量），2021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9.9 东南亚</w:t>
      </w:r>
    </w:p>
    <w:p>
      <w:pPr>
        <w:rPr>
          <w:rFonts w:hint="eastAsia"/>
        </w:rPr>
      </w:pPr>
      <w:r>
        <w:rPr>
          <w:rFonts w:hint="eastAsia"/>
        </w:rPr>
        <w:t xml:space="preserve">        9.9.1 2017-2028年东南亚石墨烯负极材料市场规模（按销量）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9.9.2 东南亚市场石墨烯负极材料主要厂商及2021年份额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9.9.3 东南亚市场不同产品类型 石墨烯负极材料份额（按销量），2021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9.9.4 东南亚市场不同应用石墨烯负极材料份额（按销量），2021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9.10 印度</w:t>
      </w:r>
    </w:p>
    <w:p>
      <w:pPr>
        <w:rPr>
          <w:rFonts w:hint="eastAsia"/>
        </w:rPr>
      </w:pPr>
      <w:r>
        <w:rPr>
          <w:rFonts w:hint="eastAsia"/>
        </w:rPr>
        <w:t xml:space="preserve">        9.10.1 2017-2028年印度石墨烯负极材料市场规模（按销量）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9.10.2 印度市场石墨烯负极材料主要厂商及2021年份额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9.10.3 印度市场不同产品类型 石墨烯负极材料份额（按销量），2021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9.10.4 印度市场不同应用石墨烯负极材料份额（按销量），2021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9.11.1 2017-2028年中东及非洲石墨烯负极材料市场规模（按销量）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9.11.2 中东及非洲市场石墨烯负极材料主要厂商及2021年份额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9.11.3 中东及非洲市场不同产品类型 石墨烯负极材料份额（按销量），2021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9.11.4 中东及非洲市场不同应用石墨烯负极材料份额（按销量），2021 VS 2028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10 主要石墨烯负极材料厂商简介</w:t>
      </w:r>
    </w:p>
    <w:p>
      <w:pPr>
        <w:rPr>
          <w:rFonts w:hint="eastAsia"/>
        </w:rPr>
      </w:pPr>
      <w:r>
        <w:rPr>
          <w:rFonts w:hint="eastAsia"/>
        </w:rPr>
        <w:t xml:space="preserve">    10.1 Amsted Graphite Materials</w:t>
      </w:r>
    </w:p>
    <w:p>
      <w:pPr>
        <w:rPr>
          <w:rFonts w:hint="eastAsia"/>
        </w:rPr>
      </w:pPr>
      <w:r>
        <w:rPr>
          <w:rFonts w:hint="eastAsia"/>
        </w:rPr>
        <w:t xml:space="preserve">        10.1.1 Amsted Graphite Materials基本信息、石墨烯负极材料生产基地、销售区域、竞争对手及市场地位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10.1.2 Amsted Graphite Materials石墨烯负极材料产品型号、规格、参数及市场应用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10.1.3 Amsted Graphite Materials石墨烯负极材料销量、收入、价格及毛利率（2017-2022）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10.1.4 Amsted Graphite Materials公司简介及主要业务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10.1.5 Amsted Graphite Materials企业最新动态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10.2 MTI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10.2.1 MTI Corporation基本信息、石墨烯负极材料生产基地、销售区域、竞争对手及市场地位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10.2.2 MTI Corporation石墨烯负极材料产品型号、规格、参数及市场应用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10.2.3 MTI Corporation石墨烯负极材料销量、收入、价格及毛利率（2017-2022）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10.2.4 MTI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10.2.5 MTI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10.3 西格里集团</w:t>
      </w:r>
    </w:p>
    <w:p>
      <w:pPr>
        <w:rPr>
          <w:rFonts w:hint="eastAsia"/>
        </w:rPr>
      </w:pPr>
      <w:r>
        <w:rPr>
          <w:rFonts w:hint="eastAsia"/>
        </w:rPr>
        <w:t xml:space="preserve">        10.3.1 西格里集团基本信息、石墨烯负极材料生产基地、销售区域、竞争对手及市场地位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10.3.2 西格里集团石墨烯负极材料产品型号、规格、参数及市场应用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10.3.3 西格里集团石墨烯负极材料销量、收入、价格及毛利率（2017-2022）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西格里集团公司简介及主要业务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10.3.5 西格里集团企业最新动态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10.4 Targray</w:t>
      </w:r>
    </w:p>
    <w:p>
      <w:pPr>
        <w:rPr>
          <w:rFonts w:hint="eastAsia"/>
        </w:rPr>
      </w:pPr>
      <w:r>
        <w:rPr>
          <w:rFonts w:hint="eastAsia"/>
        </w:rPr>
        <w:t xml:space="preserve">        10.4.1 Targray基本信息、石墨烯负极材料生产基地、销售区域、竞争对手及市场地位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10.4.2 Targray石墨烯负极材料产品型号、规格、参数及市场应用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10.4.3 Targray石墨烯负极材料销量、收入、价格及毛利率（2017-2022）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10.4.4 Targray公司简介及主要业务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10.4.5 Targray企业最新动态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10.5 Himadri</w:t>
      </w:r>
    </w:p>
    <w:p>
      <w:pPr>
        <w:rPr>
          <w:rFonts w:hint="eastAsia"/>
        </w:rPr>
      </w:pPr>
      <w:r>
        <w:rPr>
          <w:rFonts w:hint="eastAsia"/>
        </w:rPr>
        <w:t xml:space="preserve">        10.5.1 Himadri基本信息、石墨烯负极材料生产基地、销售区域、竞争对手及市场地位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10.5.2 Himadri石墨烯负极材料产品型号、规格、参数及市场应用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10.5.3 Himadri石墨烯负极材料销量、收入、价格及毛利率（2017-2022）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10.5.4 Himadri公司简介及主要业务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10.5.5 Himadri企业最新动态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10.6 Asbury Carbons</w:t>
      </w:r>
    </w:p>
    <w:p>
      <w:pPr>
        <w:rPr>
          <w:rFonts w:hint="eastAsia"/>
        </w:rPr>
      </w:pPr>
      <w:r>
        <w:rPr>
          <w:rFonts w:hint="eastAsia"/>
        </w:rPr>
        <w:t xml:space="preserve">        10.6.1 Asbury Carbons基本信息、石墨烯负极材料生产基地、销售区域、竞争对手及市场地位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10.6.2 Asbury Carbons石墨烯负极材料产品型号、规格、参数及市场应用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10.6.3 Asbury Carbons石墨烯负极材料销量、收入、价格及毛利率（2017-2022）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10.6.4 Asbury Carbons公司简介及主要业务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10.6.5 Asbury Carbons企业最新动态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10.7 康菲</w:t>
      </w:r>
    </w:p>
    <w:p>
      <w:pPr>
        <w:rPr>
          <w:rFonts w:hint="eastAsia"/>
        </w:rPr>
      </w:pPr>
      <w:r>
        <w:rPr>
          <w:rFonts w:hint="eastAsia"/>
        </w:rPr>
        <w:t xml:space="preserve">        10.7.1 康菲基本信息、石墨烯负极材料生产基地、销售区域、竞争对手及市场地位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10.7.2 康菲石墨烯负极材料产品型号、规格、参数及市场应用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10.7.3 康菲石墨烯负极材料销量、收入、价格及毛利率（2017-2022）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10.7.4 康菲公司简介及主要业务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10.7.5 康菲企业最新动态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10.8 Grafitbergbau Kaisersberg</w:t>
      </w:r>
    </w:p>
    <w:p>
      <w:pPr>
        <w:rPr>
          <w:rFonts w:hint="eastAsia"/>
        </w:rPr>
      </w:pPr>
      <w:r>
        <w:rPr>
          <w:rFonts w:hint="eastAsia"/>
        </w:rPr>
        <w:t xml:space="preserve">        10.8.1 Grafitbergbau Kaisersberg基本信息、石墨烯负极材料生产基地、销售区域、竞争对手及市场地位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10.8.2 Grafitbergbau Kaisersberg石墨烯负极材料产品型号、规格、参数及市场应用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10.8.3 Grafitbergbau Kaisersberg石墨烯负极材料销量、收入、价格及毛利率（2017-2022）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10.8.4 Grafitbergbau Kaisersberg公司简介及主要业务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10.8.5 Grafitbergbau Kaisersberg企业最新动态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10.9 GrafTech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    10.9.1 GrafTech International基本信息、石墨烯负极材料生产基地、销售区域、竞争对手及市场地位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10.9.2 GrafTech International石墨烯负极材料产品型号、规格、参数及市场应用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10.9.3 GrafTech International石墨烯负极材料销量、收入、价格及毛利率（2017-2022）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10.9.4 GrafTech International公司简介及主要业务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10.9.5 GrafTech International企业最新动态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10.10 Nippon Graphite Industries</w:t>
      </w:r>
    </w:p>
    <w:p>
      <w:pPr>
        <w:rPr>
          <w:rFonts w:hint="eastAsia"/>
        </w:rPr>
      </w:pPr>
      <w:r>
        <w:rPr>
          <w:rFonts w:hint="eastAsia"/>
        </w:rPr>
        <w:t xml:space="preserve">        10.10.1 Nippon Graphite Industries基本信息、石墨烯负极材料生产基地、销售区域、竞争对手及市场地位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10.10.2 Nippon Graphite Industries石墨烯负极材料产品型号、规格、参数及市场应用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10.10.3 Nippon Graphite Industries石墨烯负极材料销量、收入、价格及毛利率（2017-2022）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10.10.4 Nippon Graphite Industries公司简介及主要业务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10.10.5 Nippon Graphite Industries企业最新动态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10.11 SEC Carbon</w:t>
      </w:r>
    </w:p>
    <w:p>
      <w:pPr>
        <w:rPr>
          <w:rFonts w:hint="eastAsia"/>
        </w:rPr>
      </w:pPr>
      <w:r>
        <w:rPr>
          <w:rFonts w:hint="eastAsia"/>
        </w:rPr>
        <w:t xml:space="preserve">        10.11.1 SEC Carbon基本信息、石墨烯负极材料生产基地、销售区域、竞争对手及市场地位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10.11.2 SEC Carbon石墨烯负极材料产品型号、规格、参数及市场应用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10.11.3 SEC Carbon石墨烯负极材料销量、收入、价格及毛利率（2017-2022）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10.11.4 SEC Carbon公司简介及主要业务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10.11.5 SEC Carbon企业最新动态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10.12 Superior Graphite</w:t>
      </w:r>
    </w:p>
    <w:p>
      <w:pPr>
        <w:rPr>
          <w:rFonts w:hint="eastAsia"/>
        </w:rPr>
      </w:pPr>
      <w:r>
        <w:rPr>
          <w:rFonts w:hint="eastAsia"/>
        </w:rPr>
        <w:t xml:space="preserve">        10.12.1 Superior Graphite基本信息、石墨烯负极材料生产基地、销售区域、竞争对手及市场地位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10.12.2 Superior Graphite石墨烯负极材料产品型号、规格、参数及市场应用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10.12.3 Superior Graphite石墨烯负极材料销量、收入、价格及毛利率（2017-2022）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10.12.4 Superior Graphite公司简介及主要业务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10.12.5 Superior Graphite企业最新动态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10.13 Timcal</w:t>
      </w:r>
    </w:p>
    <w:p>
      <w:pPr>
        <w:rPr>
          <w:rFonts w:hint="eastAsia"/>
        </w:rPr>
      </w:pPr>
      <w:r>
        <w:rPr>
          <w:rFonts w:hint="eastAsia"/>
        </w:rPr>
        <w:t xml:space="preserve">        10.13.1 Timcal基本信息、石墨烯负极材料生产基地、销售区域、竞争对手及市场地位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10.13.2 Timcal石墨烯负极材料产品型号、规格、参数及市场应用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10.13.3 Timcal石墨烯负极材料销量、收入、价格及毛利率（2017-2022）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10.13.4 Timcal公司简介及主要业务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10.13.5 Timcal企业最新动态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10.14 Nacional de Grafite</w:t>
      </w:r>
    </w:p>
    <w:p>
      <w:pPr>
        <w:rPr>
          <w:rFonts w:hint="eastAsia"/>
        </w:rPr>
      </w:pPr>
      <w:r>
        <w:rPr>
          <w:rFonts w:hint="eastAsia"/>
        </w:rPr>
        <w:t xml:space="preserve">        10.14.1 Nacional de Grafite基本信息、石墨烯负极材料生产基地、销售区域、竞争对手及市场地位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10.14.2 Nacional de Grafite石墨烯负极材料产品型号、规格、参数及市场应用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10.14.3 Nacional de Grafite石墨烯负极材料销量、收入、价格及毛利率（2017-2022）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10.14.4 Nacional de Grafite公司简介及主要业务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10.14.5 Nacional de Grafite企业最新动态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10.15 奥宇石墨集团</w:t>
      </w:r>
    </w:p>
    <w:p>
      <w:pPr>
        <w:rPr>
          <w:rFonts w:hint="eastAsia"/>
        </w:rPr>
      </w:pPr>
      <w:r>
        <w:rPr>
          <w:rFonts w:hint="eastAsia"/>
        </w:rPr>
        <w:t xml:space="preserve">        10.15.1 奥宇石墨集团基本信息、石墨烯负极材料生产基地、销售区域、竞争对手及市场地位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10.15.2 奥宇石墨集团石墨烯负极材料产品型号、规格、参数及市场应用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10.15.3 奥宇石墨集团石墨烯负极材料销量、收入、价格及毛利率（2017-2022）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10.15.4 奥宇石墨集团公司简介及主要业务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10.15.5 奥宇石墨集团企业最新动态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10.16 Eagle Graphite</w:t>
      </w:r>
    </w:p>
    <w:p>
      <w:pPr>
        <w:rPr>
          <w:rFonts w:hint="eastAsia"/>
        </w:rPr>
      </w:pPr>
      <w:r>
        <w:rPr>
          <w:rFonts w:hint="eastAsia"/>
        </w:rPr>
        <w:t xml:space="preserve">        10.16.1 Eagle Graphite基本信息、石墨烯负极材料生产基地、销售区域、竞争对手及市场地位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10.16.2 Eagle Graphite石墨烯负极材料产品型号、规格、参数及市场应用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10.16.3 Eagle Graphite石墨烯负极材料销量、收入、价格及毛利率（2017-2022）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10.16.4 Eagle Graphite公司简介及主要业务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10.16.5 Eagle Graphite企业最新动态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11 研究成果及结论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12 附录</w:t>
      </w:r>
    </w:p>
    <w:p>
      <w:pPr>
        <w:rPr>
          <w:rFonts w:hint="eastAsia"/>
        </w:rPr>
      </w:pPr>
      <w:r>
        <w:rPr>
          <w:rFonts w:hint="eastAsia"/>
        </w:rPr>
        <w:t xml:space="preserve">    12.1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12.2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12.2.1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12.2.2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12.3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12.4 免责声明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810953"/>
    <w:rsid w:val="00191ADC"/>
    <w:rsid w:val="004F072A"/>
    <w:rsid w:val="005F39BB"/>
    <w:rsid w:val="00814B9F"/>
    <w:rsid w:val="00BE39A7"/>
    <w:rsid w:val="00CB196C"/>
    <w:rsid w:val="01A010BD"/>
    <w:rsid w:val="01CF1029"/>
    <w:rsid w:val="02000D46"/>
    <w:rsid w:val="02233824"/>
    <w:rsid w:val="023C67AD"/>
    <w:rsid w:val="02B1518C"/>
    <w:rsid w:val="02C5294D"/>
    <w:rsid w:val="02C72C76"/>
    <w:rsid w:val="03117BB8"/>
    <w:rsid w:val="033061EE"/>
    <w:rsid w:val="0358001D"/>
    <w:rsid w:val="039C0B51"/>
    <w:rsid w:val="03EE78D5"/>
    <w:rsid w:val="03FF21FB"/>
    <w:rsid w:val="042E3107"/>
    <w:rsid w:val="04A1435A"/>
    <w:rsid w:val="04E548D9"/>
    <w:rsid w:val="05077A47"/>
    <w:rsid w:val="05545379"/>
    <w:rsid w:val="058C749F"/>
    <w:rsid w:val="059C18BA"/>
    <w:rsid w:val="05CE1427"/>
    <w:rsid w:val="05FC3176"/>
    <w:rsid w:val="061A1C9A"/>
    <w:rsid w:val="062C2B11"/>
    <w:rsid w:val="06476133"/>
    <w:rsid w:val="06B064AD"/>
    <w:rsid w:val="06C07480"/>
    <w:rsid w:val="07190BE4"/>
    <w:rsid w:val="073133BC"/>
    <w:rsid w:val="07893294"/>
    <w:rsid w:val="07C75902"/>
    <w:rsid w:val="07D50919"/>
    <w:rsid w:val="07DC396C"/>
    <w:rsid w:val="07FB4D0A"/>
    <w:rsid w:val="087475CF"/>
    <w:rsid w:val="088A1C5D"/>
    <w:rsid w:val="08963B61"/>
    <w:rsid w:val="08A40D88"/>
    <w:rsid w:val="08D02BA5"/>
    <w:rsid w:val="08F32B3C"/>
    <w:rsid w:val="08FF1C62"/>
    <w:rsid w:val="092D33A6"/>
    <w:rsid w:val="0939365C"/>
    <w:rsid w:val="09A4426F"/>
    <w:rsid w:val="0ABC216B"/>
    <w:rsid w:val="0B591C3C"/>
    <w:rsid w:val="0B59335D"/>
    <w:rsid w:val="0B7D1C15"/>
    <w:rsid w:val="0B8939B3"/>
    <w:rsid w:val="0C14740B"/>
    <w:rsid w:val="0C47064F"/>
    <w:rsid w:val="0C652F34"/>
    <w:rsid w:val="0CC00104"/>
    <w:rsid w:val="0D0441AD"/>
    <w:rsid w:val="0DA918DD"/>
    <w:rsid w:val="0DAC4718"/>
    <w:rsid w:val="0DBA2331"/>
    <w:rsid w:val="0DC75B75"/>
    <w:rsid w:val="0DF82E21"/>
    <w:rsid w:val="0E3219BC"/>
    <w:rsid w:val="0E460F22"/>
    <w:rsid w:val="0E7117D9"/>
    <w:rsid w:val="0E772D84"/>
    <w:rsid w:val="0EBF0E0C"/>
    <w:rsid w:val="0EC50F67"/>
    <w:rsid w:val="0EC67E17"/>
    <w:rsid w:val="0EEF152E"/>
    <w:rsid w:val="0F2E52E8"/>
    <w:rsid w:val="0F4D35E7"/>
    <w:rsid w:val="0FCC4CD7"/>
    <w:rsid w:val="0FF67EC9"/>
    <w:rsid w:val="1000511C"/>
    <w:rsid w:val="10200E39"/>
    <w:rsid w:val="10536B31"/>
    <w:rsid w:val="10E7526A"/>
    <w:rsid w:val="10E82B58"/>
    <w:rsid w:val="1123010F"/>
    <w:rsid w:val="11594BC4"/>
    <w:rsid w:val="11856E21"/>
    <w:rsid w:val="11A8095E"/>
    <w:rsid w:val="11B40DFE"/>
    <w:rsid w:val="12497B39"/>
    <w:rsid w:val="124A1110"/>
    <w:rsid w:val="12852609"/>
    <w:rsid w:val="12C16087"/>
    <w:rsid w:val="13044667"/>
    <w:rsid w:val="130D39B9"/>
    <w:rsid w:val="136F470A"/>
    <w:rsid w:val="13775F92"/>
    <w:rsid w:val="145B7611"/>
    <w:rsid w:val="154430DB"/>
    <w:rsid w:val="15604364"/>
    <w:rsid w:val="156C5ADE"/>
    <w:rsid w:val="15AF6EBC"/>
    <w:rsid w:val="15EE4F48"/>
    <w:rsid w:val="15FA1C09"/>
    <w:rsid w:val="160A2E87"/>
    <w:rsid w:val="161729A1"/>
    <w:rsid w:val="162D30AD"/>
    <w:rsid w:val="16531E7D"/>
    <w:rsid w:val="167D5E99"/>
    <w:rsid w:val="16EE555F"/>
    <w:rsid w:val="17822ED9"/>
    <w:rsid w:val="17872AB3"/>
    <w:rsid w:val="17930970"/>
    <w:rsid w:val="17EA62CF"/>
    <w:rsid w:val="17F75DE9"/>
    <w:rsid w:val="1801040B"/>
    <w:rsid w:val="18407BE4"/>
    <w:rsid w:val="186A2BAC"/>
    <w:rsid w:val="187B7213"/>
    <w:rsid w:val="190A0F64"/>
    <w:rsid w:val="190D49FD"/>
    <w:rsid w:val="198F6D99"/>
    <w:rsid w:val="19FA2A1C"/>
    <w:rsid w:val="1A054CE0"/>
    <w:rsid w:val="1A295843"/>
    <w:rsid w:val="1A57535F"/>
    <w:rsid w:val="1AC3611C"/>
    <w:rsid w:val="1AF95943"/>
    <w:rsid w:val="1B3E3C04"/>
    <w:rsid w:val="1B584E76"/>
    <w:rsid w:val="1BC62475"/>
    <w:rsid w:val="1BCB48C1"/>
    <w:rsid w:val="1C2753DD"/>
    <w:rsid w:val="1C3703BA"/>
    <w:rsid w:val="1C944533"/>
    <w:rsid w:val="1C9827B8"/>
    <w:rsid w:val="1C983E78"/>
    <w:rsid w:val="1D404498"/>
    <w:rsid w:val="1D511365"/>
    <w:rsid w:val="1D5A3ACC"/>
    <w:rsid w:val="1D655E78"/>
    <w:rsid w:val="1DB04050"/>
    <w:rsid w:val="1DB94ECB"/>
    <w:rsid w:val="1DD035E1"/>
    <w:rsid w:val="1E03702C"/>
    <w:rsid w:val="1EA73B4D"/>
    <w:rsid w:val="1ED57A29"/>
    <w:rsid w:val="1EEF1F39"/>
    <w:rsid w:val="1F280485"/>
    <w:rsid w:val="1F30178C"/>
    <w:rsid w:val="1F404977"/>
    <w:rsid w:val="1F863D75"/>
    <w:rsid w:val="1FB73434"/>
    <w:rsid w:val="1FFC653F"/>
    <w:rsid w:val="20BE504F"/>
    <w:rsid w:val="20D6511C"/>
    <w:rsid w:val="21070DAD"/>
    <w:rsid w:val="21071965"/>
    <w:rsid w:val="213D6CCA"/>
    <w:rsid w:val="213E34FF"/>
    <w:rsid w:val="21A97C58"/>
    <w:rsid w:val="21F85F30"/>
    <w:rsid w:val="228F2A05"/>
    <w:rsid w:val="22C80936"/>
    <w:rsid w:val="23541AF4"/>
    <w:rsid w:val="236E5CF9"/>
    <w:rsid w:val="23753192"/>
    <w:rsid w:val="23BF0227"/>
    <w:rsid w:val="23D63CD1"/>
    <w:rsid w:val="23E1027D"/>
    <w:rsid w:val="23EA715A"/>
    <w:rsid w:val="24350515"/>
    <w:rsid w:val="243B597E"/>
    <w:rsid w:val="24462F27"/>
    <w:rsid w:val="24E605D6"/>
    <w:rsid w:val="24F02B7D"/>
    <w:rsid w:val="25706E2F"/>
    <w:rsid w:val="26005C42"/>
    <w:rsid w:val="261C0D20"/>
    <w:rsid w:val="2627714B"/>
    <w:rsid w:val="26496A8A"/>
    <w:rsid w:val="267A3133"/>
    <w:rsid w:val="27325ED1"/>
    <w:rsid w:val="27555FB7"/>
    <w:rsid w:val="27810953"/>
    <w:rsid w:val="279F584C"/>
    <w:rsid w:val="27AC5B02"/>
    <w:rsid w:val="27DE6DA8"/>
    <w:rsid w:val="27E14678"/>
    <w:rsid w:val="27F03DC2"/>
    <w:rsid w:val="282D47F6"/>
    <w:rsid w:val="28470748"/>
    <w:rsid w:val="284C6BCF"/>
    <w:rsid w:val="284E483A"/>
    <w:rsid w:val="28800B23"/>
    <w:rsid w:val="28E721F3"/>
    <w:rsid w:val="29080A6B"/>
    <w:rsid w:val="298034BC"/>
    <w:rsid w:val="2A21070A"/>
    <w:rsid w:val="2A377276"/>
    <w:rsid w:val="2A951454"/>
    <w:rsid w:val="2B342177"/>
    <w:rsid w:val="2B3455B9"/>
    <w:rsid w:val="2B506222"/>
    <w:rsid w:val="2B795D02"/>
    <w:rsid w:val="2C2B4D57"/>
    <w:rsid w:val="2C377D1A"/>
    <w:rsid w:val="2C580FBB"/>
    <w:rsid w:val="2D865F64"/>
    <w:rsid w:val="2DDA2A8F"/>
    <w:rsid w:val="2DDE3C5E"/>
    <w:rsid w:val="2DE136FB"/>
    <w:rsid w:val="2E1E3EC8"/>
    <w:rsid w:val="2E2E2A74"/>
    <w:rsid w:val="2E3E2B28"/>
    <w:rsid w:val="2E4B02B0"/>
    <w:rsid w:val="2E4D105A"/>
    <w:rsid w:val="2E5F7316"/>
    <w:rsid w:val="2E67334A"/>
    <w:rsid w:val="2E8B49D1"/>
    <w:rsid w:val="2EFC27A2"/>
    <w:rsid w:val="2F8A69C9"/>
    <w:rsid w:val="2FB85452"/>
    <w:rsid w:val="301C26B5"/>
    <w:rsid w:val="303D706D"/>
    <w:rsid w:val="304405CE"/>
    <w:rsid w:val="30BE2F37"/>
    <w:rsid w:val="30C6270B"/>
    <w:rsid w:val="30F949EE"/>
    <w:rsid w:val="31190F79"/>
    <w:rsid w:val="314C7B56"/>
    <w:rsid w:val="318813ED"/>
    <w:rsid w:val="31D84403"/>
    <w:rsid w:val="31DC3D01"/>
    <w:rsid w:val="320923DF"/>
    <w:rsid w:val="324B48CF"/>
    <w:rsid w:val="32A51FD4"/>
    <w:rsid w:val="32AB06D3"/>
    <w:rsid w:val="32B66D20"/>
    <w:rsid w:val="32C83163"/>
    <w:rsid w:val="32DB706C"/>
    <w:rsid w:val="33106F05"/>
    <w:rsid w:val="33150A95"/>
    <w:rsid w:val="33765506"/>
    <w:rsid w:val="33CE634E"/>
    <w:rsid w:val="33D62C09"/>
    <w:rsid w:val="33DF1EC1"/>
    <w:rsid w:val="33EF57A3"/>
    <w:rsid w:val="342909D3"/>
    <w:rsid w:val="34577E56"/>
    <w:rsid w:val="34E91757"/>
    <w:rsid w:val="350E221C"/>
    <w:rsid w:val="352B4A09"/>
    <w:rsid w:val="3548749A"/>
    <w:rsid w:val="355F18D8"/>
    <w:rsid w:val="357D6508"/>
    <w:rsid w:val="359D3C2E"/>
    <w:rsid w:val="35B42CA8"/>
    <w:rsid w:val="36320C73"/>
    <w:rsid w:val="36B733EB"/>
    <w:rsid w:val="36FC253E"/>
    <w:rsid w:val="374768C0"/>
    <w:rsid w:val="37AE02EF"/>
    <w:rsid w:val="37B33EA9"/>
    <w:rsid w:val="37E07FE0"/>
    <w:rsid w:val="38091303"/>
    <w:rsid w:val="381B6F6B"/>
    <w:rsid w:val="38534F76"/>
    <w:rsid w:val="38845537"/>
    <w:rsid w:val="38AF40C4"/>
    <w:rsid w:val="38F564A9"/>
    <w:rsid w:val="393558F9"/>
    <w:rsid w:val="394717E0"/>
    <w:rsid w:val="39660AC8"/>
    <w:rsid w:val="3A3376C4"/>
    <w:rsid w:val="3A3974BB"/>
    <w:rsid w:val="3A4D69AD"/>
    <w:rsid w:val="3AEE3C22"/>
    <w:rsid w:val="3B316DAA"/>
    <w:rsid w:val="3B7947C5"/>
    <w:rsid w:val="3B89556C"/>
    <w:rsid w:val="3BCC6963"/>
    <w:rsid w:val="3BE21090"/>
    <w:rsid w:val="3BEB65CE"/>
    <w:rsid w:val="3C022D73"/>
    <w:rsid w:val="3C120DF0"/>
    <w:rsid w:val="3C3D0944"/>
    <w:rsid w:val="3C533C0B"/>
    <w:rsid w:val="3C9F06E6"/>
    <w:rsid w:val="3CA54D49"/>
    <w:rsid w:val="3CCD2DEC"/>
    <w:rsid w:val="3D1760A7"/>
    <w:rsid w:val="3D6E5869"/>
    <w:rsid w:val="3D770AA6"/>
    <w:rsid w:val="3D7F7A0D"/>
    <w:rsid w:val="3DA458EB"/>
    <w:rsid w:val="3DF516BF"/>
    <w:rsid w:val="3E2B46BB"/>
    <w:rsid w:val="3E454216"/>
    <w:rsid w:val="3E4A6662"/>
    <w:rsid w:val="3E940F85"/>
    <w:rsid w:val="3EBC02AD"/>
    <w:rsid w:val="3ECC1E3C"/>
    <w:rsid w:val="3EF232A9"/>
    <w:rsid w:val="3EF94582"/>
    <w:rsid w:val="3F286B4F"/>
    <w:rsid w:val="3F487763"/>
    <w:rsid w:val="3F4D1A72"/>
    <w:rsid w:val="3F5C449B"/>
    <w:rsid w:val="3FBC6458"/>
    <w:rsid w:val="3FFB1F03"/>
    <w:rsid w:val="40167CB3"/>
    <w:rsid w:val="40D073B6"/>
    <w:rsid w:val="41744200"/>
    <w:rsid w:val="42573C6D"/>
    <w:rsid w:val="426577B5"/>
    <w:rsid w:val="42784676"/>
    <w:rsid w:val="42A70B21"/>
    <w:rsid w:val="42F42DAF"/>
    <w:rsid w:val="42F86F51"/>
    <w:rsid w:val="43181CB1"/>
    <w:rsid w:val="432C1C95"/>
    <w:rsid w:val="43F42645"/>
    <w:rsid w:val="443C30D3"/>
    <w:rsid w:val="45227BD1"/>
    <w:rsid w:val="452F3D84"/>
    <w:rsid w:val="45572B91"/>
    <w:rsid w:val="45782878"/>
    <w:rsid w:val="45AA6E46"/>
    <w:rsid w:val="46530F0B"/>
    <w:rsid w:val="46583405"/>
    <w:rsid w:val="466C16EF"/>
    <w:rsid w:val="46937E02"/>
    <w:rsid w:val="46B053A1"/>
    <w:rsid w:val="46BA2548"/>
    <w:rsid w:val="46E5268E"/>
    <w:rsid w:val="478B3947"/>
    <w:rsid w:val="47AC7C93"/>
    <w:rsid w:val="47D305A4"/>
    <w:rsid w:val="47D34AAC"/>
    <w:rsid w:val="484237C1"/>
    <w:rsid w:val="48957799"/>
    <w:rsid w:val="48BA2EE9"/>
    <w:rsid w:val="48BB6C50"/>
    <w:rsid w:val="48CF1133"/>
    <w:rsid w:val="4A2E7AAE"/>
    <w:rsid w:val="4A344158"/>
    <w:rsid w:val="4A3C7D8D"/>
    <w:rsid w:val="4AE61753"/>
    <w:rsid w:val="4B582B13"/>
    <w:rsid w:val="4B8A39E5"/>
    <w:rsid w:val="4B8A5790"/>
    <w:rsid w:val="4B90047C"/>
    <w:rsid w:val="4B9B60E7"/>
    <w:rsid w:val="4BAF32D7"/>
    <w:rsid w:val="4C23278F"/>
    <w:rsid w:val="4CC14A01"/>
    <w:rsid w:val="4D0A0F0C"/>
    <w:rsid w:val="4D3A5285"/>
    <w:rsid w:val="4D8B0032"/>
    <w:rsid w:val="4DA5062D"/>
    <w:rsid w:val="4DE65F00"/>
    <w:rsid w:val="4DEC0D51"/>
    <w:rsid w:val="4E252877"/>
    <w:rsid w:val="4E4D24E4"/>
    <w:rsid w:val="4E5E0FC1"/>
    <w:rsid w:val="4E6D1663"/>
    <w:rsid w:val="4E8E3F21"/>
    <w:rsid w:val="4EC32B5C"/>
    <w:rsid w:val="4ED40264"/>
    <w:rsid w:val="4EDB31A1"/>
    <w:rsid w:val="4EFB0B66"/>
    <w:rsid w:val="4F751E23"/>
    <w:rsid w:val="4F76591B"/>
    <w:rsid w:val="4F99271D"/>
    <w:rsid w:val="509E164C"/>
    <w:rsid w:val="50C31573"/>
    <w:rsid w:val="51201725"/>
    <w:rsid w:val="51421183"/>
    <w:rsid w:val="517A2018"/>
    <w:rsid w:val="525B7AEE"/>
    <w:rsid w:val="529472A2"/>
    <w:rsid w:val="529B5FAB"/>
    <w:rsid w:val="52E91C9B"/>
    <w:rsid w:val="52E964BA"/>
    <w:rsid w:val="531234F1"/>
    <w:rsid w:val="53465272"/>
    <w:rsid w:val="53835A62"/>
    <w:rsid w:val="5383742D"/>
    <w:rsid w:val="538D459B"/>
    <w:rsid w:val="53F80C41"/>
    <w:rsid w:val="540D2EC4"/>
    <w:rsid w:val="54691B34"/>
    <w:rsid w:val="54B80855"/>
    <w:rsid w:val="54F54ACD"/>
    <w:rsid w:val="55116410"/>
    <w:rsid w:val="553C066D"/>
    <w:rsid w:val="555E75AF"/>
    <w:rsid w:val="55A31CC2"/>
    <w:rsid w:val="55BB4C08"/>
    <w:rsid w:val="55DD744A"/>
    <w:rsid w:val="55E31896"/>
    <w:rsid w:val="55F5579E"/>
    <w:rsid w:val="564B3BAC"/>
    <w:rsid w:val="565C5774"/>
    <w:rsid w:val="569F53F4"/>
    <w:rsid w:val="570727A8"/>
    <w:rsid w:val="572721B4"/>
    <w:rsid w:val="5731610F"/>
    <w:rsid w:val="57921595"/>
    <w:rsid w:val="57E95AC6"/>
    <w:rsid w:val="57FC0C0C"/>
    <w:rsid w:val="580615B7"/>
    <w:rsid w:val="585B426A"/>
    <w:rsid w:val="58921DAC"/>
    <w:rsid w:val="58E81F29"/>
    <w:rsid w:val="59074D90"/>
    <w:rsid w:val="59342CA6"/>
    <w:rsid w:val="597B635D"/>
    <w:rsid w:val="59977E28"/>
    <w:rsid w:val="5A226F67"/>
    <w:rsid w:val="5A953722"/>
    <w:rsid w:val="5AE52C20"/>
    <w:rsid w:val="5B1365AB"/>
    <w:rsid w:val="5B3D0064"/>
    <w:rsid w:val="5B6B39C6"/>
    <w:rsid w:val="5BB6489E"/>
    <w:rsid w:val="5BE43D21"/>
    <w:rsid w:val="5C027D15"/>
    <w:rsid w:val="5C1427B2"/>
    <w:rsid w:val="5C862888"/>
    <w:rsid w:val="5C967DC4"/>
    <w:rsid w:val="5CAB4116"/>
    <w:rsid w:val="5D076D01"/>
    <w:rsid w:val="5D1C2342"/>
    <w:rsid w:val="5DC67CA7"/>
    <w:rsid w:val="5DED1CCF"/>
    <w:rsid w:val="5E325C9F"/>
    <w:rsid w:val="5E4D6678"/>
    <w:rsid w:val="5E777A58"/>
    <w:rsid w:val="5E9479CE"/>
    <w:rsid w:val="5F020E69"/>
    <w:rsid w:val="5F8F28CB"/>
    <w:rsid w:val="5F9F7385"/>
    <w:rsid w:val="5FC50CC7"/>
    <w:rsid w:val="603B1E9D"/>
    <w:rsid w:val="608D176B"/>
    <w:rsid w:val="61125017"/>
    <w:rsid w:val="611C48EB"/>
    <w:rsid w:val="61783D55"/>
    <w:rsid w:val="62466EFC"/>
    <w:rsid w:val="62637767"/>
    <w:rsid w:val="626453AC"/>
    <w:rsid w:val="62674344"/>
    <w:rsid w:val="632E5E62"/>
    <w:rsid w:val="633F229F"/>
    <w:rsid w:val="63C51E86"/>
    <w:rsid w:val="63E87788"/>
    <w:rsid w:val="640E7909"/>
    <w:rsid w:val="642B5D8D"/>
    <w:rsid w:val="64542425"/>
    <w:rsid w:val="64772801"/>
    <w:rsid w:val="647A3CB0"/>
    <w:rsid w:val="648773BE"/>
    <w:rsid w:val="64A53A5E"/>
    <w:rsid w:val="64B25195"/>
    <w:rsid w:val="65CE69B3"/>
    <w:rsid w:val="65DB6C69"/>
    <w:rsid w:val="664C2BA5"/>
    <w:rsid w:val="669046A2"/>
    <w:rsid w:val="66AA2174"/>
    <w:rsid w:val="66D41112"/>
    <w:rsid w:val="66F432E4"/>
    <w:rsid w:val="682F3612"/>
    <w:rsid w:val="683A4772"/>
    <w:rsid w:val="68676D4D"/>
    <w:rsid w:val="68707187"/>
    <w:rsid w:val="68C86297"/>
    <w:rsid w:val="68F5216F"/>
    <w:rsid w:val="6905302D"/>
    <w:rsid w:val="69142915"/>
    <w:rsid w:val="6918480D"/>
    <w:rsid w:val="69214762"/>
    <w:rsid w:val="69C10A44"/>
    <w:rsid w:val="69C24462"/>
    <w:rsid w:val="69D22919"/>
    <w:rsid w:val="69F75F04"/>
    <w:rsid w:val="6AD77E99"/>
    <w:rsid w:val="6AEC077B"/>
    <w:rsid w:val="6AF36CF4"/>
    <w:rsid w:val="6B085629"/>
    <w:rsid w:val="6B786C75"/>
    <w:rsid w:val="6BB0400B"/>
    <w:rsid w:val="6BEB5B28"/>
    <w:rsid w:val="6C0A7EB8"/>
    <w:rsid w:val="6C9155E1"/>
    <w:rsid w:val="6CB73516"/>
    <w:rsid w:val="6CC32EEF"/>
    <w:rsid w:val="6D3844E4"/>
    <w:rsid w:val="6D8F151A"/>
    <w:rsid w:val="6D951E95"/>
    <w:rsid w:val="6E060561"/>
    <w:rsid w:val="6E1D123B"/>
    <w:rsid w:val="6E654045"/>
    <w:rsid w:val="6EA2618B"/>
    <w:rsid w:val="6ED02ABF"/>
    <w:rsid w:val="6EED23E9"/>
    <w:rsid w:val="6EF55A8F"/>
    <w:rsid w:val="6F01672C"/>
    <w:rsid w:val="6F093AAD"/>
    <w:rsid w:val="6F4F630E"/>
    <w:rsid w:val="6F5E251A"/>
    <w:rsid w:val="6F60217E"/>
    <w:rsid w:val="6F6450B3"/>
    <w:rsid w:val="6F672240"/>
    <w:rsid w:val="6F78778B"/>
    <w:rsid w:val="6FDD36C9"/>
    <w:rsid w:val="6FFE4F46"/>
    <w:rsid w:val="70015FE3"/>
    <w:rsid w:val="70030471"/>
    <w:rsid w:val="701D3524"/>
    <w:rsid w:val="70583123"/>
    <w:rsid w:val="70A66764"/>
    <w:rsid w:val="70A874EA"/>
    <w:rsid w:val="70E32B78"/>
    <w:rsid w:val="71317F26"/>
    <w:rsid w:val="71416BEE"/>
    <w:rsid w:val="71682B5F"/>
    <w:rsid w:val="7173246B"/>
    <w:rsid w:val="71C66A32"/>
    <w:rsid w:val="722F25DC"/>
    <w:rsid w:val="72561D49"/>
    <w:rsid w:val="72FB4336"/>
    <w:rsid w:val="733A01AB"/>
    <w:rsid w:val="73717CF0"/>
    <w:rsid w:val="737B5A5E"/>
    <w:rsid w:val="73A53D4F"/>
    <w:rsid w:val="73BA4B95"/>
    <w:rsid w:val="73C45350"/>
    <w:rsid w:val="742C6D05"/>
    <w:rsid w:val="74666F63"/>
    <w:rsid w:val="74EB1D79"/>
    <w:rsid w:val="74FB5A83"/>
    <w:rsid w:val="75B73EFB"/>
    <w:rsid w:val="75F35F0A"/>
    <w:rsid w:val="7627010D"/>
    <w:rsid w:val="764D1CB9"/>
    <w:rsid w:val="7693791C"/>
    <w:rsid w:val="76CA3328"/>
    <w:rsid w:val="771F648D"/>
    <w:rsid w:val="77421ADF"/>
    <w:rsid w:val="77D2148E"/>
    <w:rsid w:val="77F36B38"/>
    <w:rsid w:val="78041313"/>
    <w:rsid w:val="780B717D"/>
    <w:rsid w:val="78163A14"/>
    <w:rsid w:val="785904CD"/>
    <w:rsid w:val="78856222"/>
    <w:rsid w:val="788E2CE7"/>
    <w:rsid w:val="78940C22"/>
    <w:rsid w:val="78AD7761"/>
    <w:rsid w:val="79034D96"/>
    <w:rsid w:val="79102D89"/>
    <w:rsid w:val="7990533F"/>
    <w:rsid w:val="79C3066B"/>
    <w:rsid w:val="79C351F8"/>
    <w:rsid w:val="79F6606B"/>
    <w:rsid w:val="7A255E58"/>
    <w:rsid w:val="7A3049FE"/>
    <w:rsid w:val="7A4E4FF2"/>
    <w:rsid w:val="7A7F044F"/>
    <w:rsid w:val="7B1F385E"/>
    <w:rsid w:val="7BC55C7D"/>
    <w:rsid w:val="7BD30E2C"/>
    <w:rsid w:val="7C1022A4"/>
    <w:rsid w:val="7C21515A"/>
    <w:rsid w:val="7C394714"/>
    <w:rsid w:val="7C575AA2"/>
    <w:rsid w:val="7C7C1DC9"/>
    <w:rsid w:val="7C994482"/>
    <w:rsid w:val="7CCF5DBB"/>
    <w:rsid w:val="7CF34F8D"/>
    <w:rsid w:val="7D037768"/>
    <w:rsid w:val="7D355522"/>
    <w:rsid w:val="7D62742E"/>
    <w:rsid w:val="7D6C5DB1"/>
    <w:rsid w:val="7DCA5C98"/>
    <w:rsid w:val="7DD93832"/>
    <w:rsid w:val="7E352137"/>
    <w:rsid w:val="7E3D3AFE"/>
    <w:rsid w:val="7E415A65"/>
    <w:rsid w:val="7EDD3985"/>
    <w:rsid w:val="7EFC6A35"/>
    <w:rsid w:val="7F11406B"/>
    <w:rsid w:val="7F1C0902"/>
    <w:rsid w:val="7F3F56D3"/>
    <w:rsid w:val="7F401EB8"/>
    <w:rsid w:val="7F7158A5"/>
    <w:rsid w:val="7F790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2797</Words>
  <Characters>4191</Characters>
  <Lines>0</Lines>
  <Paragraphs>0</Paragraphs>
  <TotalTime>237</TotalTime>
  <ScaleCrop>false</ScaleCrop>
  <LinksUpToDate>false</LinksUpToDate>
  <CharactersWithSpaces>5342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亭亭如盖</cp:lastModifiedBy>
  <dcterms:modified xsi:type="dcterms:W3CDTF">2022-03-23T07:20:55Z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87A5D423016D4CB4BFDDA09A913486E4</vt:lpwstr>
  </property>
</Properties>
</file>