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3" w:name="_GoBack"/>
      <w:bookmarkEnd w:id="13"/>
      <w:bookmarkStart w:id="0" w:name="_Toc418070112"/>
      <w:bookmarkStart w:id="1" w:name="OLE_LINK13"/>
      <w:bookmarkStart w:id="2" w:name="OLE_LINK24"/>
      <w:bookmarkStart w:id="3" w:name="_Toc438987549"/>
      <w:bookmarkStart w:id="4" w:name="_Toc481801204"/>
      <w:bookmarkStart w:id="5" w:name="OLE_LINK39"/>
      <w:bookmarkStart w:id="6" w:name="_Toc415143481"/>
      <w:bookmarkStart w:id="7" w:name="_Toc453597319"/>
      <w:bookmarkStart w:id="8" w:name="OLE_LINK15"/>
      <w:bookmarkStart w:id="9" w:name="_Toc415818939"/>
      <w:bookmarkStart w:id="10" w:name="_Toc415142861"/>
      <w:bookmarkStart w:id="11" w:name="_Toc517262917"/>
      <w:bookmarkStart w:id="12" w:name="OLE_LINK40"/>
      <w:r>
        <w:rPr>
          <w:lang w:eastAsia="zh-CN"/>
        </w:rPr>
        <w:t>玻璃纤维增强聚丙烯</w:t>
      </w:r>
      <w:r>
        <w:rPr>
          <w:rFonts w:hint="eastAsia"/>
          <w:lang w:eastAsia="zh-CN"/>
        </w:rPr>
        <w:t>全球市场总体规模</w:t>
      </w:r>
    </w:p>
    <w:p>
      <w:pPr>
        <w:pStyle w:val="145"/>
        <w:rPr>
          <w:lang w:eastAsia="zh-CN"/>
        </w:rPr>
      </w:pPr>
      <w:r>
        <w:rPr>
          <w:rFonts w:hint="eastAsia"/>
          <w:lang w:eastAsia="zh-CN"/>
        </w:rPr>
        <w:t>据调研团队最新报告“全球玻璃纤维增强聚丙烯市场报告2024-2030”显示，预计2030年全球玻璃纤维增强聚丙烯市场规模将达到54.1亿美元，未来几年年复合增长率CAGR为5.2%。</w:t>
      </w:r>
    </w:p>
    <w:p>
      <w:pPr>
        <w:pStyle w:val="148"/>
        <w:rPr>
          <w:lang w:eastAsia="zh-CN"/>
        </w:rPr>
      </w:pPr>
      <w:r>
        <w:rPr>
          <w:lang w:eastAsia="zh-CN"/>
        </w:rPr>
        <w:t>玻璃纤维增强聚丙烯</w:t>
      </w:r>
      <w:r>
        <w:rPr>
          <w:rFonts w:hint="eastAsia"/>
          <w:lang w:eastAsia="zh-CN"/>
        </w:rPr>
        <w:t>，全球市场总体规模</w:t>
      </w:r>
    </w:p>
    <w:p>
      <w:pPr>
        <w:pStyle w:val="145"/>
        <w:rPr>
          <w:lang w:eastAsia="zh-CN"/>
        </w:rPr>
      </w:pPr>
      <w:r>
        <w:rPr>
          <w:lang w:val="en-US" w:eastAsia="zh-CN"/>
        </w:rPr>
        <w:drawing>
          <wp:inline distT="0" distB="0" distL="0" distR="0">
            <wp:extent cx="6188710" cy="295465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143"/>
        <w:rPr>
          <w:lang w:eastAsia="zh-CN"/>
        </w:rPr>
      </w:pPr>
      <w:r>
        <w:rPr>
          <w:rFonts w:hint="eastAsia"/>
          <w:lang w:eastAsia="zh-CN"/>
        </w:rPr>
        <w:t>如上图表/数据，摘自QYResearch最新报告“全球</w:t>
      </w:r>
      <w:r>
        <w:rPr>
          <w:lang w:eastAsia="zh-CN"/>
        </w:rPr>
        <w:t>玻璃纤维增强聚丙烯</w:t>
      </w:r>
      <w:r>
        <w:rPr>
          <w:rFonts w:hint="eastAsia"/>
          <w:lang w:eastAsia="zh-CN"/>
        </w:rPr>
        <w:t>市场研究报告2024-2030”</w:t>
      </w:r>
      <w:r>
        <w:rPr>
          <w:lang w:eastAsia="zh-CN"/>
        </w:rPr>
        <w:t>.</w:t>
      </w:r>
    </w:p>
    <w:p>
      <w:pPr>
        <w:pStyle w:val="145"/>
        <w:rPr>
          <w:lang w:eastAsia="zh-CN"/>
        </w:rPr>
      </w:pPr>
    </w:p>
    <w:p>
      <w:pPr>
        <w:pStyle w:val="148"/>
        <w:rPr>
          <w:lang w:eastAsia="zh-CN"/>
        </w:rPr>
      </w:pPr>
      <w:r>
        <w:rPr>
          <w:rFonts w:hint="eastAsia"/>
          <w:lang w:eastAsia="zh-CN"/>
        </w:rPr>
        <w:t>全球</w:t>
      </w:r>
      <w:r>
        <w:rPr>
          <w:lang w:eastAsia="zh-CN"/>
        </w:rPr>
        <w:t>玻璃纤维增强聚丙烯</w:t>
      </w:r>
      <w:r>
        <w:rPr>
          <w:rFonts w:hint="eastAsia"/>
          <w:lang w:eastAsia="zh-CN"/>
        </w:rPr>
        <w:t>市场前</w:t>
      </w:r>
      <w:r>
        <w:rPr>
          <w:lang w:eastAsia="zh-CN"/>
        </w:rPr>
        <w:t>15</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3771900" cy="599122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如上图表/数据，摘自QYResearch报告“全球</w:t>
      </w:r>
      <w:r>
        <w:rPr>
          <w:lang w:eastAsia="zh-CN"/>
        </w:rPr>
        <w:t>玻璃纤维增强聚丙烯</w:t>
      </w:r>
      <w:r>
        <w:rPr>
          <w:rFonts w:hint="eastAsia"/>
          <w:lang w:eastAsia="zh-CN"/>
        </w:rPr>
        <w:t>市场研究报告2024-2030”，排名基于2</w:t>
      </w:r>
      <w:r>
        <w:rPr>
          <w:lang w:eastAsia="zh-CN"/>
        </w:rPr>
        <w:t>023</w:t>
      </w:r>
      <w:r>
        <w:rPr>
          <w:rFonts w:hint="eastAsia"/>
          <w:lang w:eastAsia="zh-CN"/>
        </w:rPr>
        <w:t>数据。目前最新数据，以本公司最新调研数据为准。</w:t>
      </w:r>
    </w:p>
    <w:p>
      <w:pPr>
        <w:pStyle w:val="145"/>
        <w:rPr>
          <w:lang w:eastAsia="zh-CN"/>
        </w:rPr>
      </w:pPr>
      <w:r>
        <w:rPr>
          <w:rFonts w:hint="eastAsia"/>
          <w:lang w:eastAsia="zh-CN"/>
        </w:rPr>
        <w:t>全球范围内玻璃纤维增强聚丙烯生产商主要包括SABIC、Celanese、Borealis、Sumitomo Chemical、Mitsubishi Chemical、Trinseo、Avient、Daicel、金发科技、RTP等。2023年，全球前五大厂商占有大约61.0%的市场份额。</w:t>
      </w:r>
    </w:p>
    <w:p>
      <w:pPr>
        <w:pStyle w:val="148"/>
        <w:rPr>
          <w:lang w:eastAsia="zh-CN"/>
        </w:rPr>
      </w:pPr>
      <w:r>
        <w:rPr>
          <w:lang w:eastAsia="zh-CN"/>
        </w:rPr>
        <w:t>玻璃纤维增强聚丙烯</w:t>
      </w:r>
      <w:r>
        <w:rPr>
          <w:rFonts w:hint="eastAsia"/>
          <w:lang w:eastAsia="zh-CN"/>
        </w:rPr>
        <w:t>，全球市场规模，按产品类型细分</w:t>
      </w:r>
    </w:p>
    <w:p>
      <w:pPr>
        <w:pStyle w:val="145"/>
        <w:rPr>
          <w:lang w:eastAsia="zh-CN"/>
        </w:rPr>
      </w:pPr>
      <w:r>
        <w:rPr>
          <w:lang w:val="en-US" w:eastAsia="zh-CN"/>
        </w:rPr>
        <w:drawing>
          <wp:inline distT="0" distB="0" distL="0" distR="0">
            <wp:extent cx="6188710" cy="2922270"/>
            <wp:effectExtent l="0" t="0" r="254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玻璃纤维增强聚丙烯</w:t>
      </w:r>
      <w:r>
        <w:rPr>
          <w:rFonts w:hint="eastAsia"/>
          <w:lang w:eastAsia="zh-CN"/>
        </w:rPr>
        <w:t>市场研究报告2024-2030”</w:t>
      </w:r>
      <w:r>
        <w:rPr>
          <w:lang w:eastAsia="zh-CN"/>
        </w:rPr>
        <w:t>.</w:t>
      </w:r>
    </w:p>
    <w:p>
      <w:pPr>
        <w:pStyle w:val="145"/>
        <w:rPr>
          <w:lang w:eastAsia="zh-CN"/>
        </w:rPr>
      </w:pPr>
      <w:r>
        <w:rPr>
          <w:rFonts w:hint="eastAsia"/>
          <w:lang w:eastAsia="zh-CN"/>
        </w:rPr>
        <w:t>就产品类型而言，目前PP-LGF是最主要的细分产品，占据大约70.1%的份额。</w:t>
      </w:r>
    </w:p>
    <w:p>
      <w:pPr>
        <w:pStyle w:val="148"/>
        <w:widowControl/>
        <w:topLinePunct w:val="0"/>
        <w:spacing w:after="0"/>
        <w:rPr>
          <w:rFonts w:ascii="宋体" w:hAnsi="宋体" w:cs="宋体"/>
          <w:sz w:val="24"/>
          <w:szCs w:val="24"/>
          <w:lang w:eastAsia="zh-CN"/>
        </w:rPr>
      </w:pPr>
      <w:r>
        <w:rPr>
          <w:lang w:eastAsia="zh-CN"/>
        </w:rPr>
        <w:t>玻璃纤维增强聚丙烯</w:t>
      </w:r>
      <w:r>
        <w:rPr>
          <w:rFonts w:hint="eastAsia"/>
          <w:lang w:eastAsia="zh-CN"/>
        </w:rPr>
        <w:t>，全球市场规模，按应用细分</w:t>
      </w:r>
    </w:p>
    <w:p>
      <w:pPr>
        <w:widowControl/>
        <w:topLinePunct w:val="0"/>
        <w:spacing w:after="0"/>
        <w:jc w:val="left"/>
        <w:rPr>
          <w:rFonts w:ascii="宋体" w:hAnsi="宋体" w:cs="宋体"/>
          <w:kern w:val="0"/>
          <w:sz w:val="24"/>
          <w:szCs w:val="24"/>
        </w:rPr>
      </w:pPr>
      <w:r>
        <w:rPr>
          <w:rFonts w:ascii="宋体" w:hAnsi="宋体" w:cs="宋体"/>
          <w:kern w:val="0"/>
          <w:sz w:val="24"/>
          <w:szCs w:val="24"/>
        </w:rPr>
        <w:drawing>
          <wp:inline distT="0" distB="0" distL="0" distR="0">
            <wp:extent cx="6238875" cy="2875915"/>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248099" cy="2880521"/>
                    </a:xfrm>
                    <a:prstGeom prst="rect">
                      <a:avLst/>
                    </a:prstGeom>
                    <a:noFill/>
                  </pic:spPr>
                </pic:pic>
              </a:graphicData>
            </a:graphic>
          </wp:inline>
        </w:drawing>
      </w:r>
    </w:p>
    <w:p>
      <w:pPr>
        <w:widowControl/>
        <w:topLinePunct w:val="0"/>
        <w:spacing w:after="0"/>
        <w:jc w:val="left"/>
        <w:rPr>
          <w:rFonts w:ascii="宋体" w:hAnsi="宋体" w:cs="宋体"/>
          <w:kern w:val="0"/>
          <w:sz w:val="24"/>
          <w:szCs w:val="24"/>
        </w:rPr>
      </w:pPr>
      <w:r>
        <w:drawing>
          <wp:inline distT="0" distB="0" distL="0" distR="0">
            <wp:extent cx="6188710" cy="2922270"/>
            <wp:effectExtent l="0" t="0" r="254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143"/>
        <w:rPr>
          <w:lang w:eastAsia="zh-CN"/>
        </w:rPr>
      </w:pPr>
      <w:r>
        <w:rPr>
          <w:rFonts w:hint="eastAsia"/>
          <w:lang w:eastAsia="zh-CN"/>
        </w:rPr>
        <w:t>如上图表/数据，摘自QYResearch最新报告“全球</w:t>
      </w:r>
      <w:r>
        <w:rPr>
          <w:lang w:eastAsia="zh-CN"/>
        </w:rPr>
        <w:t>玻璃纤维增强聚丙烯</w:t>
      </w:r>
      <w:r>
        <w:rPr>
          <w:rFonts w:hint="eastAsia"/>
          <w:lang w:eastAsia="zh-CN"/>
        </w:rPr>
        <w:t>市场研究报告2024-2030”</w:t>
      </w:r>
      <w:r>
        <w:rPr>
          <w:lang w:eastAsia="zh-CN"/>
        </w:rPr>
        <w:t>.</w:t>
      </w:r>
    </w:p>
    <w:p>
      <w:pPr>
        <w:pStyle w:val="145"/>
        <w:rPr>
          <w:lang w:eastAsia="zh-CN"/>
        </w:rPr>
      </w:pPr>
      <w:r>
        <w:rPr>
          <w:rFonts w:hint="eastAsia"/>
          <w:lang w:eastAsia="zh-CN"/>
        </w:rPr>
        <w:t>就产品应用而言，目前汽车是最主要的需求来源，占据大约68.6%的份额。</w:t>
      </w:r>
    </w:p>
    <w:p>
      <w:pPr>
        <w:pStyle w:val="148"/>
        <w:rPr>
          <w:lang w:eastAsia="zh-CN"/>
        </w:rPr>
      </w:pPr>
      <w:r>
        <w:rPr>
          <w:rFonts w:hint="eastAsia"/>
          <w:lang w:eastAsia="zh-CN"/>
        </w:rPr>
        <w:t>全球主要市场</w:t>
      </w:r>
      <w:r>
        <w:rPr>
          <w:lang w:eastAsia="zh-CN"/>
        </w:rPr>
        <w:t>玻璃纤维增强聚丙烯</w:t>
      </w:r>
      <w:r>
        <w:rPr>
          <w:rFonts w:hint="eastAsia"/>
          <w:lang w:eastAsia="zh-CN"/>
        </w:rPr>
        <w:t>规模</w:t>
      </w:r>
    </w:p>
    <w:p>
      <w:pPr>
        <w:pStyle w:val="145"/>
        <w:rPr>
          <w:lang w:val="en-US" w:eastAsia="zh-CN"/>
        </w:rPr>
      </w:pPr>
      <w:r>
        <w:rPr>
          <w:lang w:val="en-US" w:eastAsia="zh-CN"/>
        </w:rPr>
        <w:drawing>
          <wp:inline distT="0" distB="0" distL="0" distR="0">
            <wp:extent cx="6188710" cy="2922270"/>
            <wp:effectExtent l="0" t="0" r="254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145"/>
        <w:rPr>
          <w:lang w:val="en-US" w:eastAsia="zh-CN"/>
        </w:rPr>
      </w:pPr>
      <w:r>
        <w:rPr>
          <w:lang w:val="en-US" w:eastAsia="zh-CN"/>
        </w:rPr>
        <w:drawing>
          <wp:inline distT="0" distB="0" distL="0" distR="0">
            <wp:extent cx="6188710" cy="2922270"/>
            <wp:effectExtent l="0" t="0" r="254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143"/>
        <w:rPr>
          <w:lang w:eastAsia="zh-CN"/>
        </w:rPr>
      </w:pPr>
      <w:r>
        <w:rPr>
          <w:rFonts w:hint="eastAsia"/>
          <w:lang w:eastAsia="zh-CN"/>
        </w:rPr>
        <w:t>如上图表/数据，摘自QYResearch最新报告“全球</w:t>
      </w:r>
      <w:r>
        <w:rPr>
          <w:lang w:eastAsia="zh-CN"/>
        </w:rPr>
        <w:t>玻璃纤维增强聚丙烯</w:t>
      </w:r>
      <w:r>
        <w:rPr>
          <w:rFonts w:hint="eastAsia"/>
          <w:lang w:eastAsia="zh-CN"/>
        </w:rPr>
        <w:t>市场研究报告2024-2030”</w:t>
      </w:r>
      <w:r>
        <w:rPr>
          <w:lang w:eastAsia="zh-CN"/>
        </w:rPr>
        <w:t>.</w:t>
      </w:r>
    </w:p>
    <w:p>
      <w:pPr>
        <w:pStyle w:val="145"/>
        <w:rPr>
          <w:lang w:eastAsia="zh-CN"/>
        </w:rPr>
      </w:pPr>
    </w:p>
    <w:p>
      <w:pPr>
        <w:pStyle w:val="145"/>
        <w:rPr>
          <w:b/>
          <w:bCs/>
          <w:lang w:eastAsia="zh-CN"/>
        </w:rPr>
      </w:pPr>
      <w:r>
        <w:rPr>
          <w:rFonts w:hint="eastAsia"/>
          <w:b/>
          <w:bCs/>
          <w:lang w:eastAsia="zh-CN"/>
        </w:rPr>
        <w:t>主要驱动因素</w:t>
      </w:r>
      <w:r>
        <w:rPr>
          <w:b/>
          <w:bCs/>
          <w:lang w:eastAsia="zh-CN"/>
        </w:rPr>
        <w:t>:</w:t>
      </w:r>
    </w:p>
    <w:p>
      <w:pPr>
        <w:pStyle w:val="145"/>
        <w:rPr>
          <w:lang w:eastAsia="zh-CN"/>
        </w:rPr>
      </w:pPr>
      <w:r>
        <w:rPr>
          <w:rFonts w:hint="eastAsia"/>
          <w:lang w:eastAsia="zh-CN"/>
        </w:rPr>
        <w:t>D1：在汽车轻量化、电子小型化发展背景下，玻纤增强PP应用前景广阔。</w:t>
      </w:r>
    </w:p>
    <w:p>
      <w:pPr>
        <w:pStyle w:val="145"/>
        <w:rPr>
          <w:lang w:eastAsia="zh-CN"/>
        </w:rPr>
      </w:pPr>
      <w:r>
        <w:rPr>
          <w:rFonts w:hint="eastAsia"/>
          <w:lang w:eastAsia="zh-CN"/>
        </w:rPr>
        <w:t>D2：随着国民经济的发展和塑料改性加工技术的进步，改性塑料制品的功能化、轻量化、环保化将成为未来行业升级发展的目标和方向，将更广泛地应用于节能环保领域。 环保、高端装备制造、新能源汽车等领域，发展潜力巨大。</w:t>
      </w:r>
    </w:p>
    <w:p>
      <w:pPr>
        <w:pStyle w:val="145"/>
        <w:rPr>
          <w:rFonts w:hint="eastAsia"/>
          <w:lang w:eastAsia="zh-CN"/>
        </w:rPr>
      </w:pPr>
      <w:r>
        <w:rPr>
          <w:rFonts w:hint="eastAsia"/>
          <w:lang w:eastAsia="zh-CN"/>
        </w:rPr>
        <w:t>D3：此外，建筑、电子等主要最终用途行业对塑料使用的 PP 化合物的需求不断增长，将在预测期内推动玻璃增强 PP 化合物市场规模的大幅增长。</w:t>
      </w:r>
    </w:p>
    <w:p>
      <w:pPr>
        <w:pStyle w:val="145"/>
        <w:rPr>
          <w:rFonts w:hint="eastAsia"/>
          <w:lang w:eastAsia="zh-CN"/>
        </w:rPr>
      </w:pPr>
    </w:p>
    <w:p>
      <w:pPr>
        <w:pStyle w:val="145"/>
        <w:rPr>
          <w:b/>
          <w:bCs/>
          <w:lang w:eastAsia="zh-CN"/>
        </w:rPr>
      </w:pPr>
      <w:r>
        <w:rPr>
          <w:rFonts w:hint="eastAsia"/>
          <w:b/>
          <w:bCs/>
          <w:lang w:eastAsia="zh-CN"/>
        </w:rPr>
        <w:t>主要阻碍因素</w:t>
      </w:r>
      <w:r>
        <w:rPr>
          <w:b/>
          <w:bCs/>
          <w:lang w:eastAsia="zh-CN"/>
        </w:rPr>
        <w:t>:</w:t>
      </w:r>
    </w:p>
    <w:p>
      <w:pPr>
        <w:pStyle w:val="145"/>
        <w:rPr>
          <w:lang w:eastAsia="zh-CN"/>
        </w:rPr>
      </w:pPr>
      <w:r>
        <w:rPr>
          <w:rFonts w:hint="eastAsia"/>
          <w:lang w:eastAsia="zh-CN"/>
        </w:rPr>
        <w:t>R1：原材料和劳动力成本的增加将影响GFPP的价格。</w:t>
      </w:r>
    </w:p>
    <w:p>
      <w:pPr>
        <w:pStyle w:val="145"/>
        <w:rPr>
          <w:lang w:eastAsia="zh-CN"/>
        </w:rPr>
      </w:pPr>
      <w:r>
        <w:rPr>
          <w:rFonts w:hint="eastAsia"/>
          <w:lang w:eastAsia="zh-CN"/>
        </w:rPr>
        <w:t>R2：高昂的研发成本、制造和加工成本是主要参与者在市场上制造高性价比产品的主要挑战。</w:t>
      </w:r>
    </w:p>
    <w:p>
      <w:pPr>
        <w:pStyle w:val="145"/>
        <w:rPr>
          <w:lang w:eastAsia="zh-CN"/>
        </w:rPr>
      </w:pPr>
      <w:r>
        <w:rPr>
          <w:rFonts w:hint="eastAsia"/>
          <w:lang w:eastAsia="zh-CN"/>
        </w:rPr>
        <w:t>R3：玻璃纤维增强聚丙烯的一些下游行业，如汽车工业、电气电子电器、建筑工程、机械工业等，对产品质量和安全要求较高。</w:t>
      </w:r>
    </w:p>
    <w:bookmarkEnd w:id="0"/>
    <w:bookmarkEnd w:id="1"/>
    <w:bookmarkEnd w:id="2"/>
    <w:bookmarkEnd w:id="3"/>
    <w:bookmarkEnd w:id="4"/>
    <w:bookmarkEnd w:id="5"/>
    <w:bookmarkEnd w:id="6"/>
    <w:bookmarkEnd w:id="7"/>
    <w:bookmarkEnd w:id="8"/>
    <w:bookmarkEnd w:id="9"/>
    <w:bookmarkEnd w:id="10"/>
    <w:bookmarkEnd w:id="11"/>
    <w:bookmarkEnd w:id="12"/>
    <w:p>
      <w:pPr>
        <w:widowControl/>
        <w:topLinePunct w:val="0"/>
        <w:spacing w:after="0"/>
        <w:jc w:val="left"/>
        <w:rPr>
          <w:lang w:eastAsia="zh-CN"/>
        </w:rPr>
      </w:pPr>
    </w:p>
    <w:sectPr>
      <w:headerReference r:id="rId5" w:type="first"/>
      <w:footerReference r:id="rId6" w:type="default"/>
      <w:headerReference r:id="rId4"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color w:val="0070C0"/>
      </w:rPr>
    </w:pPr>
    <w:r>
      <w:rPr>
        <w:rFonts w:hint="eastAsia" w:ascii="仿宋" w:hAnsi="仿宋" w:eastAsia="仿宋" w:cs="仿宋"/>
        <w:b/>
        <w:bCs/>
        <w:color w:val="0070C0"/>
        <w:sz w:val="30"/>
        <w:szCs w:val="30"/>
      </w:rPr>
      <w:t>QYResearch报告出版商</w:t>
    </w:r>
  </w:p>
  <w:p>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7BA"/>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A0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026"/>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87E13"/>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6782"/>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035"/>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C7F7B"/>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0D4"/>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4BF"/>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ECA0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image" Target="media/image2.png"/><Relationship Id="rId10" Type="http://schemas.openxmlformats.org/officeDocument/2006/relationships/chart" Target="charts/chart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chartUserShapes" Target="../drawings/drawing1.xml"/><Relationship Id="rId1" Type="http://schemas.openxmlformats.org/officeDocument/2006/relationships/oleObject" Target="file:///C:\Users\Administrator\Desktop\&#35266;&#28857;&#25968;&#25454;&#22270;&#34920;&#27169;&#26495;-&#27169;&#26495;%2020240426%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35266;&#28857;&#25968;&#25454;&#22270;&#34920;&#27169;&#26495;-&#27169;&#26495;%2020240426%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35266;&#28857;&#25968;&#25454;&#22270;&#34920;&#27169;&#26495;-&#27169;&#26495;%2020240426%20&#20026;&#2093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35266;&#28857;&#25968;&#25454;&#22270;&#34920;&#27169;&#26495;-&#27169;&#26495;%2020240426%20&#20026;&#20934;.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35266;&#28857;&#25968;&#25454;&#22270;&#34920;&#27169;&#26495;-&#27169;&#26495;%2020240426%20&#20026;&#20934;.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35266;&#28857;&#25968;&#25454;&#22270;&#34920;&#27169;&#26495;-&#27169;&#26495;%2020240426%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Global Market Size ($ Mn)</a:t>
            </a:r>
            <a:endParaRPr lang="en-US"/>
          </a:p>
        </c:rich>
      </c:tx>
      <c:layout/>
      <c:overlay val="0"/>
      <c:spPr>
        <a:noFill/>
        <a:ln>
          <a:noFill/>
        </a:ln>
        <a:effectLst/>
      </c:spPr>
    </c:title>
    <c:autoTitleDeleted val="0"/>
    <c:plotArea>
      <c:layout>
        <c:manualLayout>
          <c:layoutTarget val="inner"/>
          <c:xMode val="edge"/>
          <c:yMode val="edge"/>
          <c:x val="0.0333680629718612"/>
          <c:y val="0.131440849673203"/>
          <c:w val="0.937283950617284"/>
          <c:h val="0.7930303921568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全球总体!$S$6:$U$6</c:f>
              <c:numCache>
                <c:formatCode>General</c:formatCode>
                <c:ptCount val="3"/>
                <c:pt idx="0">
                  <c:v>2019</c:v>
                </c:pt>
                <c:pt idx="1">
                  <c:v>2024</c:v>
                </c:pt>
                <c:pt idx="2">
                  <c:v>2030</c:v>
                </c:pt>
              </c:numCache>
            </c:numRef>
          </c:cat>
          <c:val>
            <c:numRef>
              <c:f>全球总体!$S$7:$U$7</c:f>
              <c:numCache>
                <c:formatCode>#,##0_ </c:formatCode>
                <c:ptCount val="3"/>
                <c:pt idx="0">
                  <c:v>2906.56</c:v>
                </c:pt>
                <c:pt idx="1">
                  <c:v>3988.38</c:v>
                </c:pt>
                <c:pt idx="2">
                  <c:v>5413.61205</c:v>
                </c:pt>
              </c:numCache>
            </c:numRef>
          </c:val>
        </c:ser>
        <c:dLbls>
          <c:showLegendKey val="0"/>
          <c:showVal val="0"/>
          <c:showCatName val="0"/>
          <c:showSerName val="0"/>
          <c:showPercent val="0"/>
          <c:showBubbleSize val="0"/>
        </c:dLbls>
        <c:gapWidth val="219"/>
        <c:overlap val="100"/>
        <c:serLines>
          <c:spPr>
            <a:ln w="15875" cap="sq"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a:solidFill>
              <a:srgbClr val="002060"/>
            </a:solidFill>
          </c:spPr>
          <c:invertIfNegative val="0"/>
          <c:dPt>
            <c:idx val="0"/>
            <c:invertIfNegative val="0"/>
            <c:bubble3D val="0"/>
            <c:spPr>
              <a:solidFill>
                <a:srgbClr val="002060"/>
              </a:solidFill>
              <a:ln>
                <a:noFill/>
              </a:ln>
              <a:effectLst/>
            </c:spPr>
          </c:dPt>
          <c:dPt>
            <c:idx val="1"/>
            <c:invertIfNegative val="0"/>
            <c:bubble3D val="0"/>
            <c:spPr>
              <a:solidFill>
                <a:srgbClr val="002060"/>
              </a:solidFill>
              <a:ln>
                <a:noFill/>
              </a:ln>
              <a:effectLst/>
            </c:spPr>
          </c:dPt>
          <c:dPt>
            <c:idx val="2"/>
            <c:invertIfNegative val="0"/>
            <c:bubble3D val="0"/>
            <c:spPr>
              <a:solidFill>
                <a:srgbClr val="002060"/>
              </a:solidFill>
              <a:ln>
                <a:noFill/>
              </a:ln>
              <a:effectLst/>
            </c:spPr>
          </c:dPt>
          <c:dPt>
            <c:idx val="3"/>
            <c:invertIfNegative val="0"/>
            <c:bubble3D val="0"/>
            <c:spPr>
              <a:solidFill>
                <a:srgbClr val="002060"/>
              </a:solidFill>
              <a:ln>
                <a:noFill/>
              </a:ln>
              <a:effectLst/>
            </c:spPr>
          </c:dPt>
          <c:dPt>
            <c:idx val="4"/>
            <c:invertIfNegative val="0"/>
            <c:bubble3D val="0"/>
            <c:spPr>
              <a:solidFill>
                <a:srgbClr val="002060"/>
              </a:solidFill>
              <a:ln>
                <a:noFill/>
              </a:ln>
              <a:effectLst/>
            </c:spPr>
          </c:dPt>
          <c:dPt>
            <c:idx val="5"/>
            <c:invertIfNegative val="0"/>
            <c:bubble3D val="0"/>
            <c:spPr>
              <a:solidFill>
                <a:srgbClr val="002060"/>
              </a:solidFill>
              <a:ln>
                <a:noFill/>
              </a:ln>
              <a:effectLst/>
            </c:spPr>
          </c:dPt>
          <c:dPt>
            <c:idx val="6"/>
            <c:invertIfNegative val="0"/>
            <c:bubble3D val="0"/>
            <c:spPr>
              <a:solidFill>
                <a:srgbClr val="002060"/>
              </a:solidFill>
              <a:ln>
                <a:noFill/>
              </a:ln>
              <a:effectLst/>
            </c:spPr>
          </c:dPt>
          <c:dPt>
            <c:idx val="7"/>
            <c:invertIfNegative val="0"/>
            <c:bubble3D val="0"/>
            <c:spPr>
              <a:solidFill>
                <a:srgbClr val="002060"/>
              </a:solidFill>
              <a:ln>
                <a:noFill/>
              </a:ln>
              <a:effectLst/>
            </c:spPr>
          </c:dPt>
          <c:dPt>
            <c:idx val="8"/>
            <c:invertIfNegative val="0"/>
            <c:bubble3D val="0"/>
            <c:spPr>
              <a:solidFill>
                <a:srgbClr val="002060"/>
              </a:solidFill>
              <a:ln>
                <a:noFill/>
              </a:ln>
              <a:effectLst/>
            </c:spPr>
          </c:dPt>
          <c:dPt>
            <c:idx val="9"/>
            <c:invertIfNegative val="0"/>
            <c:bubble3D val="0"/>
            <c:spPr>
              <a:solidFill>
                <a:srgbClr val="002060"/>
              </a:solidFill>
              <a:ln>
                <a:noFill/>
              </a:ln>
              <a:effectLst/>
            </c:spPr>
          </c:dPt>
          <c:dPt>
            <c:idx val="10"/>
            <c:invertIfNegative val="0"/>
            <c:bubble3D val="0"/>
            <c:spPr>
              <a:solidFill>
                <a:srgbClr val="002060"/>
              </a:solidFill>
              <a:ln>
                <a:noFill/>
              </a:ln>
              <a:effectLst/>
            </c:spPr>
          </c:dPt>
          <c:dPt>
            <c:idx val="11"/>
            <c:invertIfNegative val="0"/>
            <c:bubble3D val="0"/>
            <c:spPr>
              <a:solidFill>
                <a:srgbClr val="002060"/>
              </a:solidFill>
              <a:ln>
                <a:noFill/>
              </a:ln>
              <a:effectLst/>
            </c:spPr>
          </c:dPt>
          <c:dPt>
            <c:idx val="12"/>
            <c:invertIfNegative val="0"/>
            <c:bubble3D val="0"/>
            <c:spPr>
              <a:solidFill>
                <a:srgbClr val="002060"/>
              </a:solidFill>
              <a:ln>
                <a:noFill/>
              </a:ln>
              <a:effectLst/>
            </c:spPr>
          </c:dPt>
          <c:dPt>
            <c:idx val="13"/>
            <c:invertIfNegative val="0"/>
            <c:bubble3D val="0"/>
            <c:spPr>
              <a:solidFill>
                <a:srgbClr val="002060"/>
              </a:solidFill>
              <a:ln>
                <a:noFill/>
              </a:ln>
              <a:effectLst/>
            </c:spPr>
          </c:dPt>
          <c:dPt>
            <c:idx val="14"/>
            <c:invertIfNegative val="0"/>
            <c:bubble3D val="0"/>
            <c:spPr>
              <a:solidFill>
                <a:srgbClr val="002060"/>
              </a:solidFill>
              <a:ln>
                <a:noFill/>
              </a:ln>
              <a:effectLst/>
            </c:spPr>
          </c:dPt>
          <c:dLbls>
            <c:delete val="1"/>
          </c:dLbls>
          <c:cat>
            <c:strRef>
              <c:f>企业收入!$H$2:$H$16</c:f>
              <c:strCache>
                <c:ptCount val="15"/>
                <c:pt idx="0">
                  <c:v>SABIC</c:v>
                </c:pt>
                <c:pt idx="1">
                  <c:v>Celanese</c:v>
                </c:pt>
                <c:pt idx="2">
                  <c:v>Borealis</c:v>
                </c:pt>
                <c:pt idx="3">
                  <c:v>Sumitomo Chemical</c:v>
                </c:pt>
                <c:pt idx="4">
                  <c:v>Mitsubishi Chemical</c:v>
                </c:pt>
                <c:pt idx="5">
                  <c:v>Trinseo</c:v>
                </c:pt>
                <c:pt idx="6">
                  <c:v>Avient</c:v>
                </c:pt>
                <c:pt idx="7">
                  <c:v>Daicel</c:v>
                </c:pt>
                <c:pt idx="8">
                  <c:v>金发科技</c:v>
                </c:pt>
                <c:pt idx="9">
                  <c:v>RTP</c:v>
                </c:pt>
                <c:pt idx="10">
                  <c:v>TechnoCompound</c:v>
                </c:pt>
                <c:pt idx="11">
                  <c:v>Mitsui Chemicals</c:v>
                </c:pt>
                <c:pt idx="12">
                  <c:v>Lotte Chemical</c:v>
                </c:pt>
                <c:pt idx="13">
                  <c:v>Kolon</c:v>
                </c:pt>
                <c:pt idx="14">
                  <c:v>上海普利特</c:v>
                </c:pt>
              </c:strCache>
            </c:strRef>
          </c:cat>
          <c:val>
            <c:numRef>
              <c:f>企业收入!$I$2:$I$16</c:f>
              <c:numCache>
                <c:formatCode>0.0%</c:formatCode>
                <c:ptCount val="15"/>
                <c:pt idx="0">
                  <c:v>0.202718341221258</c:v>
                </c:pt>
                <c:pt idx="1">
                  <c:v>0.149825348305759</c:v>
                </c:pt>
                <c:pt idx="2">
                  <c:v>0.111532332511287</c:v>
                </c:pt>
                <c:pt idx="3">
                  <c:v>0.0937692043704159</c:v>
                </c:pt>
                <c:pt idx="4">
                  <c:v>0.0500278006124116</c:v>
                </c:pt>
                <c:pt idx="5">
                  <c:v>0.0339406902532915</c:v>
                </c:pt>
                <c:pt idx="6">
                  <c:v>0.0298038527126215</c:v>
                </c:pt>
                <c:pt idx="7">
                  <c:v>0.0259729549257631</c:v>
                </c:pt>
                <c:pt idx="8">
                  <c:v>0.0225304676089611</c:v>
                </c:pt>
                <c:pt idx="9">
                  <c:v>0.020122854763748</c:v>
                </c:pt>
                <c:pt idx="10">
                  <c:v>0.0133097094636477</c:v>
                </c:pt>
                <c:pt idx="11">
                  <c:v>0.0125169264494228</c:v>
                </c:pt>
                <c:pt idx="12">
                  <c:v>0.0121471383991636</c:v>
                </c:pt>
                <c:pt idx="13">
                  <c:v>0.0038122753670612</c:v>
                </c:pt>
                <c:pt idx="14">
                  <c:v>0.00133815387971513</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PP-LGF</c:v>
                </c:pt>
              </c:strCache>
            </c:strRef>
          </c:tx>
          <c:spPr>
            <a:solidFill>
              <a:srgbClr val="00206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分类!$S$2:$AD$2</c:f>
              <c:numCache>
                <c:formatCode>0.0%</c:formatCode>
                <c:ptCount val="12"/>
                <c:pt idx="0">
                  <c:v>0.679187768358472</c:v>
                </c:pt>
                <c:pt idx="1">
                  <c:v>0.684634903779072</c:v>
                </c:pt>
                <c:pt idx="2">
                  <c:v>0.690012388517358</c:v>
                </c:pt>
                <c:pt idx="3">
                  <c:v>0.696183787903533</c:v>
                </c:pt>
                <c:pt idx="4">
                  <c:v>0.701341612329106</c:v>
                </c:pt>
                <c:pt idx="5">
                  <c:v>0.704423851287992</c:v>
                </c:pt>
                <c:pt idx="6">
                  <c:v>0.708178051379188</c:v>
                </c:pt>
                <c:pt idx="7">
                  <c:v>0.710581415159477</c:v>
                </c:pt>
                <c:pt idx="8">
                  <c:v>0.711812443259494</c:v>
                </c:pt>
                <c:pt idx="9">
                  <c:v>0.715082747483578</c:v>
                </c:pt>
                <c:pt idx="10">
                  <c:v>0.71887601365894</c:v>
                </c:pt>
                <c:pt idx="11">
                  <c:v>0.722</c:v>
                </c:pt>
              </c:numCache>
            </c:numRef>
          </c:val>
        </c:ser>
        <c:ser>
          <c:idx val="1"/>
          <c:order val="1"/>
          <c:tx>
            <c:strRef>
              <c:f>分类!$R$3</c:f>
              <c:strCache>
                <c:ptCount val="1"/>
                <c:pt idx="0">
                  <c:v>PP-SGF</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分类!$S$3:$AD$3</c:f>
              <c:numCache>
                <c:formatCode>0.0%</c:formatCode>
                <c:ptCount val="12"/>
                <c:pt idx="0">
                  <c:v>0.320812231641528</c:v>
                </c:pt>
                <c:pt idx="1">
                  <c:v>0.315365096220928</c:v>
                </c:pt>
                <c:pt idx="2">
                  <c:v>0.309987611482642</c:v>
                </c:pt>
                <c:pt idx="3">
                  <c:v>0.303816212096467</c:v>
                </c:pt>
                <c:pt idx="4">
                  <c:v>0.298658387670894</c:v>
                </c:pt>
                <c:pt idx="5">
                  <c:v>0.295576148712008</c:v>
                </c:pt>
                <c:pt idx="6">
                  <c:v>0.291821948620812</c:v>
                </c:pt>
                <c:pt idx="7">
                  <c:v>0.289418584840523</c:v>
                </c:pt>
                <c:pt idx="8">
                  <c:v>0.288187556740506</c:v>
                </c:pt>
                <c:pt idx="9">
                  <c:v>0.284917252516422</c:v>
                </c:pt>
                <c:pt idx="10">
                  <c:v>0.28112398634106</c:v>
                </c:pt>
                <c:pt idx="11">
                  <c:v>0.278</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汽车</c:v>
                </c:pt>
              </c:strCache>
            </c:strRef>
          </c:tx>
          <c:spPr>
            <a:solidFill>
              <a:srgbClr val="002060"/>
            </a:solidFill>
            <a:ln>
              <a:noFill/>
            </a:ln>
            <a:effectLst/>
          </c:spPr>
          <c:invertIfNegative val="0"/>
          <c:dLbls>
            <c:delete val="1"/>
          </c:dLbls>
          <c:cat>
            <c:numRef>
              <c:f>应用!$S$1:$AD$1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应用!$S$2:$AD$2</c:f>
              <c:numCache>
                <c:formatCode>0.0%</c:formatCode>
                <c:ptCount val="12"/>
                <c:pt idx="0">
                  <c:v>0.696324865132665</c:v>
                </c:pt>
                <c:pt idx="1">
                  <c:v>0.694525563218107</c:v>
                </c:pt>
                <c:pt idx="2">
                  <c:v>0.692445246677243</c:v>
                </c:pt>
                <c:pt idx="3">
                  <c:v>0.687827317763623</c:v>
                </c:pt>
                <c:pt idx="4">
                  <c:v>0.686084529823805</c:v>
                </c:pt>
                <c:pt idx="5">
                  <c:v>0.681406987298101</c:v>
                </c:pt>
                <c:pt idx="6">
                  <c:v>0.678546229430567</c:v>
                </c:pt>
                <c:pt idx="7">
                  <c:v>0.676794056724742</c:v>
                </c:pt>
                <c:pt idx="8">
                  <c:v>0.672828127557974</c:v>
                </c:pt>
                <c:pt idx="9">
                  <c:v>0.668457606333248</c:v>
                </c:pt>
                <c:pt idx="10">
                  <c:v>0.66402212918083</c:v>
                </c:pt>
                <c:pt idx="11">
                  <c:v>0.655</c:v>
                </c:pt>
              </c:numCache>
            </c:numRef>
          </c:val>
        </c:ser>
        <c:ser>
          <c:idx val="1"/>
          <c:order val="1"/>
          <c:tx>
            <c:strRef>
              <c:f>应用!$A$3</c:f>
              <c:strCache>
                <c:ptCount val="1"/>
                <c:pt idx="0">
                  <c:v>机械</c:v>
                </c:pt>
              </c:strCache>
            </c:strRef>
          </c:tx>
          <c:spPr>
            <a:solidFill>
              <a:schemeClr val="bg1">
                <a:lumMod val="50000"/>
              </a:schemeClr>
            </a:solidFill>
            <a:ln>
              <a:noFill/>
            </a:ln>
            <a:effectLst/>
          </c:spPr>
          <c:invertIfNegative val="0"/>
          <c:dLbls>
            <c:delete val="1"/>
          </c:dLbls>
          <c:cat>
            <c:numRef>
              <c:f>应用!$S$1:$AD$1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应用!$S$3:$AD$3</c:f>
              <c:numCache>
                <c:formatCode>0.0%</c:formatCode>
                <c:ptCount val="12"/>
                <c:pt idx="0">
                  <c:v>0.0872371463172961</c:v>
                </c:pt>
                <c:pt idx="1">
                  <c:v>0.0872347519000315</c:v>
                </c:pt>
                <c:pt idx="2">
                  <c:v>0.0875997107477395</c:v>
                </c:pt>
                <c:pt idx="3">
                  <c:v>0.0879144210354402</c:v>
                </c:pt>
                <c:pt idx="4">
                  <c:v>0.0879696507764219</c:v>
                </c:pt>
                <c:pt idx="5">
                  <c:v>0.0883892708317663</c:v>
                </c:pt>
                <c:pt idx="6">
                  <c:v>0.088893098141352</c:v>
                </c:pt>
                <c:pt idx="7">
                  <c:v>0.0894831466719273</c:v>
                </c:pt>
                <c:pt idx="8">
                  <c:v>0.0900364202294921</c:v>
                </c:pt>
                <c:pt idx="9">
                  <c:v>0.0906255944503131</c:v>
                </c:pt>
                <c:pt idx="10">
                  <c:v>0.0908118730081518</c:v>
                </c:pt>
                <c:pt idx="11">
                  <c:v>0.092</c:v>
                </c:pt>
              </c:numCache>
            </c:numRef>
          </c:val>
        </c:ser>
        <c:ser>
          <c:idx val="2"/>
          <c:order val="2"/>
          <c:tx>
            <c:strRef>
              <c:f>应用!$A$4</c:f>
              <c:strCache>
                <c:ptCount val="1"/>
                <c:pt idx="0">
                  <c:v>电子电器</c:v>
                </c:pt>
              </c:strCache>
            </c:strRef>
          </c:tx>
          <c:spPr>
            <a:solidFill>
              <a:schemeClr val="accent3"/>
            </a:solidFill>
            <a:ln>
              <a:noFill/>
            </a:ln>
            <a:effectLst/>
          </c:spPr>
          <c:invertIfNegative val="0"/>
          <c:dLbls>
            <c:delete val="1"/>
          </c:dLbls>
          <c:cat>
            <c:numRef>
              <c:f>应用!$S$1:$AD$1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应用!$S$4:$AD$4</c:f>
              <c:numCache>
                <c:formatCode>0.0%</c:formatCode>
                <c:ptCount val="12"/>
                <c:pt idx="0">
                  <c:v>0.174030469008037</c:v>
                </c:pt>
                <c:pt idx="1">
                  <c:v>0.17550981348513</c:v>
                </c:pt>
                <c:pt idx="2">
                  <c:v>0.177122164234743</c:v>
                </c:pt>
                <c:pt idx="3">
                  <c:v>0.181008764766727</c:v>
                </c:pt>
                <c:pt idx="4">
                  <c:v>0.182606127840252</c:v>
                </c:pt>
                <c:pt idx="5">
                  <c:v>0.186521845962521</c:v>
                </c:pt>
                <c:pt idx="6">
                  <c:v>0.18848585296555</c:v>
                </c:pt>
                <c:pt idx="7">
                  <c:v>0.189610028604478</c:v>
                </c:pt>
                <c:pt idx="8">
                  <c:v>0.192759326704129</c:v>
                </c:pt>
                <c:pt idx="9">
                  <c:v>0.196406383435123</c:v>
                </c:pt>
                <c:pt idx="10">
                  <c:v>0.200648973359663</c:v>
                </c:pt>
                <c:pt idx="11">
                  <c:v>0.208</c:v>
                </c:pt>
              </c:numCache>
            </c:numRef>
          </c:val>
        </c:ser>
        <c:ser>
          <c:idx val="3"/>
          <c:order val="3"/>
          <c:tx>
            <c:strRef>
              <c:f>应用!$A$5</c:f>
              <c:strCache>
                <c:ptCount val="1"/>
                <c:pt idx="0">
                  <c:v>其他</c:v>
                </c:pt>
              </c:strCache>
            </c:strRef>
          </c:tx>
          <c:spPr>
            <a:solidFill>
              <a:schemeClr val="accent4"/>
            </a:solidFill>
            <a:ln>
              <a:noFill/>
            </a:ln>
            <a:effectLst/>
          </c:spPr>
          <c:invertIfNegative val="0"/>
          <c:dLbls>
            <c:delete val="1"/>
          </c:dLbls>
          <c:cat>
            <c:numRef>
              <c:f>应用!$S$1:$AD$1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应用!$S$5:$AD$5</c:f>
              <c:numCache>
                <c:formatCode>0.0%</c:formatCode>
                <c:ptCount val="12"/>
                <c:pt idx="0">
                  <c:v>0.0424075195420015</c:v>
                </c:pt>
                <c:pt idx="1">
                  <c:v>0.0427298713967315</c:v>
                </c:pt>
                <c:pt idx="2">
                  <c:v>0.042832878340275</c:v>
                </c:pt>
                <c:pt idx="3">
                  <c:v>0.0432494964342098</c:v>
                </c:pt>
                <c:pt idx="4">
                  <c:v>0.0433396915595212</c:v>
                </c:pt>
                <c:pt idx="5">
                  <c:v>0.0436818959076116</c:v>
                </c:pt>
                <c:pt idx="6">
                  <c:v>0.0440748194625311</c:v>
                </c:pt>
                <c:pt idx="7">
                  <c:v>0.0441127679988522</c:v>
                </c:pt>
                <c:pt idx="8">
                  <c:v>0.0443761255084056</c:v>
                </c:pt>
                <c:pt idx="9">
                  <c:v>0.0445104157813151</c:v>
                </c:pt>
                <c:pt idx="10">
                  <c:v>0.044517024451355</c:v>
                </c:pt>
                <c:pt idx="11">
                  <c:v>0.045</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296037037037037"/>
          <c:h val="0.065846405228758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2019 Vs 2024 VS 2030</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2019</c:v>
                </c:pt>
              </c:strCache>
            </c:strRef>
          </c:tx>
          <c:spPr>
            <a:solidFill>
              <a:srgbClr val="FFC000"/>
            </a:solidFill>
            <a:ln>
              <a:noFill/>
            </a:ln>
            <a:effectLst/>
          </c:spPr>
          <c:invertIfNegative val="0"/>
          <c:dLbls>
            <c:delete val="1"/>
          </c:dLbls>
          <c:cat>
            <c:strRef>
              <c:f>'地区-消费'!$AD$2:$AD$6</c:f>
              <c:strCache>
                <c:ptCount val="5"/>
                <c:pt idx="0">
                  <c:v>欧洲</c:v>
                </c:pt>
                <c:pt idx="1">
                  <c:v>北美</c:v>
                </c:pt>
                <c:pt idx="2">
                  <c:v>亚太</c:v>
                </c:pt>
                <c:pt idx="3">
                  <c:v>南美洲</c:v>
                </c:pt>
                <c:pt idx="4">
                  <c:v>中东和非洲</c:v>
                </c:pt>
              </c:strCache>
            </c:strRef>
          </c:cat>
          <c:val>
            <c:numRef>
              <c:f>'地区-消费'!$AE$2:$AE$6</c:f>
              <c:numCache>
                <c:formatCode>#,##0_);[Red]\(#,##0\)</c:formatCode>
                <c:ptCount val="5"/>
                <c:pt idx="0">
                  <c:v>1097.09</c:v>
                </c:pt>
                <c:pt idx="1">
                  <c:v>964.66</c:v>
                </c:pt>
                <c:pt idx="2">
                  <c:v>774.31</c:v>
                </c:pt>
                <c:pt idx="3">
                  <c:v>46.27</c:v>
                </c:pt>
                <c:pt idx="4">
                  <c:v>24.23</c:v>
                </c:pt>
              </c:numCache>
            </c:numRef>
          </c:val>
        </c:ser>
        <c:ser>
          <c:idx val="1"/>
          <c:order val="1"/>
          <c:tx>
            <c:strRef>
              <c:f>'地区-消费'!$AF$1</c:f>
              <c:strCache>
                <c:ptCount val="1"/>
                <c:pt idx="0">
                  <c:v>2023</c:v>
                </c:pt>
              </c:strCache>
            </c:strRef>
          </c:tx>
          <c:spPr>
            <a:solidFill>
              <a:schemeClr val="bg1">
                <a:lumMod val="50000"/>
              </a:schemeClr>
            </a:solidFill>
            <a:ln>
              <a:noFill/>
            </a:ln>
            <a:effectLst/>
          </c:spPr>
          <c:invertIfNegative val="0"/>
          <c:dLbls>
            <c:delete val="1"/>
          </c:dLbls>
          <c:cat>
            <c:strRef>
              <c:f>'地区-消费'!$AD$2:$AD$6</c:f>
              <c:strCache>
                <c:ptCount val="5"/>
                <c:pt idx="0">
                  <c:v>欧洲</c:v>
                </c:pt>
                <c:pt idx="1">
                  <c:v>北美</c:v>
                </c:pt>
                <c:pt idx="2">
                  <c:v>亚太</c:v>
                </c:pt>
                <c:pt idx="3">
                  <c:v>南美洲</c:v>
                </c:pt>
                <c:pt idx="4">
                  <c:v>中东和非洲</c:v>
                </c:pt>
              </c:strCache>
            </c:strRef>
          </c:cat>
          <c:val>
            <c:numRef>
              <c:f>'地区-消费'!$AF$2:$AF$6</c:f>
              <c:numCache>
                <c:formatCode>#,##0_);[Red]\(#,##0\)</c:formatCode>
                <c:ptCount val="5"/>
                <c:pt idx="0">
                  <c:v>1336.8</c:v>
                </c:pt>
                <c:pt idx="1">
                  <c:v>1276.39</c:v>
                </c:pt>
                <c:pt idx="2">
                  <c:v>1059.81</c:v>
                </c:pt>
                <c:pt idx="3">
                  <c:v>57.05</c:v>
                </c:pt>
                <c:pt idx="4">
                  <c:v>28.86</c:v>
                </c:pt>
              </c:numCache>
            </c:numRef>
          </c:val>
        </c:ser>
        <c:ser>
          <c:idx val="2"/>
          <c:order val="2"/>
          <c:tx>
            <c:strRef>
              <c:f>'地区-消费'!$AG$1</c:f>
              <c:strCache>
                <c:ptCount val="1"/>
                <c:pt idx="0">
                  <c:v>2030</c:v>
                </c:pt>
              </c:strCache>
            </c:strRef>
          </c:tx>
          <c:spPr>
            <a:solidFill>
              <a:srgbClr val="002060"/>
            </a:solidFill>
            <a:ln>
              <a:noFill/>
            </a:ln>
            <a:effectLst/>
          </c:spPr>
          <c:invertIfNegative val="0"/>
          <c:dLbls>
            <c:delete val="1"/>
          </c:dLbls>
          <c:cat>
            <c:strRef>
              <c:f>'地区-消费'!$AD$2:$AD$6</c:f>
              <c:strCache>
                <c:ptCount val="5"/>
                <c:pt idx="0">
                  <c:v>欧洲</c:v>
                </c:pt>
                <c:pt idx="1">
                  <c:v>北美</c:v>
                </c:pt>
                <c:pt idx="2">
                  <c:v>亚太</c:v>
                </c:pt>
                <c:pt idx="3">
                  <c:v>南美洲</c:v>
                </c:pt>
                <c:pt idx="4">
                  <c:v>中东和非洲</c:v>
                </c:pt>
              </c:strCache>
            </c:strRef>
          </c:cat>
          <c:val>
            <c:numRef>
              <c:f>'地区-消费'!$AG$2:$AG$6</c:f>
              <c:numCache>
                <c:formatCode>#,##0_);[Red]\(#,##0\)</c:formatCode>
                <c:ptCount val="5"/>
                <c:pt idx="0">
                  <c:v>1780.61205</c:v>
                </c:pt>
                <c:pt idx="1">
                  <c:v>1879</c:v>
                </c:pt>
                <c:pt idx="2">
                  <c:v>1640</c:v>
                </c:pt>
                <c:pt idx="3">
                  <c:v>76</c:v>
                </c:pt>
                <c:pt idx="4">
                  <c:v>38</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欧洲</c:v>
                </c:pt>
              </c:strCache>
            </c:strRef>
          </c:tx>
          <c:spPr>
            <a:solidFill>
              <a:srgbClr val="00206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'地区-消费'!$B$2:$M$2</c:f>
              <c:numCache>
                <c:formatCode>#,##0_);[Red]\(#,##0\)</c:formatCode>
                <c:ptCount val="12"/>
                <c:pt idx="0">
                  <c:v>1097.09</c:v>
                </c:pt>
                <c:pt idx="1">
                  <c:v>1204.86</c:v>
                </c:pt>
                <c:pt idx="2">
                  <c:v>1307.91</c:v>
                </c:pt>
                <c:pt idx="3">
                  <c:v>1318.72</c:v>
                </c:pt>
                <c:pt idx="4">
                  <c:v>1336.8</c:v>
                </c:pt>
                <c:pt idx="5">
                  <c:v>1392.8</c:v>
                </c:pt>
                <c:pt idx="6">
                  <c:v>1452.5</c:v>
                </c:pt>
                <c:pt idx="7">
                  <c:v>1517.34</c:v>
                </c:pt>
                <c:pt idx="8">
                  <c:v>1582.17</c:v>
                </c:pt>
                <c:pt idx="9">
                  <c:v>1647.82</c:v>
                </c:pt>
                <c:pt idx="10">
                  <c:v>1718.9</c:v>
                </c:pt>
                <c:pt idx="11">
                  <c:v>1780.61205</c:v>
                </c:pt>
              </c:numCache>
            </c:numRef>
          </c:val>
        </c:ser>
        <c:ser>
          <c:idx val="1"/>
          <c:order val="1"/>
          <c:tx>
            <c:strRef>
              <c:f>'地区-消费'!$A$3</c:f>
              <c:strCache>
                <c:ptCount val="1"/>
                <c:pt idx="0">
                  <c:v>北美</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'地区-消费'!$B$3:$M$3</c:f>
              <c:numCache>
                <c:formatCode>#,##0_);[Red]\(#,##0\)</c:formatCode>
                <c:ptCount val="12"/>
                <c:pt idx="0">
                  <c:v>964.66</c:v>
                </c:pt>
                <c:pt idx="1">
                  <c:v>1078.1</c:v>
                </c:pt>
                <c:pt idx="2">
                  <c:v>1194.53</c:v>
                </c:pt>
                <c:pt idx="3">
                  <c:v>1238.61</c:v>
                </c:pt>
                <c:pt idx="4">
                  <c:v>1276.39</c:v>
                </c:pt>
                <c:pt idx="5">
                  <c:v>1361.27</c:v>
                </c:pt>
                <c:pt idx="6">
                  <c:v>1449.75</c:v>
                </c:pt>
                <c:pt idx="7">
                  <c:v>1531.66</c:v>
                </c:pt>
                <c:pt idx="8">
                  <c:v>1617.59</c:v>
                </c:pt>
                <c:pt idx="9">
                  <c:v>1704.13</c:v>
                </c:pt>
                <c:pt idx="10">
                  <c:v>1792.06</c:v>
                </c:pt>
                <c:pt idx="11">
                  <c:v>1879</c:v>
                </c:pt>
              </c:numCache>
            </c:numRef>
          </c:val>
        </c:ser>
        <c:ser>
          <c:idx val="2"/>
          <c:order val="2"/>
          <c:tx>
            <c:strRef>
              <c:f>'地区-消费'!$A$4</c:f>
              <c:strCache>
                <c:ptCount val="1"/>
                <c:pt idx="0">
                  <c:v>亚太</c:v>
                </c:pt>
              </c:strCache>
            </c:strRef>
          </c:tx>
          <c:spPr>
            <a:solidFill>
              <a:srgbClr val="0070C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'地区-消费'!$B$4:$M$4</c:f>
              <c:numCache>
                <c:formatCode>#,##0_);[Red]\(#,##0\)</c:formatCode>
                <c:ptCount val="12"/>
                <c:pt idx="0">
                  <c:v>774.31</c:v>
                </c:pt>
                <c:pt idx="1">
                  <c:v>878.61</c:v>
                </c:pt>
                <c:pt idx="2">
                  <c:v>980.62</c:v>
                </c:pt>
                <c:pt idx="3">
                  <c:v>1030.34</c:v>
                </c:pt>
                <c:pt idx="4">
                  <c:v>1059.81</c:v>
                </c:pt>
                <c:pt idx="5">
                  <c:v>1145.76</c:v>
                </c:pt>
                <c:pt idx="6">
                  <c:v>1230.09</c:v>
                </c:pt>
                <c:pt idx="7">
                  <c:v>1316.93</c:v>
                </c:pt>
                <c:pt idx="8">
                  <c:v>1406.35</c:v>
                </c:pt>
                <c:pt idx="9">
                  <c:v>1489.04</c:v>
                </c:pt>
                <c:pt idx="10">
                  <c:v>1565.28</c:v>
                </c:pt>
                <c:pt idx="11">
                  <c:v>1640</c:v>
                </c:pt>
              </c:numCache>
            </c:numRef>
          </c:val>
        </c:ser>
        <c:ser>
          <c:idx val="3"/>
          <c:order val="3"/>
          <c:tx>
            <c:strRef>
              <c:f>'地区-消费'!$A$5</c:f>
              <c:strCache>
                <c:ptCount val="1"/>
                <c:pt idx="0">
                  <c:v>南美洲</c:v>
                </c:pt>
              </c:strCache>
            </c:strRef>
          </c:tx>
          <c:spPr>
            <a:solidFill>
              <a:srgbClr val="FFC00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'地区-消费'!$B$5:$M$5</c:f>
              <c:numCache>
                <c:formatCode>#,##0_);[Red]\(#,##0\)</c:formatCode>
                <c:ptCount val="12"/>
                <c:pt idx="0">
                  <c:v>46.27</c:v>
                </c:pt>
                <c:pt idx="1">
                  <c:v>51.02</c:v>
                </c:pt>
                <c:pt idx="2">
                  <c:v>55.98</c:v>
                </c:pt>
                <c:pt idx="3">
                  <c:v>57.12</c:v>
                </c:pt>
                <c:pt idx="4">
                  <c:v>57.05</c:v>
                </c:pt>
                <c:pt idx="5">
                  <c:v>59.12</c:v>
                </c:pt>
                <c:pt idx="6">
                  <c:v>61.22</c:v>
                </c:pt>
                <c:pt idx="7">
                  <c:v>63.96</c:v>
                </c:pt>
                <c:pt idx="8">
                  <c:v>66.02</c:v>
                </c:pt>
                <c:pt idx="9">
                  <c:v>67.8</c:v>
                </c:pt>
                <c:pt idx="10">
                  <c:v>70.25</c:v>
                </c:pt>
                <c:pt idx="11">
                  <c:v>76</c:v>
                </c:pt>
              </c:numCache>
            </c:numRef>
          </c:val>
        </c:ser>
        <c:ser>
          <c:idx val="4"/>
          <c:order val="4"/>
          <c:tx>
            <c:strRef>
              <c:f>'地区-消费'!$A$6</c:f>
              <c:strCache>
                <c:ptCount val="1"/>
                <c:pt idx="0">
                  <c:v>中东和非洲</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'地区-消费'!$B$6:$M$6</c:f>
              <c:numCache>
                <c:formatCode>#,##0_);[Red]\(#,##0\)</c:formatCode>
                <c:ptCount val="12"/>
                <c:pt idx="0">
                  <c:v>24.23</c:v>
                </c:pt>
                <c:pt idx="1">
                  <c:v>26.83</c:v>
                </c:pt>
                <c:pt idx="2">
                  <c:v>28.78</c:v>
                </c:pt>
                <c:pt idx="3">
                  <c:v>29.01</c:v>
                </c:pt>
                <c:pt idx="4">
                  <c:v>28.86</c:v>
                </c:pt>
                <c:pt idx="5">
                  <c:v>29.43</c:v>
                </c:pt>
                <c:pt idx="6">
                  <c:v>29.94</c:v>
                </c:pt>
                <c:pt idx="7">
                  <c:v>30.95</c:v>
                </c:pt>
                <c:pt idx="8">
                  <c:v>31.3</c:v>
                </c:pt>
                <c:pt idx="9">
                  <c:v>32.75</c:v>
                </c:pt>
                <c:pt idx="10">
                  <c:v>34</c:v>
                </c:pt>
                <c:pt idx="11">
                  <c:v>38</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0.58117</cdr:x>
      <cdr:y>0.26249</cdr:y>
    </cdr:from>
    <cdr:to>
      <cdr:x>0.70364</cdr:x>
      <cdr:y>0.36837</cdr:y>
    </cdr:to>
    <cdr:sp>
      <cdr:nvSpPr>
        <cdr:cNvPr id="2" name="椭圆 1"/>
        <cdr:cNvSpPr/>
      </cdr:nvSpPr>
      <cdr:spPr xmlns:a="http://schemas.openxmlformats.org/drawingml/2006/main">
        <a:xfrm xmlns:a="http://schemas.openxmlformats.org/drawingml/2006/main" rot="20225765">
          <a:off x="3724168" y="803213"/>
          <a:ext cx="784788" cy="323993"/>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8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dr:relSizeAnchor xmlns:cdr="http://schemas.openxmlformats.org/drawingml/2006/chartDrawing">
    <cdr:from>
      <cdr:x>0.26682</cdr:x>
      <cdr:y>0.43205</cdr:y>
    </cdr:from>
    <cdr:to>
      <cdr:x>0.38929</cdr:x>
      <cdr:y>0.53844</cdr:y>
    </cdr:to>
    <cdr:sp>
      <cdr:nvSpPr>
        <cdr:cNvPr id="3" name="椭圆 2"/>
        <cdr:cNvSpPr/>
      </cdr:nvSpPr>
      <cdr:spPr xmlns:a="http://schemas.openxmlformats.org/drawingml/2006/main">
        <a:xfrm xmlns:a="http://schemas.openxmlformats.org/drawingml/2006/main" rot="20525960">
          <a:off x="1709792" y="1322086"/>
          <a:ext cx="784788" cy="325554"/>
        </a:xfrm>
        <a:prstGeom xmlns:a="http://schemas.openxmlformats.org/drawingml/2006/main" prst="ellipse">
          <a:avLst/>
        </a:prstGeom>
        <a:solidFill>
          <a:srgbClr val="FFC000"/>
        </a:solidFill>
        <a:ln>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9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7BF62E-A69E-4BBD-A81C-30329EA4F0B4}">
  <ds:schemaRefs/>
</ds:datastoreItem>
</file>

<file path=docProps/app.xml><?xml version="1.0" encoding="utf-8"?>
<Properties xmlns="http://schemas.openxmlformats.org/officeDocument/2006/extended-properties" xmlns:vt="http://schemas.openxmlformats.org/officeDocument/2006/docPropsVTypes">
  <Template>Normal</Template>
  <Pages>5</Pages>
  <Words>304</Words>
  <Characters>1736</Characters>
  <Lines>14</Lines>
  <Paragraphs>4</Paragraphs>
  <TotalTime>0</TotalTime>
  <ScaleCrop>false</ScaleCrop>
  <LinksUpToDate>false</LinksUpToDate>
  <CharactersWithSpaces>2036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2024-05-27T06:29:23Z</dcterms:modified>
  <cp:revision>883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AFBF0961E7CD4BDC9FBC4A4849ACEEC6_13</vt:lpwstr>
  </property>
</Properties>
</file>