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F585AF">
      <w:pPr>
        <w:jc w:val="center"/>
        <w:rPr>
          <w:rFonts w:hint="eastAsia"/>
          <w:b/>
          <w:bCs/>
        </w:rPr>
      </w:pPr>
      <w:r>
        <w:rPr>
          <w:rFonts w:hint="eastAsia"/>
          <w:b/>
          <w:bCs/>
        </w:rPr>
        <w:t>BS 5852</w:t>
      </w:r>
      <w:r>
        <w:rPr>
          <w:rFonts w:hint="eastAsia"/>
          <w:b/>
          <w:bCs/>
          <w:lang w:val="en-US" w:eastAsia="zh-CN"/>
        </w:rPr>
        <w:t>核心</w:t>
      </w:r>
      <w:r>
        <w:rPr>
          <w:rFonts w:hint="eastAsia"/>
          <w:b/>
          <w:bCs/>
        </w:rPr>
        <w:t>要点：从</w:t>
      </w:r>
      <w:r>
        <w:rPr>
          <w:rFonts w:hint="eastAsia"/>
          <w:b/>
          <w:bCs/>
          <w:lang w:val="en-US" w:eastAsia="zh-CN"/>
        </w:rPr>
        <w:t>适用范围</w:t>
      </w:r>
      <w:r>
        <w:rPr>
          <w:rFonts w:hint="eastAsia"/>
          <w:b/>
          <w:bCs/>
        </w:rPr>
        <w:t>到测试的全流程指南</w:t>
      </w:r>
    </w:p>
    <w:p w14:paraId="214C6F2C">
      <w:pPr>
        <w:jc w:val="center"/>
        <w:rPr>
          <w:rFonts w:hint="eastAsia"/>
          <w:b/>
          <w:bCs/>
        </w:rPr>
      </w:pPr>
    </w:p>
    <w:p w14:paraId="5066847E">
      <w:pPr>
        <w:rPr>
          <w:rFonts w:hint="eastAsia"/>
        </w:rPr>
      </w:pPr>
      <w:r>
        <w:rPr>
          <w:rFonts w:hint="eastAsia"/>
        </w:rPr>
        <w:t>BS 5852是英国针对软体家具防火性能的核心标准，涵盖软垫座椅或整套座椅中使用的椅套和填充物</w:t>
      </w:r>
      <w:r>
        <w:rPr>
          <w:rFonts w:hint="eastAsia"/>
          <w:lang w:val="en-US" w:eastAsia="zh-CN"/>
        </w:rPr>
        <w:t>的</w:t>
      </w:r>
      <w:r>
        <w:rPr>
          <w:rFonts w:hint="eastAsia"/>
        </w:rPr>
        <w:t>阻燃测试要求。为确保产品顺利通过认证并符合市场准入条件，企业在申请过程中需重点关注以下事项，涵盖产品分类、测试流程、材料合规性等关键环节。</w:t>
      </w:r>
    </w:p>
    <w:p w14:paraId="522CECEA">
      <w:pPr>
        <w:rPr>
          <w:rFonts w:hint="eastAsia"/>
        </w:rPr>
      </w:pPr>
    </w:p>
    <w:p w14:paraId="63AE649D">
      <w:pPr>
        <w:rPr>
          <w:rFonts w:hint="eastAsia"/>
          <w:b/>
          <w:bCs/>
        </w:rPr>
      </w:pPr>
      <w:r>
        <w:rPr>
          <w:rFonts w:hint="eastAsia"/>
          <w:b/>
          <w:bCs/>
        </w:rPr>
        <w:t>一、明确产品适用范围与分类</w:t>
      </w:r>
    </w:p>
    <w:p w14:paraId="1A9F7FE1">
      <w:pPr>
        <w:rPr>
          <w:rFonts w:hint="eastAsia" w:eastAsiaTheme="minorEastAsia"/>
          <w:lang w:eastAsia="zh-CN"/>
        </w:rPr>
      </w:pPr>
      <w:r>
        <w:rPr>
          <w:rFonts w:hint="eastAsia"/>
        </w:rPr>
        <w:t>适用产品类型</w:t>
      </w:r>
      <w:r>
        <w:rPr>
          <w:rFonts w:hint="eastAsia"/>
          <w:lang w:eastAsia="zh-CN"/>
        </w:rPr>
        <w:t>：</w:t>
      </w:r>
    </w:p>
    <w:p w14:paraId="3D346895">
      <w:pPr>
        <w:rPr>
          <w:rFonts w:hint="eastAsia" w:eastAsiaTheme="minorEastAsia"/>
          <w:lang w:eastAsia="zh-CN"/>
        </w:rPr>
      </w:pPr>
      <w:r>
        <w:rPr>
          <w:rFonts w:hint="eastAsia"/>
        </w:rPr>
        <w:t>BS 5852主要适用于软体家具，包括沙发、床垫、座椅、靠垫等，需常见家居用品</w:t>
      </w:r>
      <w:r>
        <w:rPr>
          <w:rFonts w:hint="eastAsia"/>
          <w:lang w:eastAsia="zh-CN"/>
        </w:rPr>
        <w:t>，</w:t>
      </w:r>
    </w:p>
    <w:p w14:paraId="227B93B1">
      <w:pPr>
        <w:rPr>
          <w:rFonts w:hint="eastAsia"/>
        </w:rPr>
      </w:pPr>
      <w:r>
        <w:rPr>
          <w:rFonts w:hint="eastAsia"/>
        </w:rPr>
        <w:t xml:space="preserve">特殊场景：户外家具若用于室内（如篷车、花园家具），仍需符合标准 </w:t>
      </w:r>
    </w:p>
    <w:p w14:paraId="463A0092">
      <w:pPr>
        <w:rPr>
          <w:rFonts w:hint="eastAsia"/>
        </w:rPr>
      </w:pPr>
      <w:r>
        <w:rPr>
          <w:rFonts w:hint="eastAsia"/>
        </w:rPr>
        <w:t>豁免产品：床单、地毯、独立填充物等不属于测试范围</w:t>
      </w:r>
    </w:p>
    <w:p w14:paraId="1169FB01">
      <w:pPr>
        <w:rPr>
          <w:rFonts w:hint="eastAsia"/>
        </w:rPr>
      </w:pPr>
    </w:p>
    <w:p w14:paraId="53FDEB98">
      <w:pPr>
        <w:numPr>
          <w:ilvl w:val="0"/>
          <w:numId w:val="1"/>
        </w:numPr>
        <w:rPr>
          <w:rFonts w:hint="eastAsia"/>
          <w:b/>
          <w:bCs/>
        </w:rPr>
      </w:pPr>
      <w:r>
        <w:rPr>
          <w:rFonts w:hint="eastAsia"/>
          <w:b/>
          <w:bCs/>
        </w:rPr>
        <w:t>严格遵循测试火源</w:t>
      </w:r>
    </w:p>
    <w:p w14:paraId="6BF099D6">
      <w:pPr>
        <w:numPr>
          <w:ilvl w:val="0"/>
          <w:numId w:val="0"/>
        </w:numPr>
        <w:rPr>
          <w:rFonts w:hint="eastAsia"/>
          <w:lang w:val="en-US" w:eastAsia="zh-CN"/>
        </w:rPr>
      </w:pPr>
      <w:r>
        <w:rPr>
          <w:rFonts w:hint="eastAsia"/>
        </w:rPr>
        <w:t>BS 5852</w:t>
      </w:r>
      <w:r>
        <w:rPr>
          <w:rFonts w:hint="eastAsia"/>
          <w:lang w:val="en-US" w:eastAsia="zh-CN"/>
        </w:rPr>
        <w:t>标准针对软座整个家具，划分为7个点火源。客户可根据产品使用场景和合规要求，选择对应的点火源进行检测。</w:t>
      </w:r>
    </w:p>
    <w:p w14:paraId="17EA0D32">
      <w:pPr>
        <w:numPr>
          <w:ilvl w:val="0"/>
          <w:numId w:val="0"/>
        </w:numPr>
        <w:rPr>
          <w:rFonts w:hint="eastAsia"/>
          <w:lang w:val="en-US" w:eastAsia="zh-CN"/>
        </w:rPr>
      </w:pPr>
      <w:r>
        <w:rPr>
          <w:rFonts w:hint="eastAsia"/>
          <w:lang w:val="en-US" w:eastAsia="zh-CN"/>
        </w:rPr>
        <w:t>针对软体家具所有组成材料，需根据标准中指定的点火源进行试验。火源类型包括香烟和模拟火柴、5号小木架、2号丁烷火源。</w:t>
      </w:r>
    </w:p>
    <w:p w14:paraId="0232617F">
      <w:pPr>
        <w:numPr>
          <w:ilvl w:val="0"/>
          <w:numId w:val="0"/>
        </w:numPr>
        <w:rPr>
          <w:rFonts w:hint="default" w:eastAsiaTheme="minorEastAsia"/>
          <w:b/>
          <w:bCs/>
          <w:lang w:val="en-US" w:eastAsia="zh-CN"/>
        </w:rPr>
      </w:pPr>
    </w:p>
    <w:p w14:paraId="544CBAA0">
      <w:pPr>
        <w:numPr>
          <w:ilvl w:val="0"/>
          <w:numId w:val="0"/>
        </w:numPr>
        <w:rPr>
          <w:rFonts w:hint="eastAsia"/>
          <w:b/>
          <w:bCs/>
          <w:lang w:val="en-US" w:eastAsia="zh-CN"/>
        </w:rPr>
      </w:pPr>
      <w:r>
        <w:rPr>
          <w:rFonts w:hint="eastAsia"/>
          <w:b/>
          <w:bCs/>
          <w:lang w:val="en-US" w:eastAsia="zh-CN"/>
        </w:rPr>
        <w:t>三、豁免条件</w:t>
      </w:r>
    </w:p>
    <w:p w14:paraId="0223053F">
      <w:pPr>
        <w:numPr>
          <w:ilvl w:val="0"/>
          <w:numId w:val="0"/>
        </w:numPr>
        <w:rPr>
          <w:rFonts w:hint="eastAsia"/>
          <w:b w:val="0"/>
          <w:bCs w:val="0"/>
          <w:lang w:val="en-US" w:eastAsia="zh-CN"/>
        </w:rPr>
      </w:pPr>
      <w:r>
        <w:rPr>
          <w:rFonts w:hint="eastAsia"/>
          <w:b w:val="0"/>
          <w:bCs w:val="0"/>
          <w:lang w:val="en-US" w:eastAsia="zh-CN"/>
        </w:rPr>
        <w:t xml:space="preserve">天然纤维豁免：若织物中棉、羊毛、亚麻等天然纤维占比超过75%，且未经阻燃涂层处理，可免测部分火源，但需通过夹层材料测试 </w:t>
      </w:r>
    </w:p>
    <w:p w14:paraId="2AFEBBFF">
      <w:pPr>
        <w:numPr>
          <w:ilvl w:val="0"/>
          <w:numId w:val="0"/>
        </w:numPr>
        <w:rPr>
          <w:rFonts w:hint="eastAsia"/>
          <w:b w:val="0"/>
          <w:bCs w:val="0"/>
          <w:lang w:val="en-US" w:eastAsia="zh-CN"/>
        </w:rPr>
      </w:pPr>
      <w:r>
        <w:rPr>
          <w:rFonts w:hint="eastAsia"/>
          <w:b w:val="0"/>
          <w:bCs w:val="0"/>
          <w:lang w:val="en-US" w:eastAsia="zh-CN"/>
        </w:rPr>
        <w:t>填充物要求：聚氨酯泡沫需通过Schedule 1测试，乳胶泡沫需通过Part III测试；混合填充物需单独或组合测试</w:t>
      </w:r>
    </w:p>
    <w:p w14:paraId="63490D51">
      <w:pPr>
        <w:numPr>
          <w:ilvl w:val="0"/>
          <w:numId w:val="0"/>
        </w:numPr>
        <w:ind w:leftChars="0"/>
        <w:rPr>
          <w:rFonts w:hint="eastAsia"/>
          <w:b/>
          <w:bCs/>
          <w:lang w:val="en-US" w:eastAsia="zh-CN"/>
        </w:rPr>
      </w:pPr>
    </w:p>
    <w:p w14:paraId="36F49826">
      <w:pPr>
        <w:numPr>
          <w:ilvl w:val="0"/>
          <w:numId w:val="0"/>
        </w:numPr>
        <w:ind w:leftChars="0"/>
        <w:rPr>
          <w:rFonts w:hint="eastAsia"/>
          <w:b/>
          <w:bCs/>
          <w:lang w:val="en-US" w:eastAsia="zh-CN"/>
        </w:rPr>
      </w:pPr>
      <w:r>
        <w:rPr>
          <w:rFonts w:hint="eastAsia"/>
          <w:b/>
          <w:bCs/>
          <w:lang w:val="en-US" w:eastAsia="zh-CN"/>
        </w:rPr>
        <w:t>四、测试流程</w:t>
      </w:r>
    </w:p>
    <w:p w14:paraId="0F63A83A">
      <w:pPr>
        <w:numPr>
          <w:ilvl w:val="0"/>
          <w:numId w:val="2"/>
        </w:numPr>
        <w:ind w:left="420" w:leftChars="0" w:hanging="420" w:firstLineChars="0"/>
        <w:rPr>
          <w:rFonts w:hint="default"/>
          <w:b w:val="0"/>
          <w:bCs w:val="0"/>
          <w:lang w:val="en-US" w:eastAsia="zh-CN"/>
        </w:rPr>
      </w:pPr>
      <w:r>
        <w:rPr>
          <w:rFonts w:hint="default"/>
          <w:b w:val="0"/>
          <w:bCs w:val="0"/>
          <w:lang w:val="en-US" w:eastAsia="zh-CN"/>
        </w:rPr>
        <w:t>选择认证实验室</w:t>
      </w:r>
    </w:p>
    <w:p w14:paraId="04320332">
      <w:pPr>
        <w:numPr>
          <w:ilvl w:val="0"/>
          <w:numId w:val="2"/>
        </w:numPr>
        <w:ind w:left="420" w:leftChars="0" w:hanging="420" w:firstLineChars="0"/>
        <w:rPr>
          <w:rFonts w:hint="default"/>
          <w:b w:val="0"/>
          <w:bCs w:val="0"/>
          <w:lang w:val="en-US" w:eastAsia="zh-CN"/>
        </w:rPr>
      </w:pPr>
      <w:r>
        <w:rPr>
          <w:rFonts w:hint="default"/>
          <w:b w:val="0"/>
          <w:bCs w:val="0"/>
          <w:lang w:val="en-US" w:eastAsia="zh-CN"/>
        </w:rPr>
        <w:t>提交申请表：明确产品信息、测试火源及适用条款</w:t>
      </w:r>
    </w:p>
    <w:p w14:paraId="754B6F40">
      <w:pPr>
        <w:numPr>
          <w:ilvl w:val="0"/>
          <w:numId w:val="2"/>
        </w:numPr>
        <w:ind w:left="420" w:leftChars="0" w:hanging="420" w:firstLineChars="0"/>
        <w:rPr>
          <w:rFonts w:hint="default"/>
          <w:b w:val="0"/>
          <w:bCs w:val="0"/>
          <w:lang w:val="en-US" w:eastAsia="zh-CN"/>
        </w:rPr>
      </w:pPr>
      <w:r>
        <w:rPr>
          <w:rFonts w:hint="default"/>
          <w:b w:val="0"/>
          <w:bCs w:val="0"/>
          <w:lang w:val="en-US" w:eastAsia="zh-CN"/>
        </w:rPr>
        <w:t>报价与合同：实验室根据测试项目出具报价单，确认后签订合同 </w:t>
      </w:r>
    </w:p>
    <w:p w14:paraId="06BA3072">
      <w:pPr>
        <w:numPr>
          <w:ilvl w:val="0"/>
          <w:numId w:val="2"/>
        </w:numPr>
        <w:ind w:left="420" w:leftChars="0" w:hanging="420" w:firstLineChars="0"/>
        <w:rPr>
          <w:rFonts w:hint="default"/>
          <w:b/>
          <w:bCs/>
          <w:lang w:val="en-US" w:eastAsia="zh-CN"/>
        </w:rPr>
      </w:pPr>
      <w:r>
        <w:rPr>
          <w:rFonts w:hint="default"/>
          <w:b w:val="0"/>
          <w:bCs w:val="0"/>
          <w:lang w:val="en-US" w:eastAsia="zh-CN"/>
        </w:rPr>
        <w:t>送样</w:t>
      </w:r>
      <w:r>
        <w:rPr>
          <w:rFonts w:hint="eastAsia"/>
          <w:b w:val="0"/>
          <w:bCs w:val="0"/>
          <w:lang w:val="en-US" w:eastAsia="zh-CN"/>
        </w:rPr>
        <w:t>测试：根据标准要求送样至实验室进行测试</w:t>
      </w:r>
    </w:p>
    <w:p w14:paraId="45684A28">
      <w:pPr>
        <w:numPr>
          <w:ilvl w:val="0"/>
          <w:numId w:val="0"/>
        </w:numPr>
        <w:ind w:leftChars="0"/>
        <w:rPr>
          <w:rFonts w:hint="default"/>
          <w:b w:val="0"/>
          <w:bCs w:val="0"/>
          <w:lang w:val="en-US" w:eastAsia="zh-CN"/>
        </w:rPr>
      </w:pPr>
    </w:p>
    <w:p w14:paraId="17C3A7E6">
      <w:pPr>
        <w:numPr>
          <w:ilvl w:val="0"/>
          <w:numId w:val="0"/>
        </w:numPr>
        <w:ind w:leftChars="0"/>
        <w:rPr>
          <w:rFonts w:hint="default"/>
          <w:b w:val="0"/>
          <w:bCs w:val="0"/>
          <w:lang w:val="en-US" w:eastAsia="zh-CN"/>
        </w:rPr>
      </w:pPr>
    </w:p>
    <w:p w14:paraId="15DC8949">
      <w:pPr>
        <w:numPr>
          <w:ilvl w:val="0"/>
          <w:numId w:val="0"/>
        </w:numPr>
        <w:ind w:leftChars="0"/>
        <w:rPr>
          <w:rFonts w:hint="default"/>
          <w:b/>
          <w:bCs/>
          <w:lang w:val="en-US" w:eastAsia="zh-CN"/>
        </w:rPr>
      </w:pPr>
    </w:p>
    <w:p w14:paraId="64218B7A">
      <w:pPr>
        <w:numPr>
          <w:ilvl w:val="0"/>
          <w:numId w:val="0"/>
        </w:numPr>
        <w:ind w:leftChars="0"/>
        <w:rPr>
          <w:rFonts w:hint="default"/>
          <w:b/>
          <w:bCs/>
          <w:lang w:val="en-US" w:eastAsia="zh-CN"/>
        </w:rPr>
      </w:pPr>
    </w:p>
    <w:p w14:paraId="5B7B06FC">
      <w:pPr>
        <w:numPr>
          <w:ilvl w:val="0"/>
          <w:numId w:val="0"/>
        </w:numPr>
        <w:ind w:leftChars="0"/>
        <w:rPr>
          <w:rFonts w:hint="default"/>
          <w:b/>
          <w:bCs/>
          <w:lang w:val="en-US" w:eastAsia="zh-CN"/>
        </w:rPr>
      </w:pPr>
    </w:p>
    <w:p w14:paraId="4BE7AB39">
      <w:pPr>
        <w:numPr>
          <w:ilvl w:val="0"/>
          <w:numId w:val="0"/>
        </w:numPr>
        <w:ind w:leftChars="0"/>
        <w:rPr>
          <w:rFonts w:hint="default"/>
          <w:b/>
          <w:bCs/>
          <w:lang w:val="en-US" w:eastAsia="zh-CN"/>
        </w:rPr>
      </w:pPr>
    </w:p>
    <w:p w14:paraId="3F9471E0">
      <w:pPr>
        <w:numPr>
          <w:ilvl w:val="0"/>
          <w:numId w:val="0"/>
        </w:numPr>
        <w:ind w:leftChars="0"/>
        <w:rPr>
          <w:rFonts w:hint="default"/>
          <w:b/>
          <w:bCs/>
          <w:lang w:val="en-US" w:eastAsia="zh-CN"/>
        </w:rPr>
      </w:pPr>
    </w:p>
    <w:p w14:paraId="640D2A1D">
      <w:pPr>
        <w:numPr>
          <w:ilvl w:val="0"/>
          <w:numId w:val="0"/>
        </w:numPr>
        <w:ind w:leftChars="0"/>
        <w:rPr>
          <w:rFonts w:hint="default"/>
          <w:b/>
          <w:bCs/>
          <w:lang w:val="en-US" w:eastAsia="zh-CN"/>
        </w:rPr>
      </w:pPr>
    </w:p>
    <w:p w14:paraId="1B96025B">
      <w:pPr>
        <w:numPr>
          <w:ilvl w:val="0"/>
          <w:numId w:val="0"/>
        </w:numPr>
        <w:ind w:leftChars="0"/>
        <w:rPr>
          <w:rFonts w:hint="default"/>
          <w:b/>
          <w:bCs/>
          <w:lang w:val="en-US" w:eastAsia="zh-CN"/>
        </w:rPr>
      </w:pPr>
    </w:p>
    <w:p w14:paraId="3DB51D03">
      <w:pPr>
        <w:numPr>
          <w:ilvl w:val="0"/>
          <w:numId w:val="0"/>
        </w:numPr>
        <w:ind w:leftChars="0"/>
        <w:rPr>
          <w:rFonts w:hint="default"/>
          <w:b/>
          <w:bCs/>
          <w:lang w:val="en-US" w:eastAsia="zh-CN"/>
        </w:rPr>
      </w:pPr>
    </w:p>
    <w:p w14:paraId="5D01FFDE">
      <w:pPr>
        <w:numPr>
          <w:ilvl w:val="0"/>
          <w:numId w:val="0"/>
        </w:numPr>
        <w:ind w:leftChars="0"/>
        <w:rPr>
          <w:rFonts w:hint="default"/>
          <w:b/>
          <w:bCs/>
          <w:lang w:val="en-US" w:eastAsia="zh-CN"/>
        </w:rPr>
      </w:pPr>
    </w:p>
    <w:p w14:paraId="04E77D9A">
      <w:pPr>
        <w:numPr>
          <w:ilvl w:val="0"/>
          <w:numId w:val="0"/>
        </w:numPr>
        <w:ind w:leftChars="0"/>
        <w:rPr>
          <w:rFonts w:hint="default"/>
          <w:b/>
          <w:bCs/>
          <w:lang w:val="en-US" w:eastAsia="zh-CN"/>
        </w:rPr>
      </w:pPr>
    </w:p>
    <w:p w14:paraId="3D1BB05D">
      <w:pPr>
        <w:numPr>
          <w:ilvl w:val="0"/>
          <w:numId w:val="0"/>
        </w:numPr>
        <w:ind w:leftChars="0"/>
        <w:rPr>
          <w:rFonts w:hint="default"/>
          <w:b/>
          <w:bCs/>
          <w:lang w:val="en-US" w:eastAsia="zh-CN"/>
        </w:rPr>
      </w:pPr>
    </w:p>
    <w:p w14:paraId="0E28BCAB">
      <w:pPr>
        <w:numPr>
          <w:ilvl w:val="0"/>
          <w:numId w:val="0"/>
        </w:numPr>
        <w:ind w:leftChars="0"/>
        <w:rPr>
          <w:rFonts w:hint="default"/>
          <w:b/>
          <w:bCs/>
          <w:lang w:val="en-US" w:eastAsia="zh-CN"/>
        </w:rPr>
      </w:pPr>
    </w:p>
    <w:p w14:paraId="2375C43D">
      <w:pPr>
        <w:numPr>
          <w:ilvl w:val="0"/>
          <w:numId w:val="0"/>
        </w:numPr>
        <w:ind w:leftChars="0"/>
        <w:rPr>
          <w:rFonts w:hint="default"/>
          <w:b/>
          <w:bCs/>
          <w:lang w:val="en-US" w:eastAsia="zh-CN"/>
        </w:rPr>
      </w:pPr>
    </w:p>
    <w:p w14:paraId="707AC5A4">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ascii="Arial" w:hAnsi="Arial" w:cs="Arial"/>
          <w:b/>
          <w:bCs/>
          <w:lang w:val="en-US" w:eastAsia="zh-CN"/>
        </w:rPr>
      </w:pPr>
      <w:r>
        <w:rPr>
          <w:rFonts w:hint="default" w:ascii="Arial" w:hAnsi="Arial" w:cs="Arial"/>
          <w:b/>
          <w:bCs/>
          <w:lang w:val="en-US" w:eastAsia="zh-CN"/>
        </w:rPr>
        <w:t>BS 5852 core points: a full guide from scope of application to testing</w:t>
      </w:r>
    </w:p>
    <w:p w14:paraId="2D6635F3">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default" w:ascii="Arial" w:hAnsi="Arial" w:cs="Arial"/>
          <w:b/>
          <w:bCs/>
          <w:lang w:val="en-US" w:eastAsia="zh-CN"/>
        </w:rPr>
      </w:pPr>
    </w:p>
    <w:p w14:paraId="6CB467AB">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ascii="Arial" w:hAnsi="Arial" w:cs="Arial"/>
          <w:b w:val="0"/>
          <w:bCs w:val="0"/>
          <w:lang w:val="en-US" w:eastAsia="zh-CN"/>
        </w:rPr>
      </w:pPr>
      <w:r>
        <w:rPr>
          <w:rFonts w:hint="default" w:ascii="Arial" w:hAnsi="Arial" w:cs="Arial"/>
          <w:b w:val="0"/>
          <w:bCs w:val="0"/>
          <w:lang w:val="en-US" w:eastAsia="zh-CN"/>
        </w:rPr>
        <w:t>BS 5852 is the core standard for fire resistance of soft furniture in the UK, covering the flame retardant test requirements for chair covers and fillings used in upholstered seats or complete sets of seats. To ensure that the product passes the certification smoothly and meets the market access conditions, companies need to focus on the following issues during the application process, covering key links such as product classification, testing process, and material compliance.</w:t>
      </w:r>
    </w:p>
    <w:p w14:paraId="3ACFE84E">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ascii="Arial" w:hAnsi="Arial" w:cs="Arial"/>
          <w:b w:val="0"/>
          <w:bCs w:val="0"/>
          <w:lang w:val="en-US" w:eastAsia="zh-CN"/>
        </w:rPr>
      </w:pPr>
    </w:p>
    <w:p w14:paraId="0ACE26CA">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default" w:ascii="Arial" w:hAnsi="Arial" w:cs="Arial"/>
          <w:b w:val="0"/>
          <w:bCs w:val="0"/>
          <w:lang w:val="en-US" w:eastAsia="zh-CN"/>
        </w:rPr>
      </w:pPr>
    </w:p>
    <w:p w14:paraId="3959D479">
      <w:pPr>
        <w:keepNext w:val="0"/>
        <w:keepLines w:val="0"/>
        <w:pageBreakBefore w:val="0"/>
        <w:widowControl w:val="0"/>
        <w:numPr>
          <w:ilvl w:val="0"/>
          <w:numId w:val="3"/>
        </w:numPr>
        <w:kinsoku/>
        <w:wordWrap/>
        <w:overflowPunct/>
        <w:topLinePunct w:val="0"/>
        <w:autoSpaceDE/>
        <w:autoSpaceDN/>
        <w:bidi w:val="0"/>
        <w:adjustRightInd/>
        <w:snapToGrid/>
        <w:ind w:leftChars="0"/>
        <w:jc w:val="both"/>
        <w:textAlignment w:val="auto"/>
        <w:rPr>
          <w:rFonts w:hint="default" w:ascii="Arial" w:hAnsi="Arial" w:cs="Arial"/>
          <w:b/>
          <w:bCs/>
          <w:lang w:val="en-US" w:eastAsia="zh-CN"/>
        </w:rPr>
      </w:pPr>
      <w:r>
        <w:rPr>
          <w:rFonts w:hint="default" w:ascii="Arial" w:hAnsi="Arial" w:cs="Arial"/>
          <w:b/>
          <w:bCs/>
          <w:lang w:val="en-US" w:eastAsia="zh-CN"/>
        </w:rPr>
        <w:t>Clarify product scope and classification</w:t>
      </w:r>
    </w:p>
    <w:p w14:paraId="44192B2E">
      <w:pPr>
        <w:keepNext w:val="0"/>
        <w:keepLines w:val="0"/>
        <w:pageBreakBefore w:val="0"/>
        <w:widowControl w:val="0"/>
        <w:numPr>
          <w:numId w:val="0"/>
        </w:numPr>
        <w:kinsoku/>
        <w:wordWrap/>
        <w:overflowPunct/>
        <w:topLinePunct w:val="0"/>
        <w:autoSpaceDE/>
        <w:autoSpaceDN/>
        <w:bidi w:val="0"/>
        <w:adjustRightInd/>
        <w:snapToGrid/>
        <w:jc w:val="both"/>
        <w:textAlignment w:val="auto"/>
        <w:rPr>
          <w:rFonts w:hint="default" w:ascii="Arial" w:hAnsi="Arial" w:cs="Arial"/>
          <w:b w:val="0"/>
          <w:bCs w:val="0"/>
          <w:lang w:val="en-US" w:eastAsia="zh-CN"/>
        </w:rPr>
      </w:pPr>
      <w:r>
        <w:rPr>
          <w:rFonts w:hint="default" w:ascii="Arial" w:hAnsi="Arial" w:cs="Arial"/>
          <w:b w:val="0"/>
          <w:bCs w:val="0"/>
          <w:lang w:val="en-US" w:eastAsia="zh-CN"/>
        </w:rPr>
        <w:t>Applicable product types:</w:t>
      </w:r>
    </w:p>
    <w:p w14:paraId="48582CE7">
      <w:pPr>
        <w:keepNext w:val="0"/>
        <w:keepLines w:val="0"/>
        <w:pageBreakBefore w:val="0"/>
        <w:widowControl w:val="0"/>
        <w:numPr>
          <w:numId w:val="0"/>
        </w:numPr>
        <w:kinsoku/>
        <w:wordWrap/>
        <w:overflowPunct/>
        <w:topLinePunct w:val="0"/>
        <w:autoSpaceDE/>
        <w:autoSpaceDN/>
        <w:bidi w:val="0"/>
        <w:adjustRightInd/>
        <w:snapToGrid/>
        <w:jc w:val="both"/>
        <w:textAlignment w:val="auto"/>
        <w:rPr>
          <w:rFonts w:hint="default" w:ascii="Arial" w:hAnsi="Arial" w:cs="Arial"/>
          <w:b w:val="0"/>
          <w:bCs w:val="0"/>
          <w:lang w:val="en-US" w:eastAsia="zh-CN"/>
        </w:rPr>
      </w:pPr>
      <w:r>
        <w:rPr>
          <w:rFonts w:hint="default" w:ascii="Arial" w:hAnsi="Arial" w:cs="Arial"/>
          <w:b w:val="0"/>
          <w:bCs w:val="0"/>
          <w:lang w:val="en-US" w:eastAsia="zh-CN"/>
        </w:rPr>
        <w:t>BS 5852 is mainly applicable to soft furniture, including sofas, mattresses, seats, cushions, etc., which are common household items.</w:t>
      </w:r>
    </w:p>
    <w:p w14:paraId="7B8E8081">
      <w:pPr>
        <w:keepNext w:val="0"/>
        <w:keepLines w:val="0"/>
        <w:pageBreakBefore w:val="0"/>
        <w:widowControl w:val="0"/>
        <w:numPr>
          <w:numId w:val="0"/>
        </w:numPr>
        <w:kinsoku/>
        <w:wordWrap/>
        <w:overflowPunct/>
        <w:topLinePunct w:val="0"/>
        <w:autoSpaceDE/>
        <w:autoSpaceDN/>
        <w:bidi w:val="0"/>
        <w:adjustRightInd/>
        <w:snapToGrid/>
        <w:jc w:val="both"/>
        <w:textAlignment w:val="auto"/>
        <w:rPr>
          <w:rFonts w:hint="default" w:ascii="Arial" w:hAnsi="Arial" w:cs="Arial"/>
          <w:b w:val="0"/>
          <w:bCs w:val="0"/>
          <w:lang w:val="en-US" w:eastAsia="zh-CN"/>
        </w:rPr>
      </w:pPr>
      <w:r>
        <w:rPr>
          <w:rFonts w:hint="default" w:ascii="Arial" w:hAnsi="Arial" w:cs="Arial"/>
          <w:b w:val="0"/>
          <w:bCs w:val="0"/>
          <w:lang w:val="en-US" w:eastAsia="zh-CN"/>
        </w:rPr>
        <w:t>Special scenarios: If outdoor furniture is used indoors (such as caravans and garden furniture), it still needs to comply with the standard</w:t>
      </w:r>
    </w:p>
    <w:p w14:paraId="1159844A">
      <w:pPr>
        <w:keepNext w:val="0"/>
        <w:keepLines w:val="0"/>
        <w:pageBreakBefore w:val="0"/>
        <w:widowControl w:val="0"/>
        <w:numPr>
          <w:numId w:val="0"/>
        </w:numPr>
        <w:kinsoku/>
        <w:wordWrap/>
        <w:overflowPunct/>
        <w:topLinePunct w:val="0"/>
        <w:autoSpaceDE/>
        <w:autoSpaceDN/>
        <w:bidi w:val="0"/>
        <w:adjustRightInd/>
        <w:snapToGrid/>
        <w:jc w:val="both"/>
        <w:textAlignment w:val="auto"/>
        <w:rPr>
          <w:rFonts w:hint="default" w:ascii="Arial" w:hAnsi="Arial" w:cs="Arial"/>
          <w:b w:val="0"/>
          <w:bCs w:val="0"/>
          <w:lang w:val="en-US" w:eastAsia="zh-CN"/>
        </w:rPr>
      </w:pPr>
      <w:r>
        <w:rPr>
          <w:rFonts w:hint="default" w:ascii="Arial" w:hAnsi="Arial" w:cs="Arial"/>
          <w:b w:val="0"/>
          <w:bCs w:val="0"/>
          <w:lang w:val="en-US" w:eastAsia="zh-CN"/>
        </w:rPr>
        <w:t>Exempt products: Bed sheets, carpets, independent fillings, etc. are not within the test scope</w:t>
      </w:r>
    </w:p>
    <w:p w14:paraId="391733F4">
      <w:pPr>
        <w:keepNext w:val="0"/>
        <w:keepLines w:val="0"/>
        <w:pageBreakBefore w:val="0"/>
        <w:widowControl w:val="0"/>
        <w:numPr>
          <w:numId w:val="0"/>
        </w:numPr>
        <w:kinsoku/>
        <w:wordWrap/>
        <w:overflowPunct/>
        <w:topLinePunct w:val="0"/>
        <w:autoSpaceDE/>
        <w:autoSpaceDN/>
        <w:bidi w:val="0"/>
        <w:adjustRightInd/>
        <w:snapToGrid/>
        <w:jc w:val="both"/>
        <w:textAlignment w:val="auto"/>
        <w:rPr>
          <w:rFonts w:hint="default" w:ascii="Arial" w:hAnsi="Arial" w:cs="Arial"/>
          <w:b w:val="0"/>
          <w:bCs w:val="0"/>
          <w:lang w:val="en-US" w:eastAsia="zh-CN"/>
        </w:rPr>
      </w:pPr>
    </w:p>
    <w:p w14:paraId="30E7BE53">
      <w:pPr>
        <w:keepNext w:val="0"/>
        <w:keepLines w:val="0"/>
        <w:pageBreakBefore w:val="0"/>
        <w:widowControl w:val="0"/>
        <w:numPr>
          <w:numId w:val="0"/>
        </w:numPr>
        <w:kinsoku/>
        <w:wordWrap/>
        <w:overflowPunct/>
        <w:topLinePunct w:val="0"/>
        <w:autoSpaceDE/>
        <w:autoSpaceDN/>
        <w:bidi w:val="0"/>
        <w:adjustRightInd/>
        <w:snapToGrid/>
        <w:jc w:val="both"/>
        <w:textAlignment w:val="auto"/>
        <w:rPr>
          <w:rFonts w:hint="default" w:ascii="Arial" w:hAnsi="Arial" w:cs="Arial"/>
          <w:b w:val="0"/>
          <w:bCs w:val="0"/>
          <w:lang w:val="en-US" w:eastAsia="zh-CN"/>
        </w:rPr>
      </w:pPr>
    </w:p>
    <w:p w14:paraId="39528561">
      <w:pPr>
        <w:keepNext w:val="0"/>
        <w:keepLines w:val="0"/>
        <w:pageBreakBefore w:val="0"/>
        <w:widowControl w:val="0"/>
        <w:numPr>
          <w:ilvl w:val="0"/>
          <w:numId w:val="3"/>
        </w:numPr>
        <w:kinsoku/>
        <w:wordWrap/>
        <w:overflowPunct/>
        <w:topLinePunct w:val="0"/>
        <w:autoSpaceDE/>
        <w:autoSpaceDN/>
        <w:bidi w:val="0"/>
        <w:adjustRightInd/>
        <w:snapToGrid/>
        <w:ind w:left="0" w:leftChars="0" w:firstLine="0" w:firstLineChars="0"/>
        <w:jc w:val="both"/>
        <w:textAlignment w:val="auto"/>
        <w:rPr>
          <w:rFonts w:hint="default" w:ascii="Arial" w:hAnsi="Arial" w:cs="Arial"/>
          <w:b/>
          <w:bCs/>
          <w:lang w:val="en-US" w:eastAsia="zh-CN"/>
        </w:rPr>
      </w:pPr>
      <w:r>
        <w:rPr>
          <w:rFonts w:hint="default" w:ascii="Arial" w:hAnsi="Arial" w:cs="Arial"/>
          <w:b/>
          <w:bCs/>
          <w:lang w:val="en-US" w:eastAsia="zh-CN"/>
        </w:rPr>
        <w:t>Strictly follow the test fire source</w:t>
      </w:r>
    </w:p>
    <w:p w14:paraId="789A77C9">
      <w:pPr>
        <w:keepNext w:val="0"/>
        <w:keepLines w:val="0"/>
        <w:pageBreakBefore w:val="0"/>
        <w:widowControl w:val="0"/>
        <w:numPr>
          <w:numId w:val="0"/>
        </w:numPr>
        <w:kinsoku/>
        <w:wordWrap/>
        <w:overflowPunct/>
        <w:topLinePunct w:val="0"/>
        <w:autoSpaceDE/>
        <w:autoSpaceDN/>
        <w:bidi w:val="0"/>
        <w:adjustRightInd/>
        <w:snapToGrid/>
        <w:ind w:leftChars="0"/>
        <w:jc w:val="both"/>
        <w:textAlignment w:val="auto"/>
        <w:rPr>
          <w:rFonts w:hint="default" w:ascii="Arial" w:hAnsi="Arial" w:cs="Arial"/>
          <w:b w:val="0"/>
          <w:bCs w:val="0"/>
          <w:lang w:val="en-US" w:eastAsia="zh-CN"/>
        </w:rPr>
      </w:pPr>
      <w:r>
        <w:rPr>
          <w:rFonts w:hint="default" w:ascii="Arial" w:hAnsi="Arial" w:cs="Arial"/>
          <w:b w:val="0"/>
          <w:bCs w:val="0"/>
          <w:lang w:val="en-US" w:eastAsia="zh-CN"/>
        </w:rPr>
        <w:t>The BS 5852 standard divides the entire soft seat furniture into 7 ignition sources. Customers can choose the corresponding ignition source for testing according to the product usage scenario and compliance requirements.</w:t>
      </w:r>
    </w:p>
    <w:p w14:paraId="29CD2E3A">
      <w:pPr>
        <w:keepNext w:val="0"/>
        <w:keepLines w:val="0"/>
        <w:pageBreakBefore w:val="0"/>
        <w:widowControl w:val="0"/>
        <w:numPr>
          <w:numId w:val="0"/>
        </w:numPr>
        <w:kinsoku/>
        <w:wordWrap/>
        <w:overflowPunct/>
        <w:topLinePunct w:val="0"/>
        <w:autoSpaceDE/>
        <w:autoSpaceDN/>
        <w:bidi w:val="0"/>
        <w:adjustRightInd/>
        <w:snapToGrid/>
        <w:ind w:leftChars="0"/>
        <w:jc w:val="both"/>
        <w:textAlignment w:val="auto"/>
        <w:rPr>
          <w:rFonts w:hint="default" w:ascii="Arial" w:hAnsi="Arial" w:cs="Arial"/>
          <w:b w:val="0"/>
          <w:bCs w:val="0"/>
          <w:lang w:val="en-US" w:eastAsia="zh-CN"/>
        </w:rPr>
      </w:pPr>
      <w:r>
        <w:rPr>
          <w:rFonts w:hint="default" w:ascii="Arial" w:hAnsi="Arial" w:cs="Arial"/>
          <w:b w:val="0"/>
          <w:bCs w:val="0"/>
          <w:lang w:val="en-US" w:eastAsia="zh-CN"/>
        </w:rPr>
        <w:t>For all components of soft furniture, it is necessary to test according to the ignition source specified in the standard. The types of ignition sources include cigarettes and simulated matches, No. 5 small wooden frames, and No. 2 butane fire sources.</w:t>
      </w:r>
    </w:p>
    <w:p w14:paraId="15553766">
      <w:pPr>
        <w:keepNext w:val="0"/>
        <w:keepLines w:val="0"/>
        <w:pageBreakBefore w:val="0"/>
        <w:widowControl w:val="0"/>
        <w:numPr>
          <w:numId w:val="0"/>
        </w:numPr>
        <w:kinsoku/>
        <w:wordWrap/>
        <w:overflowPunct/>
        <w:topLinePunct w:val="0"/>
        <w:autoSpaceDE/>
        <w:autoSpaceDN/>
        <w:bidi w:val="0"/>
        <w:adjustRightInd/>
        <w:snapToGrid/>
        <w:ind w:leftChars="0"/>
        <w:jc w:val="both"/>
        <w:textAlignment w:val="auto"/>
        <w:rPr>
          <w:rFonts w:hint="default" w:ascii="Arial" w:hAnsi="Arial" w:cs="Arial"/>
          <w:b/>
          <w:bCs/>
          <w:lang w:val="en-US" w:eastAsia="zh-CN"/>
        </w:rPr>
      </w:pPr>
    </w:p>
    <w:p w14:paraId="75B2CFE5">
      <w:pPr>
        <w:keepNext w:val="0"/>
        <w:keepLines w:val="0"/>
        <w:pageBreakBefore w:val="0"/>
        <w:widowControl w:val="0"/>
        <w:numPr>
          <w:numId w:val="0"/>
        </w:numPr>
        <w:kinsoku/>
        <w:wordWrap/>
        <w:overflowPunct/>
        <w:topLinePunct w:val="0"/>
        <w:autoSpaceDE/>
        <w:autoSpaceDN/>
        <w:bidi w:val="0"/>
        <w:adjustRightInd/>
        <w:snapToGrid/>
        <w:ind w:leftChars="0"/>
        <w:jc w:val="both"/>
        <w:textAlignment w:val="auto"/>
        <w:rPr>
          <w:rFonts w:hint="default" w:ascii="Arial" w:hAnsi="Arial" w:cs="Arial"/>
          <w:b/>
          <w:bCs/>
          <w:lang w:val="en-US" w:eastAsia="zh-CN"/>
        </w:rPr>
      </w:pPr>
    </w:p>
    <w:p w14:paraId="1AC068CB">
      <w:pPr>
        <w:keepNext w:val="0"/>
        <w:keepLines w:val="0"/>
        <w:pageBreakBefore w:val="0"/>
        <w:widowControl w:val="0"/>
        <w:numPr>
          <w:ilvl w:val="0"/>
          <w:numId w:val="3"/>
        </w:numPr>
        <w:kinsoku/>
        <w:wordWrap/>
        <w:overflowPunct/>
        <w:topLinePunct w:val="0"/>
        <w:autoSpaceDE/>
        <w:autoSpaceDN/>
        <w:bidi w:val="0"/>
        <w:adjustRightInd/>
        <w:snapToGrid/>
        <w:ind w:left="0" w:leftChars="0" w:firstLine="0" w:firstLineChars="0"/>
        <w:jc w:val="left"/>
        <w:textAlignment w:val="auto"/>
        <w:rPr>
          <w:rFonts w:hint="default" w:ascii="Arial" w:hAnsi="Arial" w:cs="Arial"/>
          <w:b/>
          <w:bCs/>
          <w:lang w:val="en-US" w:eastAsia="zh-CN"/>
        </w:rPr>
      </w:pPr>
      <w:r>
        <w:rPr>
          <w:rFonts w:hint="default" w:ascii="Arial" w:hAnsi="Arial" w:cs="Arial"/>
          <w:b/>
          <w:bCs/>
          <w:lang w:val="en-US" w:eastAsia="zh-CN"/>
        </w:rPr>
        <w:t>Exemption conditions</w:t>
      </w:r>
    </w:p>
    <w:p w14:paraId="51DD6C49">
      <w:pPr>
        <w:keepNext w:val="0"/>
        <w:keepLines w:val="0"/>
        <w:pageBreakBefore w:val="0"/>
        <w:widowControl w:val="0"/>
        <w:numPr>
          <w:numId w:val="0"/>
        </w:numPr>
        <w:kinsoku/>
        <w:wordWrap/>
        <w:overflowPunct/>
        <w:topLinePunct w:val="0"/>
        <w:autoSpaceDE/>
        <w:autoSpaceDN/>
        <w:bidi w:val="0"/>
        <w:adjustRightInd/>
        <w:snapToGrid/>
        <w:ind w:leftChars="0"/>
        <w:jc w:val="left"/>
        <w:textAlignment w:val="auto"/>
        <w:rPr>
          <w:rFonts w:hint="default" w:ascii="Arial" w:hAnsi="Arial" w:cs="Arial"/>
          <w:b w:val="0"/>
          <w:bCs w:val="0"/>
          <w:lang w:val="en-US" w:eastAsia="zh-CN"/>
        </w:rPr>
      </w:pPr>
      <w:r>
        <w:rPr>
          <w:rFonts w:hint="default" w:ascii="Arial" w:hAnsi="Arial" w:cs="Arial"/>
          <w:b w:val="0"/>
          <w:bCs w:val="0"/>
          <w:lang w:val="en-US" w:eastAsia="zh-CN"/>
        </w:rPr>
        <w:t>Natural fiber exemption: If the proportion of natural fibers such as cotton, wool, and linen in the fabric exceeds 75% and is not treated with a flame retardant coating, some fire sources can be exempted, but the interlayer material test must be passed. Filling requirements: Polyurethane foam must pass the Schedule 1 test, and latex foam must pass the Part III test; mixed fillings must be tested individually or in combination</w:t>
      </w:r>
    </w:p>
    <w:p w14:paraId="7C67B05C">
      <w:pPr>
        <w:keepNext w:val="0"/>
        <w:keepLines w:val="0"/>
        <w:pageBreakBefore w:val="0"/>
        <w:widowControl w:val="0"/>
        <w:numPr>
          <w:numId w:val="0"/>
        </w:numPr>
        <w:kinsoku/>
        <w:wordWrap/>
        <w:overflowPunct/>
        <w:topLinePunct w:val="0"/>
        <w:autoSpaceDE/>
        <w:autoSpaceDN/>
        <w:bidi w:val="0"/>
        <w:adjustRightInd/>
        <w:snapToGrid/>
        <w:ind w:leftChars="0"/>
        <w:jc w:val="left"/>
        <w:textAlignment w:val="auto"/>
        <w:rPr>
          <w:rFonts w:hint="default" w:ascii="Arial" w:hAnsi="Arial" w:cs="Arial"/>
          <w:b w:val="0"/>
          <w:bCs w:val="0"/>
          <w:lang w:val="en-US" w:eastAsia="zh-CN"/>
        </w:rPr>
      </w:pPr>
    </w:p>
    <w:p w14:paraId="00777660">
      <w:pPr>
        <w:keepNext w:val="0"/>
        <w:keepLines w:val="0"/>
        <w:pageBreakBefore w:val="0"/>
        <w:widowControl w:val="0"/>
        <w:numPr>
          <w:numId w:val="0"/>
        </w:numPr>
        <w:kinsoku/>
        <w:wordWrap/>
        <w:overflowPunct/>
        <w:topLinePunct w:val="0"/>
        <w:autoSpaceDE/>
        <w:autoSpaceDN/>
        <w:bidi w:val="0"/>
        <w:adjustRightInd/>
        <w:snapToGrid/>
        <w:ind w:leftChars="0"/>
        <w:jc w:val="left"/>
        <w:textAlignment w:val="auto"/>
        <w:rPr>
          <w:rFonts w:hint="default" w:ascii="Arial" w:hAnsi="Arial" w:cs="Arial"/>
          <w:b w:val="0"/>
          <w:bCs w:val="0"/>
          <w:lang w:val="en-US" w:eastAsia="zh-CN"/>
        </w:rPr>
      </w:pPr>
      <w:bookmarkStart w:id="0" w:name="_GoBack"/>
      <w:bookmarkEnd w:id="0"/>
    </w:p>
    <w:p w14:paraId="20B14D19">
      <w:pPr>
        <w:keepNext w:val="0"/>
        <w:keepLines w:val="0"/>
        <w:pageBreakBefore w:val="0"/>
        <w:widowControl w:val="0"/>
        <w:numPr>
          <w:ilvl w:val="0"/>
          <w:numId w:val="3"/>
        </w:numPr>
        <w:kinsoku/>
        <w:wordWrap/>
        <w:overflowPunct/>
        <w:topLinePunct w:val="0"/>
        <w:autoSpaceDE/>
        <w:autoSpaceDN/>
        <w:bidi w:val="0"/>
        <w:adjustRightInd/>
        <w:snapToGrid/>
        <w:ind w:left="0" w:leftChars="0" w:firstLine="0" w:firstLineChars="0"/>
        <w:jc w:val="left"/>
        <w:textAlignment w:val="auto"/>
        <w:rPr>
          <w:rFonts w:hint="default" w:ascii="Arial" w:hAnsi="Arial" w:cs="Arial"/>
          <w:b/>
          <w:bCs/>
          <w:lang w:val="en-US" w:eastAsia="zh-CN"/>
        </w:rPr>
      </w:pPr>
      <w:r>
        <w:rPr>
          <w:rFonts w:hint="default" w:ascii="Arial" w:hAnsi="Arial" w:cs="Arial"/>
          <w:b/>
          <w:bCs/>
          <w:lang w:val="en-US" w:eastAsia="zh-CN"/>
        </w:rPr>
        <w:t>Testing Process</w:t>
      </w:r>
    </w:p>
    <w:p w14:paraId="19774B06">
      <w:pPr>
        <w:keepNext w:val="0"/>
        <w:keepLines w:val="0"/>
        <w:pageBreakBefore w:val="0"/>
        <w:widowControl w:val="0"/>
        <w:numPr>
          <w:ilvl w:val="0"/>
          <w:numId w:val="4"/>
        </w:numPr>
        <w:kinsoku/>
        <w:wordWrap/>
        <w:overflowPunct/>
        <w:topLinePunct w:val="0"/>
        <w:autoSpaceDE/>
        <w:autoSpaceDN/>
        <w:bidi w:val="0"/>
        <w:adjustRightInd/>
        <w:snapToGrid/>
        <w:ind w:left="420" w:leftChars="0" w:hanging="420" w:firstLineChars="0"/>
        <w:jc w:val="left"/>
        <w:textAlignment w:val="auto"/>
        <w:rPr>
          <w:rFonts w:hint="default" w:ascii="Arial" w:hAnsi="Arial" w:cs="Arial"/>
          <w:b w:val="0"/>
          <w:bCs w:val="0"/>
          <w:lang w:val="en-US" w:eastAsia="zh-CN"/>
        </w:rPr>
      </w:pPr>
      <w:r>
        <w:rPr>
          <w:rFonts w:hint="default" w:ascii="Arial" w:hAnsi="Arial" w:cs="Arial"/>
          <w:b w:val="0"/>
          <w:bCs w:val="0"/>
          <w:lang w:val="en-US" w:eastAsia="zh-CN"/>
        </w:rPr>
        <w:t>Select a certification laboratory</w:t>
      </w:r>
    </w:p>
    <w:p w14:paraId="3615AB59">
      <w:pPr>
        <w:keepNext w:val="0"/>
        <w:keepLines w:val="0"/>
        <w:pageBreakBefore w:val="0"/>
        <w:widowControl w:val="0"/>
        <w:numPr>
          <w:ilvl w:val="0"/>
          <w:numId w:val="4"/>
        </w:numPr>
        <w:kinsoku/>
        <w:wordWrap/>
        <w:overflowPunct/>
        <w:topLinePunct w:val="0"/>
        <w:autoSpaceDE/>
        <w:autoSpaceDN/>
        <w:bidi w:val="0"/>
        <w:adjustRightInd/>
        <w:snapToGrid/>
        <w:ind w:left="420" w:leftChars="0" w:hanging="420" w:firstLineChars="0"/>
        <w:jc w:val="left"/>
        <w:textAlignment w:val="auto"/>
        <w:rPr>
          <w:rFonts w:hint="default" w:ascii="Arial" w:hAnsi="Arial" w:cs="Arial"/>
          <w:b w:val="0"/>
          <w:bCs w:val="0"/>
          <w:lang w:val="en-US" w:eastAsia="zh-CN"/>
        </w:rPr>
      </w:pPr>
      <w:r>
        <w:rPr>
          <w:rFonts w:hint="default" w:ascii="Arial" w:hAnsi="Arial" w:cs="Arial"/>
          <w:b w:val="0"/>
          <w:bCs w:val="0"/>
          <w:lang w:val="en-US" w:eastAsia="zh-CN"/>
        </w:rPr>
        <w:t>Submit an application form: clarify product information, test fire source and applicable terms</w:t>
      </w:r>
    </w:p>
    <w:p w14:paraId="4F04766D">
      <w:pPr>
        <w:keepNext w:val="0"/>
        <w:keepLines w:val="0"/>
        <w:pageBreakBefore w:val="0"/>
        <w:widowControl w:val="0"/>
        <w:numPr>
          <w:ilvl w:val="0"/>
          <w:numId w:val="4"/>
        </w:numPr>
        <w:kinsoku/>
        <w:wordWrap/>
        <w:overflowPunct/>
        <w:topLinePunct w:val="0"/>
        <w:autoSpaceDE/>
        <w:autoSpaceDN/>
        <w:bidi w:val="0"/>
        <w:adjustRightInd/>
        <w:snapToGrid/>
        <w:ind w:left="420" w:leftChars="0" w:hanging="420" w:firstLineChars="0"/>
        <w:jc w:val="left"/>
        <w:textAlignment w:val="auto"/>
        <w:rPr>
          <w:rFonts w:hint="default" w:ascii="Arial" w:hAnsi="Arial" w:cs="Arial"/>
          <w:b w:val="0"/>
          <w:bCs w:val="0"/>
          <w:lang w:val="en-US" w:eastAsia="zh-CN"/>
        </w:rPr>
      </w:pPr>
      <w:r>
        <w:rPr>
          <w:rFonts w:hint="default" w:ascii="Arial" w:hAnsi="Arial" w:cs="Arial"/>
          <w:b w:val="0"/>
          <w:bCs w:val="0"/>
          <w:lang w:val="en-US" w:eastAsia="zh-CN"/>
        </w:rPr>
        <w:t>Quotation and contract: The laboratory issues a quotation based on the test items, and signs a contract after confirmation</w:t>
      </w:r>
    </w:p>
    <w:p w14:paraId="639BE968">
      <w:pPr>
        <w:keepNext w:val="0"/>
        <w:keepLines w:val="0"/>
        <w:pageBreakBefore w:val="0"/>
        <w:widowControl w:val="0"/>
        <w:numPr>
          <w:ilvl w:val="0"/>
          <w:numId w:val="4"/>
        </w:numPr>
        <w:kinsoku/>
        <w:wordWrap/>
        <w:overflowPunct/>
        <w:topLinePunct w:val="0"/>
        <w:autoSpaceDE/>
        <w:autoSpaceDN/>
        <w:bidi w:val="0"/>
        <w:adjustRightInd/>
        <w:snapToGrid/>
        <w:ind w:left="420" w:leftChars="0" w:hanging="420" w:firstLineChars="0"/>
        <w:jc w:val="left"/>
        <w:textAlignment w:val="auto"/>
        <w:rPr>
          <w:rFonts w:hint="default" w:ascii="Arial" w:hAnsi="Arial" w:cs="Arial"/>
          <w:b w:val="0"/>
          <w:bCs w:val="0"/>
          <w:lang w:val="en-US" w:eastAsia="zh-CN"/>
        </w:rPr>
      </w:pPr>
      <w:r>
        <w:rPr>
          <w:rFonts w:hint="default" w:ascii="Arial" w:hAnsi="Arial" w:cs="Arial"/>
          <w:b w:val="0"/>
          <w:bCs w:val="0"/>
          <w:lang w:val="en-US" w:eastAsia="zh-CN"/>
        </w:rPr>
        <w:t>Sample test: Send samples to the laboratory for testing according to standard requirements</w:t>
      </w:r>
    </w:p>
    <w:p w14:paraId="0554581F">
      <w:pPr>
        <w:numPr>
          <w:numId w:val="0"/>
        </w:numPr>
        <w:ind w:leftChars="0"/>
        <w:jc w:val="left"/>
        <w:rPr>
          <w:rFonts w:hint="default"/>
          <w:b w:val="0"/>
          <w:bCs w:val="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A05B5"/>
    <w:multiLevelType w:val="singleLevel"/>
    <w:tmpl w:val="976A05B5"/>
    <w:lvl w:ilvl="0" w:tentative="0">
      <w:start w:val="1"/>
      <w:numFmt w:val="bullet"/>
      <w:lvlText w:val=""/>
      <w:lvlJc w:val="left"/>
      <w:pPr>
        <w:ind w:left="420" w:hanging="420"/>
      </w:pPr>
      <w:rPr>
        <w:rFonts w:hint="default" w:ascii="Wingdings" w:hAnsi="Wingdings"/>
      </w:rPr>
    </w:lvl>
  </w:abstractNum>
  <w:abstractNum w:abstractNumId="1">
    <w:nsid w:val="F6FFDA90"/>
    <w:multiLevelType w:val="singleLevel"/>
    <w:tmpl w:val="F6FFDA90"/>
    <w:lvl w:ilvl="0" w:tentative="0">
      <w:start w:val="1"/>
      <w:numFmt w:val="decimal"/>
      <w:suff w:val="space"/>
      <w:lvlText w:val="%1."/>
      <w:lvlJc w:val="left"/>
    </w:lvl>
  </w:abstractNum>
  <w:abstractNum w:abstractNumId="2">
    <w:nsid w:val="3392CBF6"/>
    <w:multiLevelType w:val="singleLevel"/>
    <w:tmpl w:val="3392CBF6"/>
    <w:lvl w:ilvl="0" w:tentative="0">
      <w:start w:val="2"/>
      <w:numFmt w:val="chineseCounting"/>
      <w:suff w:val="nothing"/>
      <w:lvlText w:val="%1、"/>
      <w:lvlJc w:val="left"/>
      <w:rPr>
        <w:rFonts w:hint="eastAsia"/>
      </w:rPr>
    </w:lvl>
  </w:abstractNum>
  <w:abstractNum w:abstractNumId="3">
    <w:nsid w:val="7E1D3A92"/>
    <w:multiLevelType w:val="singleLevel"/>
    <w:tmpl w:val="7E1D3A92"/>
    <w:lvl w:ilvl="0" w:tentative="0">
      <w:start w:val="1"/>
      <w:numFmt w:val="bullet"/>
      <w:lvlText w:val=""/>
      <w:lvlJc w:val="left"/>
      <w:pPr>
        <w:ind w:left="420" w:hanging="420"/>
      </w:pPr>
      <w:rPr>
        <w:rFonts w:hint="default" w:ascii="Wingdings" w:hAnsi="Wingdings"/>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01AE9"/>
    <w:rsid w:val="112E4A2D"/>
    <w:rsid w:val="1DF30392"/>
    <w:rsid w:val="2E813A2E"/>
    <w:rsid w:val="2FF5336C"/>
    <w:rsid w:val="380667F0"/>
    <w:rsid w:val="43EA34CD"/>
    <w:rsid w:val="45AD4E5B"/>
    <w:rsid w:val="4B9A1C4D"/>
    <w:rsid w:val="4D6D79B1"/>
    <w:rsid w:val="4DD849C5"/>
    <w:rsid w:val="57C74288"/>
    <w:rsid w:val="5E685D7E"/>
    <w:rsid w:val="77506859"/>
    <w:rsid w:val="783A2487"/>
    <w:rsid w:val="7F9604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551</Words>
  <Characters>581</Characters>
  <Lines>0</Lines>
  <Paragraphs>0</Paragraphs>
  <TotalTime>23</TotalTime>
  <ScaleCrop>false</ScaleCrop>
  <LinksUpToDate>false</LinksUpToDate>
  <CharactersWithSpaces>590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2025-02-17T07:48:00Z</dcterms:created>
  <dc:creator>Administrator</dc:creator>
  <cp:lastModifiedBy>Administrator</cp:lastModifiedBy>
  <dcterms:modified xsi:type="dcterms:W3CDTF">2025-05-08T05:19:02Z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eyJoZGlkIjoiMDMyMzU4ZDY1NmQ1NzA0Mzc2MWE5MzUwMzlmNGVjMjMifQ==</vt:lpwstr>
  </property>
  <property fmtid="{D5CDD505-2E9C-101B-9397-08002B2CF9AE}" pid="4" name="ICV">
    <vt:lpwstr>37C743DC392F4543AF65926D5392D561_13</vt:lpwstr>
  </property>
</Properties>
</file>