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r>
        <w:rPr>
          <w:rFonts w:hint="eastAsia" w:ascii="仿宋" w:hAnsi="仿宋" w:eastAsia="仿宋"/>
          <w:b/>
          <w:color w:val="000000"/>
          <w:sz w:val="48"/>
          <w:szCs w:val="48"/>
          <w:lang w:val="en-US" w:eastAsia="zh-CN"/>
        </w:rPr>
        <w:t xml:space="preserve"> </w:t>
      </w:r>
    </w:p>
    <w:p w14:paraId="594EDB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电线电缆生产加工项目可行性研究报告（项目简介）-十四五重点项目</w:t>
      </w:r>
    </w:p>
    <w:p w14:paraId="7B9494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ADA56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3F300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0D907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AC657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A464C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59C30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0278FA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7AAC4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E52BC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2BD2F4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8F8782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5A33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567387FE">
      <w:pPr>
        <w:jc w:val="both"/>
        <w:rPr>
          <w:rFonts w:hint="eastAsia" w:ascii="仿宋" w:hAnsi="仿宋" w:eastAsia="仿宋"/>
          <w:b/>
          <w:color w:val="000000"/>
          <w:sz w:val="30"/>
          <w:szCs w:val="30"/>
        </w:rPr>
      </w:pPr>
    </w:p>
    <w:p w14:paraId="74355551">
      <w:pPr>
        <w:jc w:val="both"/>
        <w:rPr>
          <w:sz w:val="30"/>
          <w:szCs w:val="30"/>
        </w:rPr>
      </w:pPr>
      <w:r>
        <w:rPr>
          <w:rFonts w:hint="eastAsia" w:ascii="仿宋" w:hAnsi="仿宋" w:eastAsia="仿宋"/>
          <w:b/>
          <w:color w:val="000000"/>
          <w:sz w:val="30"/>
          <w:szCs w:val="30"/>
        </w:rPr>
        <w:t>编制单位：北京智博睿</w:t>
      </w:r>
      <w:r>
        <w:rPr>
          <w:rFonts w:hint="eastAsia" w:ascii="仿宋" w:hAnsi="仿宋" w:eastAsia="仿宋"/>
          <w:b/>
          <w:color w:val="000000"/>
          <w:sz w:val="30"/>
          <w:szCs w:val="30"/>
          <w:lang w:val="en-US" w:eastAsia="zh-CN"/>
        </w:rPr>
        <w:t>项目管理</w:t>
      </w:r>
      <w:r>
        <w:rPr>
          <w:rFonts w:hint="eastAsia" w:ascii="仿宋" w:hAnsi="仿宋" w:eastAsia="仿宋"/>
          <w:b/>
          <w:color w:val="000000"/>
          <w:sz w:val="30"/>
          <w:szCs w:val="30"/>
        </w:rPr>
        <w:t>有限公司</w:t>
      </w:r>
    </w:p>
    <w:p w14:paraId="3FD9D632">
      <w:pPr>
        <w:jc w:val="both"/>
        <w:rPr>
          <w:rFonts w:hint="eastAsia" w:ascii="仿宋" w:hAnsi="仿宋" w:eastAsia="仿宋" w:cs="仿宋"/>
          <w:b/>
          <w:bCs/>
          <w:color w:val="000000"/>
          <w:sz w:val="44"/>
          <w:szCs w:val="44"/>
          <w:lang w:val="en-US" w:eastAsia="zh-CN"/>
        </w:rPr>
      </w:pPr>
      <w:bookmarkStart w:id="0" w:name="_GoBack"/>
      <w:bookmarkEnd w:id="0"/>
      <w:r>
        <w:rPr>
          <w:rFonts w:hint="eastAsia" w:ascii="仿宋" w:hAnsi="仿宋" w:eastAsia="仿宋"/>
          <w:b/>
          <w:color w:val="000000" w:themeColor="text1"/>
          <w:sz w:val="30"/>
          <w:szCs w:val="30"/>
          <w:lang w:val="en-US" w:eastAsia="zh-CN"/>
          <w14:textFill>
            <w14:solidFill>
              <w14:schemeClr w14:val="tx1"/>
            </w14:solidFill>
          </w14:textFill>
        </w:rPr>
        <w:t>编制范围：可研报告、项目建议书、地方政府专项债、实施方案、  资金申请报告、节能评估报告、绩效评估报告等</w:t>
      </w:r>
    </w:p>
    <w:p w14:paraId="18264AC7">
      <w:pPr>
        <w:ind w:firstLine="723"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r>
        <w:rPr>
          <w:rFonts w:hint="eastAsia" w:ascii="Arial" w:hAnsi="Arial" w:eastAsia="宋体" w:cs="Arial"/>
          <w:b/>
          <w:bCs/>
          <w:i w:val="0"/>
          <w:iCs w:val="0"/>
          <w:caps w:val="0"/>
          <w:color w:val="333333"/>
          <w:spacing w:val="0"/>
          <w:sz w:val="36"/>
          <w:szCs w:val="36"/>
          <w:shd w:val="clear" w:fill="FFFFFF"/>
          <w:lang w:val="en-US" w:eastAsia="zh-CN"/>
        </w:rPr>
        <w:br w:type="page"/>
      </w:r>
    </w:p>
    <w:p w14:paraId="5561F7E9">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一、项目概述</w:t>
      </w:r>
    </w:p>
    <w:p w14:paraId="1719841F">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1、建设规模</w:t>
      </w:r>
    </w:p>
    <w:p w14:paraId="484CA52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项目占地面积约35亩，主要建设办公楼1栋，生产车间，库房、门卫等。</w:t>
      </w:r>
    </w:p>
    <w:p w14:paraId="4FA55C76">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2、投资额及资金来源</w:t>
      </w:r>
    </w:p>
    <w:p w14:paraId="460260C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项目总投资5250.00万元，其中建设投资4200.00万元，流动资金1050.00万元。</w:t>
      </w:r>
    </w:p>
    <w:p w14:paraId="1235CDF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资金来源：企业自筹</w:t>
      </w:r>
    </w:p>
    <w:p w14:paraId="04FBB616">
      <w:pPr>
        <w:ind w:firstLine="560" w:firstLineChars="200"/>
        <w:jc w:val="left"/>
        <w:outlineLvl w:val="1"/>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3、项目建设任务及目标</w:t>
      </w:r>
    </w:p>
    <w:p w14:paraId="01DC8F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建立和执行严格的质量管理体系，包括原材料采购、生产工艺控制、产品检测等方面的要求，从而确保产品的质量和安全性，提供高品质、高性能的电线电缆产品，优化产品结构，提高产品品质，满足市场对电线电缆产品的需求变化，实现电线电缆产业转型升级。</w:t>
      </w:r>
    </w:p>
    <w:p w14:paraId="5183766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加强研发投入，开展技术创新，推动电线电缆行业的技术水平提升。提升行业内企业的竞争力，满足市场需求。推动行业向高质量、高技术水平的方向发展。提高生产线的自动化程度，降低人工成本，实现良好的投资回报率，确保投资效益。通过提高产品质量、优化生产流程、降低成本等多种手段提高电线电缆行业的竞争力。</w:t>
      </w:r>
    </w:p>
    <w:p w14:paraId="088E4147">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二、项目建设背景</w:t>
      </w:r>
    </w:p>
    <w:p w14:paraId="2BE5FF1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线电缆是用来输送电能、传递信息和制造各种电机、仪器、仪表，实现电磁能量转换所不可或缺的一大类电工产品。其产品广泛的应用于电力、轨道交通、新能源、建筑工程、海洋工程、通信、石油、化工、汽车、船舶及航空航天等各个领域。根据不同的标准和用途，可以分为裸电线及裸导体制品、电力电缆、通信电缆与光缆、电气装备用电线电缆、特种电缆等。</w:t>
      </w:r>
    </w:p>
    <w:p w14:paraId="7D2F31A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今全球经济一体化和科技迅猛发展的背景下，电线电缆行业作为能源传输与信息沟通的“血管”，其发展动向备受瞩目。随着全球工业化、城镇化进程的不断提速，以及新能源革命、数字经济的兴起，电线电缆行业不仅面临着前所未有的挑战，更迎来了历史性的机遇期。</w:t>
      </w:r>
    </w:p>
    <w:p w14:paraId="07AB34B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化、城镇化进程推动行业迅速发展电线电缆产业作为国民经济支柱型行业之一，是各产业发展必不可少的组成部分。随着国内经济的稳步增长，工业化、城镇化进程的不断推进，带动电力、石油、化工、城市轨道交通等行业快速发展，尤其是智能输配电网建设与特高压网架建设投资不断加大，使我国电线电缆行业近些年发展十分迅速。目前，我国已成为世界第一大电线电缆制造国，电线电缆成为我国国民经济中的第二大配套产业，行业呈现平稳上升态势。</w:t>
      </w:r>
    </w:p>
    <w:p w14:paraId="53DCBD8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电线电缆市场需求的持续增长，特别是发展中国家市场的快速崛起，促使中国电线电缆行业的龙头企业积极拓宽海外销售版图。依托卓越的产品质量和高性价比，中国电线电缆出口量稳定增长。在国家政策的扶持和行业内部的技术革新推动下，一批兼具研发实力与品牌影响力的本土企业正积极布局国际市场，出口前景乐观。同时，特种电线电缆领域作为进口产品的传统强势区，随着国内企业在该领域的研发投入增加和技术突破，越来越多的高品质国产特种电线电缆被市场采纳，进口量呈现下降趋势，国产替代效应显著，标志着中国特种电线电缆行业正步入一个崭新的发展阶段。</w:t>
      </w:r>
    </w:p>
    <w:p w14:paraId="1C082D4F">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793BDB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线电缆作为电力传输和分配的核心组件，在全球范围内的需求确实呈现出不断增长的趋势。中商产业研究院发布的《2024-2029年中国电线电缆行业调研及发展战略研究预测报告》显示，2023年我国电线电缆产量约为6203万千米，同比增长4.7%。未来，随着可再生能源的发展和智能电网的建设，电线电缆需求将不断增长。中商产业研究院分析师预测，2024年我国电线电缆产量有望达6531万千米。</w:t>
      </w:r>
    </w:p>
    <w:p w14:paraId="4B5B034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根据中金企信数据统计，我国电线电缆行业销售收入在近年来呈现波动增长的趋势。2018年，受宏观经济疲软和制造业去产能的影响，产业规模下降至9,935亿元;但自2019年以来，随着我国对新能源等行业投资的加快，电线电缆行业开始缓慢复苏。到2021年，我国电线电缆销售收入达到1.46万亿元，同比增长35.62%。据预测，2021-2026年行业需求规模将呈现增长趋势，2026年我国电线电缆市场规模有望达到1.8万亿元。</w:t>
      </w:r>
    </w:p>
    <w:p w14:paraId="653CE69A">
      <w:pPr>
        <w:ind w:firstLine="560"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特种电缆因具备高性能、特殊结构及适应极端环境的特性，展现出技术密集、应用严格及高附加值的独有优势，超越了传统线缆的界限。随着科技进步、产业升级以及新兴战略产业的蓬勃兴起，社会经济正加速向信息化、智能化、绿色可持续方向转型，特别是在智能电网构建、智慧城市发展、大规模城乡电网改造、新能源设施建设等关键领域，对电线电缆的性能与应用提出了前所未有的高标准，为特种电缆的创新发展开辟了广阔道路。近年来，电线电缆行业内头部企业依托自主创新与技术进步，在部分领域已经达到世界先进水平，国际竞争力和综合实力已经跃居世界前列。对比海外市场与国内现有发展格局，我国电线电缆行业市场规模巨大，但相比欧美日等发达国家，产品同质化严重，多以中低端常规线缆产品为主，且选用技术趋同，行业内企业竞争激烈，市场集中度仍有较大提升空间。未来，随着我国电线电缆行业结构调整的持续深入，电线电缆企业之间洗牌整合步伐加快，行业集中度将逐步提升，市场份额预计持续向头部企业靠拢。总体来看，我国电线电缆优化产业结构的空间仍然巨大。</w:t>
      </w:r>
    </w:p>
    <w:p w14:paraId="7BD7570D">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96145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建成达标后有利于构建新发展格局，坚持以创新驱动、产业升级，以高端智能绿色发展为方向，以绿色低碳科技创新为驱动，以应用创新及示范推广为抓手，加快构建支撑能源清洁生产和能源绿色消费的装备供给体系，推动电力装备高质量发展，助力碳达峰目标顺利实现。</w:t>
      </w:r>
    </w:p>
    <w:p w14:paraId="245ADC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有利于提高电线电缆产能，并加强配套基础设施建设，对发展区域经济、增加财政收入、带动当地相关产业的发展和解决劳动力就业等将起到积极的推动作用；带动当地部分上下游相关材料加工、运输企业的发展，加强当地的市场竞争结构，提高当地的经济影响力；通过建立生产车间、厂房，优先使用当地劳动力提供更多的就业岗位，提高就业率；优化产业结构，传统产业改造提升成效显著，自主创新能力不断增强，提升产品质量，提高产品附加值。</w:t>
      </w:r>
    </w:p>
    <w:p w14:paraId="43D4C3D6">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82BE6B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概论</w:t>
      </w:r>
    </w:p>
    <w:p w14:paraId="314E3D3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项目建设背景及必要性</w:t>
      </w:r>
    </w:p>
    <w:p w14:paraId="7E51F7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项目需求分析与产出方案</w:t>
      </w:r>
    </w:p>
    <w:p w14:paraId="2381425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项目选址与要素保障</w:t>
      </w:r>
    </w:p>
    <w:p w14:paraId="592CDCC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建设方案</w:t>
      </w:r>
    </w:p>
    <w:p w14:paraId="73621E0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项目运营方案</w:t>
      </w:r>
    </w:p>
    <w:p w14:paraId="02ACF4F8">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环境保护</w:t>
      </w:r>
    </w:p>
    <w:p w14:paraId="64DBB4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节能分析</w:t>
      </w:r>
    </w:p>
    <w:p w14:paraId="69B628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项目投资估算与资金筹措</w:t>
      </w:r>
    </w:p>
    <w:p w14:paraId="3FC57D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项目影响效果分析</w:t>
      </w:r>
    </w:p>
    <w:p w14:paraId="0E806B4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项目风险管控方案</w:t>
      </w:r>
    </w:p>
    <w:p w14:paraId="385BB2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十二、</w:t>
      </w:r>
      <w:r>
        <w:rPr>
          <w:rFonts w:hint="eastAsia" w:ascii="仿宋" w:hAnsi="仿宋" w:eastAsia="仿宋" w:cs="仿宋"/>
          <w:b/>
          <w:bCs/>
          <w:sz w:val="28"/>
          <w:szCs w:val="28"/>
        </w:rPr>
        <w:t>社会稳定性风险分析</w:t>
      </w:r>
    </w:p>
    <w:p w14:paraId="34F1E5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十三、</w:t>
      </w:r>
      <w:r>
        <w:rPr>
          <w:rFonts w:hint="eastAsia" w:ascii="仿宋" w:hAnsi="仿宋" w:eastAsia="仿宋" w:cs="仿宋"/>
          <w:b/>
          <w:bCs/>
          <w:sz w:val="28"/>
          <w:szCs w:val="28"/>
        </w:rPr>
        <w:t>研究结论及建议</w:t>
      </w:r>
    </w:p>
    <w:p w14:paraId="73A8674D">
      <w:pPr>
        <w:ind w:firstLine="562" w:firstLineChars="200"/>
        <w:jc w:val="left"/>
        <w:outlineLvl w:val="9"/>
        <w:rPr>
          <w:rFonts w:hint="eastAsia" w:ascii="仿宋" w:hAnsi="仿宋" w:eastAsia="仿宋" w:cs="仿宋"/>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2557B"/>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5F7690"/>
    <w:rsid w:val="03772BBD"/>
    <w:rsid w:val="03AF31FD"/>
    <w:rsid w:val="03BC0928"/>
    <w:rsid w:val="03D34F82"/>
    <w:rsid w:val="042A3104"/>
    <w:rsid w:val="0448745D"/>
    <w:rsid w:val="04921C4C"/>
    <w:rsid w:val="04E4640D"/>
    <w:rsid w:val="052F5C5F"/>
    <w:rsid w:val="054908B9"/>
    <w:rsid w:val="05972BB7"/>
    <w:rsid w:val="05DC4B7A"/>
    <w:rsid w:val="060E3A46"/>
    <w:rsid w:val="061B59E2"/>
    <w:rsid w:val="062A342B"/>
    <w:rsid w:val="07025650"/>
    <w:rsid w:val="07CD7F0F"/>
    <w:rsid w:val="07D76969"/>
    <w:rsid w:val="07E15804"/>
    <w:rsid w:val="07FB58A4"/>
    <w:rsid w:val="07FD6BA9"/>
    <w:rsid w:val="08986A27"/>
    <w:rsid w:val="08DF3F4A"/>
    <w:rsid w:val="09773E97"/>
    <w:rsid w:val="098C0CFB"/>
    <w:rsid w:val="09953447"/>
    <w:rsid w:val="0A550002"/>
    <w:rsid w:val="0A592759"/>
    <w:rsid w:val="0A67379F"/>
    <w:rsid w:val="0A817343"/>
    <w:rsid w:val="0A866F73"/>
    <w:rsid w:val="0AEA4C54"/>
    <w:rsid w:val="0AF56886"/>
    <w:rsid w:val="0B1C7CAA"/>
    <w:rsid w:val="0BB30DED"/>
    <w:rsid w:val="0BD75567"/>
    <w:rsid w:val="0BE14553"/>
    <w:rsid w:val="0C105FB5"/>
    <w:rsid w:val="0C9E289F"/>
    <w:rsid w:val="0CB17E61"/>
    <w:rsid w:val="0D051CD8"/>
    <w:rsid w:val="0D397A5A"/>
    <w:rsid w:val="0D5F089D"/>
    <w:rsid w:val="0D7C07BE"/>
    <w:rsid w:val="0DC3546E"/>
    <w:rsid w:val="0DD43A3C"/>
    <w:rsid w:val="0E2E6550"/>
    <w:rsid w:val="0E316003"/>
    <w:rsid w:val="0E7938DE"/>
    <w:rsid w:val="0EC42733"/>
    <w:rsid w:val="0EE630DC"/>
    <w:rsid w:val="0F500BC3"/>
    <w:rsid w:val="0F59303C"/>
    <w:rsid w:val="0F822828"/>
    <w:rsid w:val="0FD9610F"/>
    <w:rsid w:val="10615A49"/>
    <w:rsid w:val="10F13359"/>
    <w:rsid w:val="11AF5EC5"/>
    <w:rsid w:val="125E493F"/>
    <w:rsid w:val="12727EA3"/>
    <w:rsid w:val="12C5503E"/>
    <w:rsid w:val="13270D7A"/>
    <w:rsid w:val="13C61AF2"/>
    <w:rsid w:val="13C82EA6"/>
    <w:rsid w:val="14294AD0"/>
    <w:rsid w:val="145D0D13"/>
    <w:rsid w:val="14AC764E"/>
    <w:rsid w:val="14B26B80"/>
    <w:rsid w:val="153B2D0D"/>
    <w:rsid w:val="155178FD"/>
    <w:rsid w:val="155838BF"/>
    <w:rsid w:val="155B3298"/>
    <w:rsid w:val="15C57A5D"/>
    <w:rsid w:val="15EB3A81"/>
    <w:rsid w:val="16550F32"/>
    <w:rsid w:val="166B4467"/>
    <w:rsid w:val="166B462C"/>
    <w:rsid w:val="168B3820"/>
    <w:rsid w:val="17561F51"/>
    <w:rsid w:val="175F2D5D"/>
    <w:rsid w:val="17654D55"/>
    <w:rsid w:val="1783759C"/>
    <w:rsid w:val="17AB4E89"/>
    <w:rsid w:val="17D35235"/>
    <w:rsid w:val="180B049B"/>
    <w:rsid w:val="18135A81"/>
    <w:rsid w:val="18461C22"/>
    <w:rsid w:val="187B50E8"/>
    <w:rsid w:val="18C23FCC"/>
    <w:rsid w:val="18F3727C"/>
    <w:rsid w:val="19090C5B"/>
    <w:rsid w:val="19461C80"/>
    <w:rsid w:val="19565959"/>
    <w:rsid w:val="19656A5A"/>
    <w:rsid w:val="196B3A43"/>
    <w:rsid w:val="19A96D61"/>
    <w:rsid w:val="19B14A30"/>
    <w:rsid w:val="19B45BCA"/>
    <w:rsid w:val="19C73562"/>
    <w:rsid w:val="19E85757"/>
    <w:rsid w:val="19FE52B1"/>
    <w:rsid w:val="1A031AB7"/>
    <w:rsid w:val="1A111C52"/>
    <w:rsid w:val="1A2D7A1F"/>
    <w:rsid w:val="1B702E93"/>
    <w:rsid w:val="1BBB568A"/>
    <w:rsid w:val="1BCA508C"/>
    <w:rsid w:val="1C215235"/>
    <w:rsid w:val="1C442E6B"/>
    <w:rsid w:val="1CBC1555"/>
    <w:rsid w:val="1CDF3B2A"/>
    <w:rsid w:val="1D0253E4"/>
    <w:rsid w:val="1D525FA2"/>
    <w:rsid w:val="1DBB4FD6"/>
    <w:rsid w:val="1DE659DD"/>
    <w:rsid w:val="1DFE71E1"/>
    <w:rsid w:val="1E403142"/>
    <w:rsid w:val="1E675D1B"/>
    <w:rsid w:val="1EB4624C"/>
    <w:rsid w:val="1ED25159"/>
    <w:rsid w:val="1F2F70B6"/>
    <w:rsid w:val="1F3A79D5"/>
    <w:rsid w:val="1F8110BF"/>
    <w:rsid w:val="1FA220F8"/>
    <w:rsid w:val="1FEC076E"/>
    <w:rsid w:val="20170DEB"/>
    <w:rsid w:val="202F4288"/>
    <w:rsid w:val="2061172C"/>
    <w:rsid w:val="20FA7627"/>
    <w:rsid w:val="210203E9"/>
    <w:rsid w:val="21CA447C"/>
    <w:rsid w:val="22014652"/>
    <w:rsid w:val="221413F8"/>
    <w:rsid w:val="224B4AF6"/>
    <w:rsid w:val="226338A3"/>
    <w:rsid w:val="230D15DA"/>
    <w:rsid w:val="233A3AAB"/>
    <w:rsid w:val="23463F84"/>
    <w:rsid w:val="23765481"/>
    <w:rsid w:val="23A702ED"/>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152E01"/>
    <w:rsid w:val="2C5E06D8"/>
    <w:rsid w:val="2CB94D5E"/>
    <w:rsid w:val="2DAA7E9C"/>
    <w:rsid w:val="2DB41456"/>
    <w:rsid w:val="2DB604DD"/>
    <w:rsid w:val="2DE14EBB"/>
    <w:rsid w:val="2DE5725A"/>
    <w:rsid w:val="2DEF2105"/>
    <w:rsid w:val="2E6F0090"/>
    <w:rsid w:val="2E883A48"/>
    <w:rsid w:val="2E8F6852"/>
    <w:rsid w:val="2E9369E6"/>
    <w:rsid w:val="2E9D638E"/>
    <w:rsid w:val="2EBA264A"/>
    <w:rsid w:val="2EEF16BC"/>
    <w:rsid w:val="2EF06BB9"/>
    <w:rsid w:val="2F3D528D"/>
    <w:rsid w:val="2F480302"/>
    <w:rsid w:val="2F5F067B"/>
    <w:rsid w:val="2F697F3B"/>
    <w:rsid w:val="300F0E69"/>
    <w:rsid w:val="30D10F27"/>
    <w:rsid w:val="30EB705B"/>
    <w:rsid w:val="30FE7050"/>
    <w:rsid w:val="31982EEE"/>
    <w:rsid w:val="31C543F4"/>
    <w:rsid w:val="31CF2D03"/>
    <w:rsid w:val="31E7004C"/>
    <w:rsid w:val="31F46081"/>
    <w:rsid w:val="324A649B"/>
    <w:rsid w:val="324B718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215F07"/>
    <w:rsid w:val="36A857BA"/>
    <w:rsid w:val="36E061C9"/>
    <w:rsid w:val="36E5781D"/>
    <w:rsid w:val="36EC2A2B"/>
    <w:rsid w:val="36EE5F2E"/>
    <w:rsid w:val="36F06165"/>
    <w:rsid w:val="36F36B33"/>
    <w:rsid w:val="36F47E38"/>
    <w:rsid w:val="37136FD6"/>
    <w:rsid w:val="373F78E9"/>
    <w:rsid w:val="374A7542"/>
    <w:rsid w:val="375A7D60"/>
    <w:rsid w:val="376765E1"/>
    <w:rsid w:val="37682375"/>
    <w:rsid w:val="37BE2D84"/>
    <w:rsid w:val="37F5325E"/>
    <w:rsid w:val="38A01822"/>
    <w:rsid w:val="38F6728A"/>
    <w:rsid w:val="38FF4A36"/>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0B533E"/>
    <w:rsid w:val="3C9056B7"/>
    <w:rsid w:val="3CBB6F67"/>
    <w:rsid w:val="3CE434CE"/>
    <w:rsid w:val="3D0F3E8F"/>
    <w:rsid w:val="3D1244C0"/>
    <w:rsid w:val="3D295073"/>
    <w:rsid w:val="3D370B3E"/>
    <w:rsid w:val="3D422253"/>
    <w:rsid w:val="3D8C6ADA"/>
    <w:rsid w:val="3DCB54D0"/>
    <w:rsid w:val="3DDA0A65"/>
    <w:rsid w:val="3DF91311"/>
    <w:rsid w:val="3E1A70B4"/>
    <w:rsid w:val="3E5318E4"/>
    <w:rsid w:val="3E845DE6"/>
    <w:rsid w:val="3E995BBF"/>
    <w:rsid w:val="3EBB2C7C"/>
    <w:rsid w:val="3ECC295E"/>
    <w:rsid w:val="3EF839DA"/>
    <w:rsid w:val="3F184542"/>
    <w:rsid w:val="3F4802E2"/>
    <w:rsid w:val="3F7D5B4C"/>
    <w:rsid w:val="3F9337B2"/>
    <w:rsid w:val="3FA72420"/>
    <w:rsid w:val="3FC46AE7"/>
    <w:rsid w:val="3FDE5F88"/>
    <w:rsid w:val="40073DFD"/>
    <w:rsid w:val="40A811A3"/>
    <w:rsid w:val="40E24800"/>
    <w:rsid w:val="412C019D"/>
    <w:rsid w:val="4135208B"/>
    <w:rsid w:val="415154E1"/>
    <w:rsid w:val="419D24D5"/>
    <w:rsid w:val="41A1553C"/>
    <w:rsid w:val="41B56F36"/>
    <w:rsid w:val="41B831AA"/>
    <w:rsid w:val="41DD28D2"/>
    <w:rsid w:val="426F3144"/>
    <w:rsid w:val="42AD50EE"/>
    <w:rsid w:val="433E1863"/>
    <w:rsid w:val="434A3CF5"/>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256620"/>
    <w:rsid w:val="46362EF9"/>
    <w:rsid w:val="465F740B"/>
    <w:rsid w:val="46B00D49"/>
    <w:rsid w:val="471C5C4A"/>
    <w:rsid w:val="476B4739"/>
    <w:rsid w:val="47834F7D"/>
    <w:rsid w:val="47E0311C"/>
    <w:rsid w:val="47FC6BF4"/>
    <w:rsid w:val="4838131C"/>
    <w:rsid w:val="489973AA"/>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883D8E"/>
    <w:rsid w:val="51BC1964"/>
    <w:rsid w:val="51D5415B"/>
    <w:rsid w:val="51EE67A6"/>
    <w:rsid w:val="51FC7A11"/>
    <w:rsid w:val="52277960"/>
    <w:rsid w:val="525C788D"/>
    <w:rsid w:val="528A0854"/>
    <w:rsid w:val="52C87073"/>
    <w:rsid w:val="52DD61F2"/>
    <w:rsid w:val="52E50ECD"/>
    <w:rsid w:val="52F5636F"/>
    <w:rsid w:val="53160B7D"/>
    <w:rsid w:val="531F0A6D"/>
    <w:rsid w:val="535D4D1B"/>
    <w:rsid w:val="53827989"/>
    <w:rsid w:val="53937294"/>
    <w:rsid w:val="53BA0C6B"/>
    <w:rsid w:val="53F229C4"/>
    <w:rsid w:val="54004D75"/>
    <w:rsid w:val="54773E1A"/>
    <w:rsid w:val="547D422D"/>
    <w:rsid w:val="549809D1"/>
    <w:rsid w:val="54AA6F8B"/>
    <w:rsid w:val="54BE1AE8"/>
    <w:rsid w:val="54C05F9B"/>
    <w:rsid w:val="54D648BB"/>
    <w:rsid w:val="5620433A"/>
    <w:rsid w:val="566F09D5"/>
    <w:rsid w:val="567A07EF"/>
    <w:rsid w:val="56B241CC"/>
    <w:rsid w:val="56D4639E"/>
    <w:rsid w:val="56D952A8"/>
    <w:rsid w:val="570C2D6E"/>
    <w:rsid w:val="57307DAD"/>
    <w:rsid w:val="57326672"/>
    <w:rsid w:val="57497744"/>
    <w:rsid w:val="5756394B"/>
    <w:rsid w:val="575B6F2E"/>
    <w:rsid w:val="57763155"/>
    <w:rsid w:val="5777520F"/>
    <w:rsid w:val="57A8345F"/>
    <w:rsid w:val="57E417E0"/>
    <w:rsid w:val="58426A50"/>
    <w:rsid w:val="58CA290B"/>
    <w:rsid w:val="58E5183E"/>
    <w:rsid w:val="59134C30"/>
    <w:rsid w:val="59362967"/>
    <w:rsid w:val="597D20E1"/>
    <w:rsid w:val="59C42A07"/>
    <w:rsid w:val="5A0F1A20"/>
    <w:rsid w:val="5A4E0416"/>
    <w:rsid w:val="5A900F23"/>
    <w:rsid w:val="5ADD0727"/>
    <w:rsid w:val="5B2916BE"/>
    <w:rsid w:val="5B402954"/>
    <w:rsid w:val="5BB12F7A"/>
    <w:rsid w:val="5BC97600"/>
    <w:rsid w:val="5BED0BE1"/>
    <w:rsid w:val="5BF117E5"/>
    <w:rsid w:val="5C1B042B"/>
    <w:rsid w:val="5C4F70EF"/>
    <w:rsid w:val="5C5C3190"/>
    <w:rsid w:val="5CA95D7B"/>
    <w:rsid w:val="5D330125"/>
    <w:rsid w:val="5D4F626D"/>
    <w:rsid w:val="5D5A5347"/>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8B7265"/>
    <w:rsid w:val="60B66ADC"/>
    <w:rsid w:val="60DD4A59"/>
    <w:rsid w:val="610918E2"/>
    <w:rsid w:val="614860F7"/>
    <w:rsid w:val="615E2F29"/>
    <w:rsid w:val="61657658"/>
    <w:rsid w:val="61E16FA2"/>
    <w:rsid w:val="62285198"/>
    <w:rsid w:val="622D4B39"/>
    <w:rsid w:val="623F6839"/>
    <w:rsid w:val="62BC31DC"/>
    <w:rsid w:val="63753FEA"/>
    <w:rsid w:val="637A0055"/>
    <w:rsid w:val="63B07EEF"/>
    <w:rsid w:val="64002BE9"/>
    <w:rsid w:val="644A57F4"/>
    <w:rsid w:val="64AA2690"/>
    <w:rsid w:val="64FD39BC"/>
    <w:rsid w:val="65891022"/>
    <w:rsid w:val="658D71C3"/>
    <w:rsid w:val="65B57819"/>
    <w:rsid w:val="65F63BD4"/>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936532B"/>
    <w:rsid w:val="69A36249"/>
    <w:rsid w:val="69EC37D4"/>
    <w:rsid w:val="6A1F48CB"/>
    <w:rsid w:val="6A2931E3"/>
    <w:rsid w:val="6A537778"/>
    <w:rsid w:val="6A624A2F"/>
    <w:rsid w:val="6A633B05"/>
    <w:rsid w:val="6A6E56A3"/>
    <w:rsid w:val="6A6F052B"/>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8549F4"/>
    <w:rsid w:val="742D5A28"/>
    <w:rsid w:val="743E3EA7"/>
    <w:rsid w:val="745C4103"/>
    <w:rsid w:val="74846437"/>
    <w:rsid w:val="74F60CF4"/>
    <w:rsid w:val="75414E2E"/>
    <w:rsid w:val="75973D58"/>
    <w:rsid w:val="75A803E5"/>
    <w:rsid w:val="75D51537"/>
    <w:rsid w:val="76051E1C"/>
    <w:rsid w:val="764346C1"/>
    <w:rsid w:val="768C460E"/>
    <w:rsid w:val="769A2923"/>
    <w:rsid w:val="76B15747"/>
    <w:rsid w:val="7709593C"/>
    <w:rsid w:val="7719746F"/>
    <w:rsid w:val="772B4186"/>
    <w:rsid w:val="773062C6"/>
    <w:rsid w:val="779969FD"/>
    <w:rsid w:val="77D52026"/>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autoRedefine/>
    <w:qFormat/>
    <w:uiPriority w:val="0"/>
    <w:rPr>
      <w:rFonts w:ascii="宋体" w:hAnsi="宋体" w:eastAsia="宋体" w:cs="宋体"/>
      <w:color w:val="FFFFFF"/>
      <w:sz w:val="16"/>
      <w:szCs w:val="16"/>
      <w:u w:val="none"/>
    </w:rPr>
  </w:style>
  <w:style w:type="character" w:customStyle="1" w:styleId="7">
    <w:name w:val="font31"/>
    <w:basedOn w:val="5"/>
    <w:autoRedefine/>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autoRedefine/>
    <w:qFormat/>
    <w:uiPriority w:val="0"/>
    <w:rPr>
      <w:rFonts w:ascii="Calibri" w:hAnsi="Calibri" w:cs="Calibri"/>
      <w:color w:val="000000"/>
      <w:sz w:val="16"/>
      <w:szCs w:val="16"/>
      <w:u w:val="none"/>
    </w:rPr>
  </w:style>
  <w:style w:type="paragraph" w:customStyle="1" w:styleId="10">
    <w:name w:val="Table Text"/>
    <w:basedOn w:val="1"/>
    <w:autoRedefine/>
    <w:semiHidden/>
    <w:qFormat/>
    <w:uiPriority w:val="0"/>
    <w:rPr>
      <w:rFonts w:ascii="楷体" w:hAnsi="楷体" w:eastAsia="楷体" w:cs="楷体"/>
      <w:sz w:val="18"/>
      <w:szCs w:val="18"/>
      <w:lang w:val="en-US" w:eastAsia="en-US" w:bidi="ar-SA"/>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2483</Words>
  <Characters>2562</Characters>
  <Lines>0</Lines>
  <Paragraphs>0</Paragraphs>
  <TotalTime>0</TotalTime>
  <ScaleCrop>false</ScaleCrop>
  <LinksUpToDate>false</LinksUpToDate>
  <CharactersWithSpaces>2565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2024-09-13T02:12:25Z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22F89A6B102A42BDB7AB4B22E0163903_13</vt:lpwstr>
  </property>
</Properties>
</file>