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harts/chart1.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Override PartName="/word/charts/chart4.xml" ContentType="application/vnd.openxmlformats-officedocument.drawingml.chart+xml"/>
  <Override PartName="/word/charts/chart5.xml" ContentType="application/vnd.openxmlformats-officedocument.drawingml.chart+xml"/>
  <Override PartName="/word/charts/chart6.xml" ContentType="application/vnd.openxmlformats-officedocument.drawingml.chart+xml"/>
  <Override PartName="/word/charts/chart7.xml" ContentType="application/vnd.openxmlformats-officedocument.drawingml.chart+xml"/>
  <Override PartName="/word/charts/chart8.xml" ContentType="application/vnd.openxmlformats-officedocument.drawingml.chart+xml"/>
  <Override PartName="/word/charts/colors1.xml" ContentType="application/vnd.ms-office.chartcolorstyle+xml"/>
  <Override PartName="/word/charts/colors2.xml" ContentType="application/vnd.ms-office.chartcolorstyle+xml"/>
  <Override PartName="/word/charts/colors3.xml" ContentType="application/vnd.ms-office.chartcolorstyle+xml"/>
  <Override PartName="/word/charts/colors4.xml" ContentType="application/vnd.ms-office.chartcolorstyle+xml"/>
  <Override PartName="/word/charts/colors5.xml" ContentType="application/vnd.ms-office.chartcolorstyle+xml"/>
  <Override PartName="/word/charts/colors6.xml" ContentType="application/vnd.ms-office.chartcolorstyle+xml"/>
  <Override PartName="/word/charts/colors7.xml" ContentType="application/vnd.ms-office.chartcolorstyle+xml"/>
  <Override PartName="/word/charts/colors8.xml" ContentType="application/vnd.ms-office.chartcolorstyle+xml"/>
  <Override PartName="/word/charts/style1.xml" ContentType="application/vnd.ms-office.chartstyle+xml"/>
  <Override PartName="/word/charts/style2.xml" ContentType="application/vnd.ms-office.chartstyle+xml"/>
  <Override PartName="/word/charts/style3.xml" ContentType="application/vnd.ms-office.chartstyle+xml"/>
  <Override PartName="/word/charts/style4.xml" ContentType="application/vnd.ms-office.chartstyle+xml"/>
  <Override PartName="/word/charts/style5.xml" ContentType="application/vnd.ms-office.chartstyle+xml"/>
  <Override PartName="/word/charts/style6.xml" ContentType="application/vnd.ms-office.chartstyle+xml"/>
  <Override PartName="/word/charts/style7.xml" ContentType="application/vnd.ms-office.chartstyle+xml"/>
  <Override PartName="/word/charts/style8.xml" ContentType="application/vnd.ms-office.chartstyle+xml"/>
  <Override PartName="/word/document.xml" ContentType="application/vnd.openxmlformats-officedocument.wordprocessingml.document.main+xml"/>
  <Override PartName="/word/drawings/drawing1.xml" ContentType="application/vnd.openxmlformats-officedocument.drawingml.chartshapes+xml"/>
  <Override PartName="/word/fontTable.xml" ContentType="application/vnd.openxmlformats-officedocument.wordprocessingml.fontTable+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theme/themeOverride1.xml" ContentType="application/vnd.openxmlformats-officedocument.themeOverride+xml"/>
  <Override PartName="/word/theme/themeOverride2.xml" ContentType="application/vnd.openxmlformats-officedocument.themeOverride+xml"/>
  <Override PartName="/word/theme/themeOverride3.xml" ContentType="application/vnd.openxmlformats-officedocument.themeOverride+xml"/>
  <Override PartName="/word/theme/themeOverride4.xml" ContentType="application/vnd.openxmlformats-officedocument.themeOverrid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67"/>
        <w:rPr>
          <w:lang w:eastAsia="zh-CN"/>
        </w:rPr>
      </w:pPr>
      <w:bookmarkStart w:id="13" w:name="_GoBack"/>
      <w:bookmarkEnd w:id="13"/>
      <w:bookmarkStart w:id="0" w:name="_Toc453597319"/>
      <w:bookmarkStart w:id="1" w:name="_Toc517262917"/>
      <w:bookmarkStart w:id="2" w:name="_Toc481801204"/>
      <w:bookmarkStart w:id="3" w:name="_Toc438987549"/>
      <w:bookmarkStart w:id="4" w:name="OLE_LINK15"/>
      <w:bookmarkStart w:id="5" w:name="_Toc418070112"/>
      <w:bookmarkStart w:id="6" w:name="_Toc415818939"/>
      <w:bookmarkStart w:id="7" w:name="_Toc415142861"/>
      <w:bookmarkStart w:id="8" w:name="OLE_LINK13"/>
      <w:bookmarkStart w:id="9" w:name="_Toc415143481"/>
      <w:bookmarkStart w:id="10" w:name="OLE_LINK40"/>
      <w:bookmarkStart w:id="11" w:name="OLE_LINK39"/>
      <w:bookmarkStart w:id="12" w:name="OLE_LINK24"/>
      <w:r>
        <w:rPr>
          <w:lang w:eastAsia="zh-CN"/>
        </w:rPr>
        <w:t>钓鱼线</w:t>
      </w:r>
      <w:r>
        <w:rPr>
          <w:rFonts w:hint="eastAsia"/>
          <w:lang w:eastAsia="zh-CN"/>
        </w:rPr>
        <w:t>全球市场总体规模</w:t>
      </w:r>
    </w:p>
    <w:p>
      <w:pPr>
        <w:pStyle w:val="145"/>
        <w:rPr>
          <w:lang w:eastAsia="zh-CN"/>
        </w:rPr>
      </w:pPr>
      <w:r>
        <w:rPr>
          <w:rFonts w:hint="eastAsia"/>
          <w:lang w:eastAsia="zh-CN"/>
        </w:rPr>
        <w:t>根据最新调研报告显示，预计2</w:t>
      </w:r>
      <w:r>
        <w:rPr>
          <w:lang w:eastAsia="zh-CN"/>
        </w:rPr>
        <w:t>029</w:t>
      </w:r>
      <w:r>
        <w:rPr>
          <w:rFonts w:hint="eastAsia"/>
          <w:lang w:eastAsia="zh-CN"/>
        </w:rPr>
        <w:t>年全球</w:t>
      </w:r>
      <w:r>
        <w:rPr>
          <w:lang w:eastAsia="zh-CN"/>
        </w:rPr>
        <w:t>钓鱼线</w:t>
      </w:r>
      <w:r>
        <w:rPr>
          <w:rFonts w:hint="eastAsia"/>
          <w:lang w:eastAsia="zh-CN"/>
        </w:rPr>
        <w:t>市场规模将达到</w:t>
      </w:r>
      <w:r>
        <w:rPr>
          <w:lang w:eastAsia="zh-CN"/>
        </w:rPr>
        <w:t>3200</w:t>
      </w:r>
      <w:r>
        <w:rPr>
          <w:rFonts w:hint="eastAsia"/>
          <w:lang w:eastAsia="zh-CN"/>
        </w:rPr>
        <w:t>万美元，未来几年年复合增长率CAGR为</w:t>
      </w:r>
      <w:r>
        <w:rPr>
          <w:lang w:eastAsia="zh-CN"/>
        </w:rPr>
        <w:t>2.56</w:t>
      </w:r>
      <w:r>
        <w:rPr>
          <w:rFonts w:hint="eastAsia"/>
          <w:lang w:eastAsia="zh-CN"/>
        </w:rPr>
        <w:t>%。</w:t>
      </w:r>
    </w:p>
    <w:p>
      <w:pPr>
        <w:pStyle w:val="148"/>
        <w:rPr>
          <w:lang w:eastAsia="zh-CN"/>
        </w:rPr>
      </w:pPr>
      <w:r>
        <w:rPr>
          <w:lang w:eastAsia="zh-CN"/>
        </w:rPr>
        <w:t>钓鱼线</w:t>
      </w:r>
      <w:r>
        <w:rPr>
          <w:rFonts w:hint="eastAsia"/>
          <w:lang w:eastAsia="zh-CN"/>
        </w:rPr>
        <w:t>，全球市场总体规模</w:t>
      </w:r>
    </w:p>
    <w:p>
      <w:pPr>
        <w:pStyle w:val="145"/>
        <w:rPr>
          <w:lang w:eastAsia="zh-CN"/>
        </w:rPr>
      </w:pPr>
      <w:r>
        <w:rPr>
          <w:lang w:val="en-US" w:eastAsia="zh-CN"/>
        </w:rPr>
        <w:drawing>
          <wp:inline distT="0" distB="0" distL="0" distR="0">
            <wp:extent cx="6188710" cy="2940685"/>
            <wp:effectExtent l="0" t="0" r="2540" b="0"/>
            <wp:docPr id="1"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7"/>
              </a:graphicData>
            </a:graphic>
          </wp:inline>
        </w:drawing>
      </w:r>
    </w:p>
    <w:p>
      <w:pPr>
        <w:pStyle w:val="143"/>
        <w:rPr>
          <w:lang w:eastAsia="zh-CN"/>
        </w:rPr>
      </w:pPr>
      <w:r>
        <w:rPr>
          <w:rFonts w:hint="eastAsia"/>
          <w:lang w:eastAsia="zh-CN"/>
        </w:rPr>
        <w:t>如上图表/数据，摘自QYResearch最新报告“全球</w:t>
      </w:r>
      <w:r>
        <w:rPr>
          <w:lang w:eastAsia="zh-CN"/>
        </w:rPr>
        <w:t>钓鱼线</w:t>
      </w:r>
      <w:r>
        <w:rPr>
          <w:rFonts w:hint="eastAsia"/>
          <w:lang w:eastAsia="zh-CN"/>
        </w:rPr>
        <w:t>市场研究报告2023-2029</w:t>
      </w:r>
      <w:r>
        <w:rPr>
          <w:lang w:eastAsia="zh-CN"/>
        </w:rPr>
        <w:t>.</w:t>
      </w:r>
    </w:p>
    <w:p>
      <w:pPr>
        <w:pStyle w:val="145"/>
        <w:rPr>
          <w:lang w:eastAsia="zh-CN"/>
        </w:rPr>
      </w:pPr>
    </w:p>
    <w:p>
      <w:pPr>
        <w:pStyle w:val="148"/>
        <w:rPr>
          <w:lang w:eastAsia="zh-CN"/>
        </w:rPr>
      </w:pPr>
      <w:r>
        <w:rPr>
          <w:rFonts w:hint="eastAsia"/>
          <w:lang w:eastAsia="zh-CN"/>
        </w:rPr>
        <w:t>全球</w:t>
      </w:r>
      <w:r>
        <w:rPr>
          <w:lang w:eastAsia="zh-CN"/>
        </w:rPr>
        <w:t>钓鱼线</w:t>
      </w:r>
      <w:r>
        <w:rPr>
          <w:rFonts w:hint="eastAsia"/>
          <w:lang w:eastAsia="zh-CN"/>
        </w:rPr>
        <w:t>市场前十强生产商排名及市场占有率（基于2</w:t>
      </w:r>
      <w:r>
        <w:rPr>
          <w:lang w:eastAsia="zh-CN"/>
        </w:rPr>
        <w:t>022</w:t>
      </w:r>
      <w:r>
        <w:rPr>
          <w:rFonts w:hint="eastAsia"/>
          <w:lang w:eastAsia="zh-CN"/>
        </w:rPr>
        <w:t>年调研数据；目前最新数据以本公司最新调研数据为准）</w:t>
      </w:r>
    </w:p>
    <w:p>
      <w:pPr>
        <w:widowControl/>
        <w:topLinePunct w:val="0"/>
        <w:spacing w:after="0"/>
        <w:jc w:val="center"/>
        <w:rPr>
          <w:rFonts w:ascii="宋体" w:hAnsi="宋体" w:cs="宋体"/>
          <w:kern w:val="0"/>
          <w:sz w:val="24"/>
          <w:szCs w:val="24"/>
        </w:rPr>
      </w:pPr>
      <w:r>
        <w:drawing>
          <wp:inline distT="0" distB="0" distL="0" distR="0">
            <wp:extent cx="4572000" cy="4399915"/>
            <wp:effectExtent l="0" t="0" r="0" b="635"/>
            <wp:docPr id="4" name="图表 4"/>
            <wp:cNvGraphicFramePr/>
            <a:graphic xmlns:a="http://schemas.openxmlformats.org/drawingml/2006/main">
              <a:graphicData uri="http://schemas.openxmlformats.org/drawingml/2006/chart">
                <c:chart xmlns:c="http://schemas.openxmlformats.org/drawingml/2006/chart" xmlns:r="http://schemas.openxmlformats.org/officeDocument/2006/relationships" r:id="rId8"/>
              </a:graphicData>
            </a:graphic>
          </wp:inline>
        </w:drawing>
      </w:r>
    </w:p>
    <w:p>
      <w:pPr>
        <w:pStyle w:val="143"/>
        <w:rPr>
          <w:lang w:eastAsia="zh-CN"/>
        </w:rPr>
      </w:pPr>
      <w:r>
        <w:rPr>
          <w:rFonts w:hint="eastAsia"/>
          <w:lang w:eastAsia="zh-CN"/>
        </w:rPr>
        <w:t>如上图表/数据，摘自QYResearch报告“全球</w:t>
      </w:r>
      <w:r>
        <w:rPr>
          <w:lang w:eastAsia="zh-CN"/>
        </w:rPr>
        <w:t>钓鱼线</w:t>
      </w:r>
      <w:r>
        <w:rPr>
          <w:rFonts w:hint="eastAsia"/>
          <w:lang w:eastAsia="zh-CN"/>
        </w:rPr>
        <w:t>市场研究报告2023-2029，排名基于2</w:t>
      </w:r>
      <w:r>
        <w:rPr>
          <w:lang w:eastAsia="zh-CN"/>
        </w:rPr>
        <w:t>022</w:t>
      </w:r>
      <w:r>
        <w:rPr>
          <w:rFonts w:hint="eastAsia"/>
          <w:lang w:eastAsia="zh-CN"/>
        </w:rPr>
        <w:t>数据。目前最新数据，以本公司最新调研数据为准。</w:t>
      </w:r>
    </w:p>
    <w:p>
      <w:pPr>
        <w:pStyle w:val="143"/>
        <w:rPr>
          <w:rFonts w:ascii="Times New Roman" w:hAnsi="Times New Roman" w:cs="Times New Roman"/>
          <w:i w:val="0"/>
          <w:color w:val="auto"/>
          <w:sz w:val="22"/>
          <w:lang w:val="en-US" w:eastAsia="zh-CN"/>
        </w:rPr>
      </w:pPr>
      <w:r>
        <w:rPr>
          <w:rFonts w:hint="eastAsia" w:ascii="Times New Roman" w:hAnsi="Times New Roman" w:cs="Times New Roman"/>
          <w:i w:val="0"/>
          <w:color w:val="auto"/>
          <w:sz w:val="22"/>
          <w:lang w:val="en-US" w:eastAsia="zh-CN"/>
        </w:rPr>
        <w:t>全球范围内钓鱼线生产商主要包括PureFishing、Toray、Sufix International、Sunline、SHIMANO INC、DAIWA 、FirstDart、Momoi、Maxima Fishing Line、Mercan Fishing Lines等。2022年，全球前十强厂商占有大约31.0%的市场份额。</w:t>
      </w:r>
    </w:p>
    <w:p>
      <w:pPr>
        <w:pStyle w:val="143"/>
        <w:rPr>
          <w:lang w:eastAsia="zh-CN"/>
        </w:rPr>
      </w:pPr>
    </w:p>
    <w:p>
      <w:pPr>
        <w:pStyle w:val="148"/>
        <w:rPr>
          <w:lang w:eastAsia="zh-CN"/>
        </w:rPr>
      </w:pPr>
      <w:r>
        <w:rPr>
          <w:lang w:eastAsia="zh-CN"/>
        </w:rPr>
        <w:t>钓鱼线</w:t>
      </w:r>
      <w:r>
        <w:rPr>
          <w:rFonts w:hint="eastAsia"/>
          <w:lang w:eastAsia="zh-CN"/>
        </w:rPr>
        <w:t>，全球市场规模，按产品类型细分，A</w:t>
      </w:r>
      <w:r>
        <w:rPr>
          <w:lang w:eastAsia="zh-CN"/>
        </w:rPr>
        <w:t>R500</w:t>
      </w:r>
      <w:r>
        <w:rPr>
          <w:rFonts w:hint="eastAsia"/>
          <w:lang w:eastAsia="zh-CN"/>
        </w:rPr>
        <w:t>钓鱼线处于主导地位</w:t>
      </w:r>
    </w:p>
    <w:p>
      <w:pPr>
        <w:pStyle w:val="145"/>
        <w:rPr>
          <w:lang w:eastAsia="zh-CN"/>
        </w:rPr>
      </w:pPr>
      <w:r>
        <w:rPr>
          <w:lang w:val="en-US" w:eastAsia="zh-CN"/>
        </w:rPr>
        <w:drawing>
          <wp:inline distT="0" distB="0" distL="0" distR="0">
            <wp:extent cx="6638925" cy="3060700"/>
            <wp:effectExtent l="0" t="0" r="9525" b="635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a:xfrm>
                      <a:off x="0" y="0"/>
                      <a:ext cx="6638925" cy="3060700"/>
                    </a:xfrm>
                    <a:prstGeom prst="rect">
                      <a:avLst/>
                    </a:prstGeom>
                    <a:noFill/>
                  </pic:spPr>
                </pic:pic>
              </a:graphicData>
            </a:graphic>
          </wp:inline>
        </w:drawing>
      </w:r>
    </w:p>
    <w:p>
      <w:pPr>
        <w:pStyle w:val="143"/>
        <w:rPr>
          <w:lang w:eastAsia="zh-CN"/>
        </w:rPr>
      </w:pPr>
      <w:r>
        <w:rPr>
          <w:lang w:val="en-US" w:eastAsia="zh-CN"/>
        </w:rPr>
        <w:drawing>
          <wp:inline distT="0" distB="0" distL="0" distR="0">
            <wp:extent cx="6188710" cy="2922270"/>
            <wp:effectExtent l="0" t="0" r="2540" b="0"/>
            <wp:docPr id="6" name="图表 6"/>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p>
      <w:pPr>
        <w:pStyle w:val="143"/>
        <w:rPr>
          <w:lang w:eastAsia="zh-CN"/>
        </w:rPr>
      </w:pPr>
      <w:r>
        <w:rPr>
          <w:rFonts w:hint="eastAsia"/>
          <w:lang w:eastAsia="zh-CN"/>
        </w:rPr>
        <w:t>如上图表/数据，摘自QYResearch最新报告“全球</w:t>
      </w:r>
      <w:r>
        <w:rPr>
          <w:lang w:eastAsia="zh-CN"/>
        </w:rPr>
        <w:t>钓鱼线</w:t>
      </w:r>
      <w:r>
        <w:rPr>
          <w:rFonts w:hint="eastAsia"/>
          <w:lang w:eastAsia="zh-CN"/>
        </w:rPr>
        <w:t>市场研究报告2023-2029</w:t>
      </w:r>
      <w:r>
        <w:rPr>
          <w:lang w:eastAsia="zh-CN"/>
        </w:rPr>
        <w:t>.</w:t>
      </w:r>
    </w:p>
    <w:p>
      <w:pPr>
        <w:pStyle w:val="145"/>
        <w:rPr>
          <w:lang w:eastAsia="zh-CN"/>
        </w:rPr>
      </w:pPr>
      <w:r>
        <w:rPr>
          <w:rFonts w:hint="eastAsia"/>
          <w:lang w:eastAsia="zh-CN"/>
        </w:rPr>
        <w:t>就产品类型而言，目前单丝钓鱼线是最主要的细分产品，占据大约49%的份额。</w:t>
      </w:r>
    </w:p>
    <w:p>
      <w:pPr>
        <w:pStyle w:val="145"/>
        <w:rPr>
          <w:lang w:eastAsia="zh-CN"/>
        </w:rPr>
      </w:pPr>
    </w:p>
    <w:p>
      <w:pPr>
        <w:pStyle w:val="148"/>
        <w:rPr>
          <w:lang w:eastAsia="zh-CN"/>
        </w:rPr>
      </w:pPr>
      <w:r>
        <w:rPr>
          <w:lang w:eastAsia="zh-CN"/>
        </w:rPr>
        <w:t>钓鱼线</w:t>
      </w:r>
      <w:r>
        <w:rPr>
          <w:rFonts w:hint="eastAsia"/>
          <w:lang w:eastAsia="zh-CN"/>
        </w:rPr>
        <w:t>，全球市场规模，按应用细分，清水钓是最大的下游市场，占有</w:t>
      </w:r>
      <w:r>
        <w:rPr>
          <w:lang w:eastAsia="zh-CN"/>
        </w:rPr>
        <w:t>86</w:t>
      </w:r>
      <w:r>
        <w:rPr>
          <w:rFonts w:hint="eastAsia"/>
          <w:lang w:eastAsia="zh-CN"/>
        </w:rPr>
        <w:t>%份额。</w:t>
      </w:r>
    </w:p>
    <w:p>
      <w:pPr>
        <w:pStyle w:val="145"/>
      </w:pPr>
      <w:r>
        <w:rPr>
          <w:lang w:val="en-US" w:eastAsia="zh-CN"/>
        </w:rPr>
        <w:drawing>
          <wp:inline distT="0" distB="0" distL="0" distR="0">
            <wp:extent cx="6638925" cy="3060700"/>
            <wp:effectExtent l="0" t="0" r="9525" b="635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a:xfrm>
                      <a:off x="0" y="0"/>
                      <a:ext cx="6638925" cy="3060700"/>
                    </a:xfrm>
                    <a:prstGeom prst="rect">
                      <a:avLst/>
                    </a:prstGeom>
                    <a:noFill/>
                  </pic:spPr>
                </pic:pic>
              </a:graphicData>
            </a:graphic>
          </wp:inline>
        </w:drawing>
      </w:r>
    </w:p>
    <w:p>
      <w:pPr>
        <w:pStyle w:val="145"/>
      </w:pPr>
      <w:r>
        <w:rPr>
          <w:lang w:val="en-US" w:eastAsia="zh-CN"/>
        </w:rPr>
        <w:drawing>
          <wp:inline distT="0" distB="0" distL="0" distR="0">
            <wp:extent cx="6188710" cy="2922270"/>
            <wp:effectExtent l="0" t="0" r="2540" b="0"/>
            <wp:docPr id="10" name="图表 10"/>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p>
      <w:pPr>
        <w:pStyle w:val="143"/>
        <w:rPr>
          <w:lang w:eastAsia="zh-CN"/>
        </w:rPr>
      </w:pPr>
      <w:r>
        <w:rPr>
          <w:rFonts w:hint="eastAsia"/>
          <w:lang w:eastAsia="zh-CN"/>
        </w:rPr>
        <w:t>如上图表/数据，摘自QYResearch最新报告“全球</w:t>
      </w:r>
      <w:r>
        <w:rPr>
          <w:lang w:eastAsia="zh-CN"/>
        </w:rPr>
        <w:t>钓鱼线</w:t>
      </w:r>
      <w:r>
        <w:rPr>
          <w:rFonts w:hint="eastAsia"/>
          <w:lang w:eastAsia="zh-CN"/>
        </w:rPr>
        <w:t>市场研究报告2023-2029</w:t>
      </w:r>
      <w:r>
        <w:rPr>
          <w:lang w:eastAsia="zh-CN"/>
        </w:rPr>
        <w:t>.</w:t>
      </w:r>
    </w:p>
    <w:p>
      <w:pPr>
        <w:pStyle w:val="145"/>
        <w:rPr>
          <w:lang w:eastAsia="zh-CN"/>
        </w:rPr>
      </w:pPr>
      <w:r>
        <w:rPr>
          <w:rFonts w:hint="eastAsia"/>
          <w:lang w:eastAsia="zh-CN"/>
        </w:rPr>
        <w:t>就产品类型而言，目前清水钓是最主要的需求来源，占据大约</w:t>
      </w:r>
      <w:r>
        <w:rPr>
          <w:lang w:eastAsia="zh-CN"/>
        </w:rPr>
        <w:t>86</w:t>
      </w:r>
      <w:r>
        <w:rPr>
          <w:rFonts w:hint="eastAsia"/>
          <w:lang w:eastAsia="zh-CN"/>
        </w:rPr>
        <w:t>%的份额。</w:t>
      </w:r>
    </w:p>
    <w:p>
      <w:pPr>
        <w:pStyle w:val="145"/>
        <w:rPr>
          <w:lang w:eastAsia="zh-CN"/>
        </w:rPr>
      </w:pPr>
    </w:p>
    <w:p>
      <w:pPr>
        <w:pStyle w:val="148"/>
        <w:rPr>
          <w:lang w:eastAsia="zh-CN"/>
        </w:rPr>
      </w:pPr>
      <w:r>
        <w:rPr>
          <w:rFonts w:hint="eastAsia"/>
          <w:lang w:eastAsia="zh-CN"/>
        </w:rPr>
        <w:t>全球</w:t>
      </w:r>
      <w:r>
        <w:rPr>
          <w:lang w:eastAsia="zh-CN"/>
        </w:rPr>
        <w:t>钓鱼线</w:t>
      </w:r>
      <w:r>
        <w:rPr>
          <w:rFonts w:hint="eastAsia"/>
          <w:lang w:eastAsia="zh-CN"/>
        </w:rPr>
        <w:t>规模，主要生产地区份额（按产值）</w:t>
      </w:r>
    </w:p>
    <w:p>
      <w:pPr>
        <w:pStyle w:val="145"/>
        <w:rPr>
          <w:lang w:val="en-US" w:eastAsia="zh-CN"/>
        </w:rPr>
      </w:pPr>
      <w:r>
        <w:rPr>
          <w:lang w:val="en-US" w:eastAsia="zh-CN"/>
        </w:rPr>
        <w:drawing>
          <wp:inline distT="0" distB="0" distL="0" distR="0">
            <wp:extent cx="6188710" cy="3438525"/>
            <wp:effectExtent l="0" t="0" r="2540" b="0"/>
            <wp:docPr id="190403664"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inline>
        </w:drawing>
      </w:r>
    </w:p>
    <w:p>
      <w:pPr>
        <w:pStyle w:val="145"/>
        <w:rPr>
          <w:lang w:val="en-US" w:eastAsia="zh-CN"/>
        </w:rPr>
      </w:pPr>
      <w:r>
        <w:rPr>
          <w:lang w:val="en-US" w:eastAsia="zh-CN"/>
        </w:rPr>
        <w:drawing>
          <wp:inline distT="0" distB="0" distL="0" distR="0">
            <wp:extent cx="6188710" cy="3438525"/>
            <wp:effectExtent l="0" t="0" r="2540" b="0"/>
            <wp:docPr id="1071430877"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inline>
        </w:drawing>
      </w:r>
    </w:p>
    <w:p>
      <w:pPr>
        <w:pStyle w:val="143"/>
        <w:rPr>
          <w:lang w:eastAsia="zh-CN"/>
        </w:rPr>
      </w:pPr>
      <w:r>
        <w:rPr>
          <w:rFonts w:hint="eastAsia"/>
          <w:lang w:eastAsia="zh-CN"/>
        </w:rPr>
        <w:t>如上图表/数据，摘自QYResearch最新报告“全球</w:t>
      </w:r>
      <w:r>
        <w:rPr>
          <w:lang w:eastAsia="zh-CN"/>
        </w:rPr>
        <w:t>钓鱼线</w:t>
      </w:r>
      <w:r>
        <w:rPr>
          <w:rFonts w:hint="eastAsia"/>
          <w:lang w:eastAsia="zh-CN"/>
        </w:rPr>
        <w:t>市场研究报告2023-2029</w:t>
      </w:r>
      <w:r>
        <w:rPr>
          <w:lang w:eastAsia="zh-CN"/>
        </w:rPr>
        <w:t>.</w:t>
      </w:r>
    </w:p>
    <w:p>
      <w:pPr>
        <w:pStyle w:val="148"/>
        <w:rPr>
          <w:lang w:eastAsia="zh-CN"/>
        </w:rPr>
      </w:pPr>
      <w:r>
        <w:rPr>
          <w:rFonts w:hint="eastAsia"/>
          <w:lang w:eastAsia="zh-CN"/>
        </w:rPr>
        <w:t>全球主要市场</w:t>
      </w:r>
      <w:r>
        <w:rPr>
          <w:lang w:eastAsia="zh-CN"/>
        </w:rPr>
        <w:t>钓鱼线</w:t>
      </w:r>
      <w:r>
        <w:rPr>
          <w:rFonts w:hint="eastAsia"/>
          <w:lang w:eastAsia="zh-CN"/>
        </w:rPr>
        <w:t>规模</w:t>
      </w:r>
    </w:p>
    <w:p>
      <w:pPr>
        <w:pStyle w:val="145"/>
        <w:rPr>
          <w:lang w:val="en-US" w:eastAsia="zh-CN"/>
        </w:rPr>
      </w:pPr>
      <w:r>
        <w:rPr>
          <w:lang w:val="en-US" w:eastAsia="zh-CN"/>
        </w:rPr>
        <w:drawing>
          <wp:inline distT="0" distB="0" distL="0" distR="0">
            <wp:extent cx="6188710" cy="3438525"/>
            <wp:effectExtent l="0" t="0" r="2540" b="0"/>
            <wp:docPr id="1450772141" name="图表 1450772141"/>
            <wp:cNvGraphicFramePr/>
            <a:graphic xmlns:a="http://schemas.openxmlformats.org/drawingml/2006/main">
              <a:graphicData uri="http://schemas.openxmlformats.org/drawingml/2006/chart">
                <c:chart xmlns:c="http://schemas.openxmlformats.org/drawingml/2006/chart" xmlns:r="http://schemas.openxmlformats.org/officeDocument/2006/relationships" r:id="rId15"/>
              </a:graphicData>
            </a:graphic>
          </wp:inline>
        </w:drawing>
      </w:r>
    </w:p>
    <w:p>
      <w:pPr>
        <w:pStyle w:val="145"/>
        <w:rPr>
          <w:lang w:val="en-US" w:eastAsia="zh-CN"/>
        </w:rPr>
      </w:pPr>
      <w:r>
        <w:rPr>
          <w:lang w:val="en-US" w:eastAsia="zh-CN"/>
        </w:rPr>
        <w:drawing>
          <wp:inline distT="0" distB="0" distL="0" distR="0">
            <wp:extent cx="6188710" cy="3438525"/>
            <wp:effectExtent l="0" t="0" r="2540" b="0"/>
            <wp:docPr id="163511175" name="图表 163511175"/>
            <wp:cNvGraphicFramePr/>
            <a:graphic xmlns:a="http://schemas.openxmlformats.org/drawingml/2006/main">
              <a:graphicData uri="http://schemas.openxmlformats.org/drawingml/2006/chart">
                <c:chart xmlns:c="http://schemas.openxmlformats.org/drawingml/2006/chart" xmlns:r="http://schemas.openxmlformats.org/officeDocument/2006/relationships" r:id="rId16"/>
              </a:graphicData>
            </a:graphic>
          </wp:inline>
        </w:drawing>
      </w:r>
    </w:p>
    <w:p>
      <w:pPr>
        <w:pStyle w:val="143"/>
        <w:rPr>
          <w:lang w:eastAsia="zh-CN"/>
        </w:rPr>
      </w:pPr>
      <w:r>
        <w:rPr>
          <w:rFonts w:hint="eastAsia"/>
          <w:lang w:eastAsia="zh-CN"/>
        </w:rPr>
        <w:t>如上图表/数据，摘自QYResearch最新报告“全球</w:t>
      </w:r>
      <w:r>
        <w:rPr>
          <w:lang w:eastAsia="zh-CN"/>
        </w:rPr>
        <w:t>钓鱼线</w:t>
      </w:r>
      <w:r>
        <w:rPr>
          <w:rFonts w:hint="eastAsia"/>
          <w:lang w:eastAsia="zh-CN"/>
        </w:rPr>
        <w:t>市场研究报告2023-2029</w:t>
      </w:r>
      <w:r>
        <w:rPr>
          <w:lang w:eastAsia="zh-CN"/>
        </w:rPr>
        <w:t>.</w:t>
      </w:r>
    </w:p>
    <w:p>
      <w:pPr>
        <w:pStyle w:val="145"/>
        <w:rPr>
          <w:lang w:eastAsia="zh-CN"/>
        </w:rPr>
      </w:pPr>
    </w:p>
    <w:p>
      <w:pPr>
        <w:pStyle w:val="145"/>
        <w:rPr>
          <w:lang w:eastAsia="zh-CN"/>
        </w:rPr>
      </w:pPr>
      <w:r>
        <w:rPr>
          <w:rFonts w:hint="eastAsia"/>
          <w:lang w:eastAsia="zh-CN"/>
        </w:rPr>
        <w:t>主要驱动因素</w:t>
      </w:r>
      <w:r>
        <w:rPr>
          <w:lang w:eastAsia="zh-CN"/>
        </w:rPr>
        <w:t>:</w:t>
      </w:r>
    </w:p>
    <w:p>
      <w:pPr>
        <w:pStyle w:val="145"/>
        <w:rPr>
          <w:lang w:eastAsia="zh-CN"/>
        </w:rPr>
      </w:pPr>
      <w:r>
        <w:rPr>
          <w:rFonts w:hint="eastAsia"/>
          <w:lang w:eastAsia="zh-CN"/>
        </w:rPr>
        <w:t>休闲钓鱼的增长：休闲钓鱼的日益普及是钓鱼线市场的重要驱动力。 随着越来越多的人将钓鱼作为一种休闲活动，对具有耐用性、强度和灵敏度的高质量钓鱼线的需求不断增长。</w:t>
      </w:r>
    </w:p>
    <w:p>
      <w:pPr>
        <w:pStyle w:val="145"/>
        <w:rPr>
          <w:lang w:eastAsia="zh-CN"/>
        </w:rPr>
      </w:pPr>
    </w:p>
    <w:p>
      <w:pPr>
        <w:pStyle w:val="145"/>
        <w:rPr>
          <w:lang w:eastAsia="zh-CN"/>
        </w:rPr>
      </w:pPr>
      <w:r>
        <w:rPr>
          <w:rFonts w:hint="eastAsia"/>
          <w:lang w:eastAsia="zh-CN"/>
        </w:rPr>
        <w:t>技术进步：渔线技术的不断进步有助于提高性能和效率。 新材料、涂层和制造技术等创新提高了鱼线的强度、可抛性和敏感性，推动了市场增长。</w:t>
      </w:r>
    </w:p>
    <w:p>
      <w:pPr>
        <w:pStyle w:val="145"/>
        <w:rPr>
          <w:lang w:eastAsia="zh-CN"/>
        </w:rPr>
      </w:pPr>
    </w:p>
    <w:p>
      <w:pPr>
        <w:pStyle w:val="145"/>
        <w:rPr>
          <w:lang w:eastAsia="zh-CN"/>
        </w:rPr>
      </w:pPr>
      <w:r>
        <w:rPr>
          <w:rFonts w:hint="eastAsia"/>
          <w:lang w:eastAsia="zh-CN"/>
        </w:rPr>
        <w:t>可支配收入的增加：消费者的可支配收入水平在渔线市场中发挥着至关重要的作用。 随着可支配收入的增加，个人更愿意投资优质和专业的渔线，从而推动了整体市场的发展。</w:t>
      </w:r>
    </w:p>
    <w:p>
      <w:pPr>
        <w:pStyle w:val="145"/>
        <w:rPr>
          <w:lang w:eastAsia="zh-CN"/>
        </w:rPr>
      </w:pPr>
    </w:p>
    <w:p>
      <w:pPr>
        <w:pStyle w:val="145"/>
        <w:rPr>
          <w:lang w:eastAsia="zh-CN"/>
        </w:rPr>
      </w:pPr>
      <w:r>
        <w:rPr>
          <w:rFonts w:hint="eastAsia"/>
          <w:lang w:eastAsia="zh-CN"/>
        </w:rPr>
        <w:t>扩大渔业：商业和休闲渔业的增长直接影响对鱼线的需求。 商业性渔业以及各地区捕捞活动的扩大促进了市场的积极发展。</w:t>
      </w:r>
    </w:p>
    <w:p>
      <w:pPr>
        <w:pStyle w:val="145"/>
        <w:rPr>
          <w:lang w:eastAsia="zh-CN"/>
        </w:rPr>
      </w:pPr>
    </w:p>
    <w:p>
      <w:pPr>
        <w:pStyle w:val="145"/>
        <w:rPr>
          <w:lang w:eastAsia="zh-CN"/>
        </w:rPr>
      </w:pPr>
      <w:r>
        <w:rPr>
          <w:rFonts w:hint="eastAsia"/>
          <w:lang w:eastAsia="zh-CN"/>
        </w:rPr>
        <w:t>主要阻碍因素</w:t>
      </w:r>
      <w:r>
        <w:rPr>
          <w:lang w:eastAsia="zh-CN"/>
        </w:rPr>
        <w:t>:</w:t>
      </w:r>
    </w:p>
    <w:p>
      <w:pPr>
        <w:pStyle w:val="145"/>
        <w:rPr>
          <w:lang w:eastAsia="zh-CN"/>
        </w:rPr>
      </w:pPr>
      <w:r>
        <w:rPr>
          <w:rFonts w:hint="eastAsia"/>
          <w:lang w:eastAsia="zh-CN"/>
        </w:rPr>
        <w:t>环境问题：鱼线的生产和处置，尤其是由不可生物降解材料制成的鱼线，会造成环境污染。 废弃或丢失的渔线可能会危害海洋生物，影响生态系统，并给水生环境带来问题。 随着人们对环境问题的认识不断增强，对可持续和生态友好型渔线的需求不断增长。 制造商面临着平衡渔线的耐用性和性能与对环境负责的材料和制造工艺的需求的挑战。</w:t>
      </w:r>
    </w:p>
    <w:p>
      <w:pPr>
        <w:pStyle w:val="145"/>
        <w:rPr>
          <w:lang w:eastAsia="zh-CN"/>
        </w:rPr>
      </w:pPr>
    </w:p>
    <w:p>
      <w:pPr>
        <w:pStyle w:val="145"/>
        <w:rPr>
          <w:lang w:eastAsia="zh-CN"/>
        </w:rPr>
      </w:pPr>
      <w:r>
        <w:rPr>
          <w:rFonts w:hint="eastAsia"/>
          <w:lang w:eastAsia="zh-CN"/>
        </w:rPr>
        <w:t>行业发展机遇</w:t>
      </w:r>
      <w:r>
        <w:rPr>
          <w:lang w:eastAsia="zh-CN"/>
        </w:rPr>
        <w:t>:</w:t>
      </w:r>
    </w:p>
    <w:p>
      <w:pPr>
        <w:pStyle w:val="145"/>
        <w:rPr>
          <w:lang w:eastAsia="zh-CN"/>
        </w:rPr>
      </w:pPr>
      <w:r>
        <w:rPr>
          <w:rFonts w:hint="eastAsia"/>
          <w:lang w:eastAsia="zh-CN"/>
        </w:rPr>
        <w:t>技术创新和先进材料：</w:t>
      </w:r>
    </w:p>
    <w:p>
      <w:pPr>
        <w:pStyle w:val="145"/>
        <w:rPr>
          <w:lang w:eastAsia="zh-CN"/>
        </w:rPr>
      </w:pPr>
    </w:p>
    <w:p>
      <w:pPr>
        <w:pStyle w:val="145"/>
        <w:rPr>
          <w:lang w:eastAsia="zh-CN"/>
        </w:rPr>
      </w:pPr>
      <w:r>
        <w:rPr>
          <w:rFonts w:hint="eastAsia"/>
          <w:lang w:eastAsia="zh-CN"/>
        </w:rPr>
        <w:t>制造商投资研发以采用先进材料和创新技术制造钓鱼线的机会越来越多。 这包括开发高性能材料、涂层和制造工艺，以增强钓鱼线的强度、耐用性、灵敏度和其他性能特征。</w:t>
      </w:r>
    </w:p>
    <w:p>
      <w:pPr>
        <w:pStyle w:val="145"/>
        <w:rPr>
          <w:lang w:eastAsia="zh-CN"/>
        </w:rPr>
      </w:pPr>
    </w:p>
    <w:p>
      <w:pPr>
        <w:pStyle w:val="145"/>
        <w:rPr>
          <w:lang w:eastAsia="zh-CN"/>
        </w:rPr>
      </w:pPr>
      <w:r>
        <w:rPr>
          <w:rFonts w:hint="eastAsia"/>
          <w:lang w:eastAsia="zh-CN"/>
        </w:rPr>
        <w:t>纳米技术：融合纳米技术，提高鱼线的强度和耐磨性。</w:t>
      </w:r>
    </w:p>
    <w:p>
      <w:pPr>
        <w:pStyle w:val="145"/>
        <w:rPr>
          <w:lang w:eastAsia="zh-CN"/>
        </w:rPr>
      </w:pPr>
    </w:p>
    <w:p>
      <w:pPr>
        <w:pStyle w:val="145"/>
        <w:rPr>
          <w:lang w:eastAsia="zh-CN"/>
        </w:rPr>
      </w:pPr>
      <w:r>
        <w:rPr>
          <w:rFonts w:hint="eastAsia"/>
          <w:lang w:eastAsia="zh-CN"/>
        </w:rPr>
        <w:t>混合线：开发结合不同材料（例如编织线和碳氟化合物）优点的混合钓鱼线，为钓鱼者提供多功能和高性能的选择。</w:t>
      </w:r>
    </w:p>
    <w:p>
      <w:pPr>
        <w:pStyle w:val="145"/>
        <w:rPr>
          <w:lang w:eastAsia="zh-CN"/>
        </w:rPr>
      </w:pPr>
    </w:p>
    <w:p>
      <w:pPr>
        <w:pStyle w:val="145"/>
        <w:rPr>
          <w:lang w:eastAsia="zh-CN"/>
        </w:rPr>
      </w:pPr>
      <w:r>
        <w:rPr>
          <w:rFonts w:hint="eastAsia"/>
          <w:lang w:eastAsia="zh-CN"/>
        </w:rPr>
        <w:t>智能钓鱼线：集成传感器或技术，提供有关钓鱼线张力、水下条件或鱼类活动的实时反馈。</w:t>
      </w:r>
    </w:p>
    <w:p>
      <w:pPr>
        <w:pStyle w:val="145"/>
        <w:rPr>
          <w:lang w:eastAsia="zh-CN"/>
        </w:rPr>
      </w:pPr>
    </w:p>
    <w:p>
      <w:pPr>
        <w:pStyle w:val="145"/>
        <w:rPr>
          <w:lang w:eastAsia="zh-CN"/>
        </w:rPr>
      </w:pPr>
      <w:r>
        <w:rPr>
          <w:rFonts w:hint="eastAsia"/>
          <w:lang w:eastAsia="zh-CN"/>
        </w:rPr>
        <w:t>通过采用尖端技术，制造商可以制造出性能卓越并满足钓鱼者不断变化的需求和偏好的钓鱼线。 这不仅提供了市场竞争优势，还吸引了寻求最新渔具进步的爱好者。</w:t>
      </w:r>
    </w:p>
    <w:p>
      <w:pPr>
        <w:pStyle w:val="145"/>
        <w:rPr>
          <w:lang w:eastAsia="zh-CN"/>
        </w:rPr>
      </w:pPr>
    </w:p>
    <w:p>
      <w:pPr>
        <w:pStyle w:val="145"/>
        <w:rPr>
          <w:lang w:eastAsia="zh-CN"/>
        </w:rPr>
      </w:pPr>
      <w:r>
        <w:rPr>
          <w:rFonts w:hint="eastAsia"/>
          <w:lang w:eastAsia="zh-CN"/>
        </w:rPr>
        <w:t>此外，有效营销这些技术创新可以打造强大的品牌形象并吸引寻求顶级捕鱼设备的客户群。 这一机会符合休闲钓鱼行业持续改进和创新的趋势。</w:t>
      </w:r>
    </w:p>
    <w:p>
      <w:pPr>
        <w:pStyle w:val="145"/>
        <w:rPr>
          <w:lang w:eastAsia="zh-CN"/>
        </w:rPr>
      </w:pPr>
    </w:p>
    <w:bookmarkEnd w:id="0"/>
    <w:bookmarkEnd w:id="1"/>
    <w:bookmarkEnd w:id="2"/>
    <w:bookmarkEnd w:id="3"/>
    <w:bookmarkEnd w:id="4"/>
    <w:bookmarkEnd w:id="5"/>
    <w:bookmarkEnd w:id="6"/>
    <w:bookmarkEnd w:id="7"/>
    <w:bookmarkEnd w:id="8"/>
    <w:bookmarkEnd w:id="9"/>
    <w:bookmarkEnd w:id="10"/>
    <w:bookmarkEnd w:id="11"/>
    <w:bookmarkEnd w:id="12"/>
    <w:p>
      <w:pPr>
        <w:pStyle w:val="145"/>
        <w:rPr>
          <w:lang w:eastAsia="zh-CN"/>
        </w:rPr>
      </w:pPr>
    </w:p>
    <w:sectPr>
      <w:headerReference r:id="rId5" w:type="first"/>
      <w:headerReference r:id="rId4" w:type="even"/>
      <w:pgSz w:w="11906" w:h="16838"/>
      <w:pgMar w:top="1440" w:right="1080" w:bottom="1440" w:left="1080" w:header="709" w:footer="567" w:gutter="0"/>
      <w:pgBorders w:offsetFrom="page">
        <w:top w:val="none" w:sz="0" w:space="0"/>
        <w:left w:val="none" w:sz="0" w:space="0"/>
        <w:bottom w:val="none" w:sz="0" w:space="0"/>
        <w:right w:val="none" w:sz="0" w:space="0"/>
      </w:pgBorders>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Tahoma">
    <w:panose1 w:val="020B0604030504040204"/>
    <w:charset w:val="00"/>
    <w:family w:val="swiss"/>
    <w:pitch w:val="default"/>
    <w:sig w:usb0="E1002EFF" w:usb1="C000605B" w:usb2="00000029" w:usb3="00000000" w:csb0="200101FF" w:csb1="20280000"/>
  </w:font>
  <w:font w:name="等线 Light">
    <w:panose1 w:val="02010600030101010101"/>
    <w:charset w:val="86"/>
    <w:family w:val="auto"/>
    <w:pitch w:val="default"/>
    <w:sig w:usb0="A00002BF" w:usb1="38CF7CFA" w:usb2="00000016" w:usb3="00000000" w:csb0="0004000F" w:csb1="00000000"/>
  </w:font>
  <w:font w:name="Book Antiqua">
    <w:panose1 w:val="02040602050305030304"/>
    <w:charset w:val="00"/>
    <w:family w:val="roman"/>
    <w:pitch w:val="default"/>
    <w:sig w:usb0="00000287" w:usb1="00000000" w:usb2="00000000" w:usb3="00000000" w:csb0="2000009F" w:csb1="DFD70000"/>
  </w:font>
  <w:font w:name="Frutiger">
    <w:altName w:val="Cambria"/>
    <w:panose1 w:val="00000000000000000000"/>
    <w:charset w:val="00"/>
    <w:family w:val="roman"/>
    <w:pitch w:val="default"/>
    <w:sig w:usb0="00000000" w:usb1="00000000" w:usb2="00000000" w:usb3="00000000" w:csb0="00000000" w:csb1="00000000"/>
  </w:font>
  <w:font w:name="Arial Unicode MS">
    <w:altName w:val="宋体"/>
    <w:panose1 w:val="020B0604020202020204"/>
    <w:charset w:val="86"/>
    <w:family w:val="swiss"/>
    <w:pitch w:val="default"/>
    <w:sig w:usb0="00000000" w:usb1="00000000" w:usb2="0000003F" w:usb3="00000000" w:csb0="003F01FF" w:csb1="00000000"/>
  </w:font>
  <w:font w:name="微软雅黑">
    <w:panose1 w:val="020B0503020204020204"/>
    <w:charset w:val="86"/>
    <w:family w:val="swiss"/>
    <w:pitch w:val="default"/>
    <w:sig w:usb0="80000287" w:usb1="2ACF3C50" w:usb2="00000016" w:usb3="00000000" w:csb0="0004001F" w:csb1="00000000"/>
  </w:font>
  <w:font w:name="Microsoft YaHei UI">
    <w:panose1 w:val="020B0503020204020204"/>
    <w:charset w:val="86"/>
    <w:family w:val="swiss"/>
    <w:pitch w:val="default"/>
    <w:sig w:usb0="80000287" w:usb1="2ACF3C50" w:usb2="00000016" w:usb3="00000000" w:csb0="0004001F" w:csb1="00000000"/>
  </w:font>
  <w:font w:name="Courier New">
    <w:panose1 w:val="02070309020205020404"/>
    <w:charset w:val="00"/>
    <w:family w:val="modern"/>
    <w:pitch w:val="default"/>
    <w:sig w:usb0="E0002EFF" w:usb1="C0007843" w:usb2="00000009" w:usb3="00000000" w:csb0="400001FF" w:csb1="FFFF0000"/>
  </w:font>
  <w:font w:name="Cambria">
    <w:panose1 w:val="02040503050406030204"/>
    <w:charset w:val="00"/>
    <w:family w:val="roman"/>
    <w:pitch w:val="default"/>
    <w:sig w:usb0="E00006FF" w:usb1="420024FF" w:usb2="02000000" w:usb3="00000000" w:csb0="2000019F" w:csb1="00000000"/>
  </w:font>
  <w:font w:name="Arial">
    <w:panose1 w:val="020B0604020202020204"/>
    <w:charset w:val="00"/>
    <w:family w:val="swiss"/>
    <w:pitch w:val="default"/>
    <w:sig w:usb0="E0002EFF" w:usb1="C000785B" w:usb2="00000009" w:usb3="00000000" w:csb0="400001FF" w:csb1="FFFF0000"/>
  </w:font>
  <w:font w:name="Century Gothic">
    <w:panose1 w:val="020B0502020202020204"/>
    <w:charset w:val="00"/>
    <w:family w:val="swiss"/>
    <w:pitch w:val="default"/>
    <w:sig w:usb0="00000287" w:usb1="00000000" w:usb2="00000000" w:usb3="00000000" w:csb0="2000009F" w:csb1="DFD70000"/>
  </w:font>
  <w:font w:name="Franklin Gothic Demi">
    <w:panose1 w:val="020B0703020102020204"/>
    <w:charset w:val="00"/>
    <w:family w:val="swiss"/>
    <w:pitch w:val="default"/>
    <w:sig w:usb0="00000287" w:usb1="00000000" w:usb2="00000000" w:usb3="00000000" w:csb0="2000009F" w:csb1="DFD7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r>
      <w:rPr>
        <w:lang w:eastAsia="en-IN"/>
      </w:rPr>
      <w:pict>
        <v:shape id="WordPictureWatermark17776532" o:spid="_x0000_s2056" o:spt="75" type="#_x0000_t75" style="position:absolute;left:0pt;height:238.85pt;width:481.85pt;mso-position-horizontal:center;mso-position-horizontal-relative:margin;mso-position-vertical:center;mso-position-vertical-relative:margin;z-index:-251656192;mso-width-relative:page;mso-height-relative:page;" filled="f" o:preferrelative="t" stroked="f" coordsize="21600,21600" o:allowincell="f">
          <v:path/>
          <v:fill on="f" focussize="0,0"/>
          <v:stroke on="f" joinstyle="miter"/>
          <v:imagedata r:id="rId1" gain="19661f" blacklevel="22938f" o:title="123-01"/>
          <o:lock v:ext="edit" aspectratio="t"/>
        </v:shape>
      </w:pic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r>
      <w:rPr>
        <w:lang w:eastAsia="en-IN"/>
      </w:rPr>
      <w:pict>
        <v:shape id="WordPictureWatermark17776531" o:spid="_x0000_s2055" o:spt="75" type="#_x0000_t75" style="position:absolute;left:0pt;height:238.85pt;width:481.85pt;mso-position-horizontal:center;mso-position-horizontal-relative:margin;mso-position-vertical:center;mso-position-vertical-relative:margin;z-index:-251657216;mso-width-relative:page;mso-height-relative:page;" filled="f" o:preferrelative="t" stroked="f" coordsize="21600,21600" o:allowincell="f">
          <v:path/>
          <v:fill on="f" focussize="0,0"/>
          <v:stroke on="f" joinstyle="miter"/>
          <v:imagedata r:id="rId1" gain="19661f" blacklevel="22938f" o:title="123-01"/>
          <o:lock v:ext="edit" aspectratio="t"/>
        </v:shap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25F0C85"/>
    <w:multiLevelType w:val="multilevel"/>
    <w:tmpl w:val="125F0C85"/>
    <w:lvl w:ilvl="0" w:tentative="0">
      <w:start w:val="1"/>
      <w:numFmt w:val="none"/>
      <w:pStyle w:val="148"/>
      <w:suff w:val="nothing"/>
      <w:lvlText w:val="图%1.   "/>
      <w:lvlJc w:val="left"/>
      <w:pPr>
        <w:ind w:left="357" w:hanging="357"/>
      </w:pPr>
      <w:rPr>
        <w:rFonts w:hint="default" w:ascii="Tahoma" w:hAnsi="Tahoma" w:eastAsia="宋体"/>
        <w:sz w:val="21"/>
        <w:lang w:val="en-IN"/>
      </w:rPr>
    </w:lvl>
    <w:lvl w:ilvl="1" w:tentative="0">
      <w:start w:val="1"/>
      <w:numFmt w:val="lowerLetter"/>
      <w:lvlText w:val="%2)"/>
      <w:lvlJc w:val="left"/>
      <w:pPr>
        <w:ind w:left="840" w:hanging="420"/>
      </w:pPr>
      <w:rPr>
        <w:rFonts w:hint="eastAsia"/>
      </w:rPr>
    </w:lvl>
    <w:lvl w:ilvl="2" w:tentative="0">
      <w:start w:val="1"/>
      <w:numFmt w:val="lowerRoman"/>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1">
    <w:nsid w:val="19726073"/>
    <w:multiLevelType w:val="multilevel"/>
    <w:tmpl w:val="19726073"/>
    <w:lvl w:ilvl="0" w:tentative="0">
      <w:start w:val="1"/>
      <w:numFmt w:val="decimal"/>
      <w:pStyle w:val="151"/>
      <w:suff w:val="nothing"/>
      <w:lvlText w:val="Table %1.   "/>
      <w:lvlJc w:val="left"/>
      <w:pPr>
        <w:ind w:left="357" w:hanging="357"/>
      </w:pPr>
      <w:rPr>
        <w:rFonts w:hint="eastAsia"/>
      </w:rPr>
    </w:lvl>
    <w:lvl w:ilvl="1" w:tentative="0">
      <w:start w:val="1"/>
      <w:numFmt w:val="lowerLetter"/>
      <w:lvlText w:val="%2)"/>
      <w:lvlJc w:val="left"/>
      <w:pPr>
        <w:ind w:left="840" w:hanging="420"/>
      </w:pPr>
      <w:rPr>
        <w:rFonts w:hint="eastAsia"/>
      </w:rPr>
    </w:lvl>
    <w:lvl w:ilvl="2" w:tentative="0">
      <w:start w:val="1"/>
      <w:numFmt w:val="lowerRoman"/>
      <w:lvlText w:val="%3."/>
      <w:lvlJc w:val="right"/>
      <w:rPr>
        <w:rFonts w:hint="eastAsia"/>
        <w:b w:val="0"/>
        <w:bCs w:val="0"/>
        <w:i w:val="0"/>
        <w:iCs w:val="0"/>
        <w:caps w:val="0"/>
        <w:smallCaps w:val="0"/>
        <w:strike w:val="0"/>
        <w:dstrike w:val="0"/>
        <w:vanish w:val="0"/>
        <w:color w:val="000000"/>
        <w:spacing w:val="0"/>
        <w:position w:val="0"/>
        <w:u w:val="none"/>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props3d w14:extrusionH="0" w14:contourW="0" w14:prstMaterial="none"/>
        <w14:scene3d w14:prst="orthographicFront">
          <w14:lightRig w14:rig="threePt" w14:dir="t">
            <w14:rot w14:lat="0" w14:lon="0" w14:rev="0"/>
          </w14:lightRig>
        </w14:scene3d>
        <w14:ligatures w14:val="none"/>
        <w14:numForm w14:val="default"/>
        <w14:numSpacing w14:val="default"/>
        <w14:cntxtalts w14:val="0"/>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2">
    <w:nsid w:val="53D73376"/>
    <w:multiLevelType w:val="multilevel"/>
    <w:tmpl w:val="53D73376"/>
    <w:lvl w:ilvl="0" w:tentative="0">
      <w:start w:val="1"/>
      <w:numFmt w:val="decimal"/>
      <w:pStyle w:val="2"/>
      <w:suff w:val="space"/>
      <w:lvlText w:val="%1 "/>
      <w:lvlJc w:val="left"/>
      <w:pPr>
        <w:ind w:left="0" w:firstLine="0"/>
      </w:pPr>
      <w:rPr>
        <w:rFonts w:hint="eastAsia"/>
      </w:rPr>
    </w:lvl>
    <w:lvl w:ilvl="1" w:tentative="0">
      <w:start w:val="1"/>
      <w:numFmt w:val="decimal"/>
      <w:pStyle w:val="3"/>
      <w:suff w:val="space"/>
      <w:lvlText w:val="%1.%2 "/>
      <w:lvlJc w:val="left"/>
      <w:pPr>
        <w:ind w:left="0" w:firstLine="0"/>
      </w:pPr>
      <w:rPr>
        <w:rFonts w:hint="default"/>
      </w:rPr>
    </w:lvl>
    <w:lvl w:ilvl="2" w:tentative="0">
      <w:start w:val="1"/>
      <w:numFmt w:val="decimal"/>
      <w:pStyle w:val="4"/>
      <w:suff w:val="space"/>
      <w:lvlText w:val="%1.%2.%3 "/>
      <w:lvlJc w:val="left"/>
      <w:pPr>
        <w:ind w:left="0" w:firstLine="0"/>
      </w:pPr>
      <w:rPr>
        <w:rFonts w:hint="default"/>
      </w:rPr>
    </w:lvl>
    <w:lvl w:ilvl="3" w:tentative="0">
      <w:start w:val="1"/>
      <w:numFmt w:val="decimal"/>
      <w:pStyle w:val="5"/>
      <w:suff w:val="space"/>
      <w:lvlText w:val="%1.%2.%3.%4 "/>
      <w:lvlJc w:val="left"/>
      <w:pPr>
        <w:ind w:left="0" w:firstLine="0"/>
      </w:pPr>
      <w:rPr>
        <w:rFonts w:hint="default"/>
      </w:rPr>
    </w:lvl>
    <w:lvl w:ilvl="4" w:tentative="0">
      <w:start w:val="1"/>
      <w:numFmt w:val="decimal"/>
      <w:pStyle w:val="6"/>
      <w:suff w:val="space"/>
      <w:lvlText w:val="%1.%2.%3.%4.%5   "/>
      <w:lvlJc w:val="left"/>
      <w:pPr>
        <w:ind w:left="0" w:firstLine="0"/>
      </w:pPr>
      <w:rPr>
        <w:rFonts w:hint="default"/>
      </w:rPr>
    </w:lvl>
    <w:lvl w:ilvl="5" w:tentative="0">
      <w:start w:val="1"/>
      <w:numFmt w:val="decimal"/>
      <w:suff w:val="space"/>
      <w:lvlText w:val="%1.%2.%3.%4.%5.%6"/>
      <w:lvlJc w:val="left"/>
      <w:pPr>
        <w:ind w:left="0" w:firstLine="0"/>
      </w:pPr>
      <w:rPr>
        <w:rFonts w:hint="default"/>
      </w:rPr>
    </w:lvl>
    <w:lvl w:ilvl="6" w:tentative="0">
      <w:start w:val="1"/>
      <w:numFmt w:val="decimal"/>
      <w:suff w:val="space"/>
      <w:lvlText w:val="%1.%2.%3.%4.%5.%6.%7"/>
      <w:lvlJc w:val="left"/>
      <w:pPr>
        <w:ind w:left="0" w:firstLine="0"/>
      </w:pPr>
      <w:rPr>
        <w:rFonts w:hint="default"/>
      </w:rPr>
    </w:lvl>
    <w:lvl w:ilvl="7" w:tentative="0">
      <w:start w:val="1"/>
      <w:numFmt w:val="decimal"/>
      <w:lvlText w:val="%1.%2.%3.%4.%5.%6.%7.%8"/>
      <w:lvlJc w:val="left"/>
      <w:pPr>
        <w:tabs>
          <w:tab w:val="left" w:pos="1134"/>
        </w:tabs>
        <w:ind w:left="0" w:firstLine="0"/>
      </w:pPr>
      <w:rPr>
        <w:rFonts w:hint="default"/>
      </w:rPr>
    </w:lvl>
    <w:lvl w:ilvl="8" w:tentative="0">
      <w:start w:val="1"/>
      <w:numFmt w:val="decimal"/>
      <w:lvlText w:val="%1.%2.%3.%4.%5.%6.%7.%8.%9"/>
      <w:lvlJc w:val="left"/>
      <w:pPr>
        <w:tabs>
          <w:tab w:val="left" w:pos="1134"/>
        </w:tabs>
        <w:ind w:left="0" w:firstLine="0"/>
      </w:pPr>
      <w:rPr>
        <w:rFonts w:hint="default"/>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stylePaneFormatFilter w:val="1728" w:allStyles="0" w:customStyles="0" w:latentStyles="0" w:stylesInUse="1"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0"/>
  <w:defaultTabStop w:val="420"/>
  <w:drawingGridHorizontalSpacing w:val="110"/>
  <w:drawingGridVerticalSpacing w:val="156"/>
  <w:displayHorizontalDrawingGridEvery w:val="0"/>
  <w:displayVerticalDrawingGridEvery w:val="2"/>
  <w:characterSpacingControl w:val="compressPunctuation"/>
  <w:hdrShapeDefaults>
    <o:shapelayout v:ext="edit">
      <o:idmap v:ext="edit" data="2"/>
    </o:shapelayout>
  </w:hdrShapeDefaults>
  <w:footnotePr>
    <w:footnote w:id="0"/>
    <w:footnote w:id="1"/>
  </w:foot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yMDczNjAwMDUwMjYzMTVQ0lEKTi0uzszPAykwrAUAMwYC2SwAAAA="/>
    <w:docVar w:name="commondata" w:val="eyJoZGlkIjoiNjdhMTMwNDYzZWIwOTU0NDRlYjIzNmI5NWQ1MzBlYjAifQ=="/>
  </w:docVars>
  <w:rsids>
    <w:rsidRoot w:val="00D33EE2"/>
    <w:rsid w:val="000002E5"/>
    <w:rsid w:val="0000037A"/>
    <w:rsid w:val="0000040F"/>
    <w:rsid w:val="00000507"/>
    <w:rsid w:val="0000064D"/>
    <w:rsid w:val="00000877"/>
    <w:rsid w:val="00000A89"/>
    <w:rsid w:val="00000CBB"/>
    <w:rsid w:val="00001917"/>
    <w:rsid w:val="00001B99"/>
    <w:rsid w:val="00001CCF"/>
    <w:rsid w:val="000021D3"/>
    <w:rsid w:val="000025E0"/>
    <w:rsid w:val="0000269D"/>
    <w:rsid w:val="000027A8"/>
    <w:rsid w:val="00002810"/>
    <w:rsid w:val="000029F3"/>
    <w:rsid w:val="00002B4B"/>
    <w:rsid w:val="00002BBA"/>
    <w:rsid w:val="0000329B"/>
    <w:rsid w:val="00003397"/>
    <w:rsid w:val="00003700"/>
    <w:rsid w:val="00003782"/>
    <w:rsid w:val="000038D0"/>
    <w:rsid w:val="000039AF"/>
    <w:rsid w:val="00003B42"/>
    <w:rsid w:val="00003CF9"/>
    <w:rsid w:val="00003D7A"/>
    <w:rsid w:val="00003FB0"/>
    <w:rsid w:val="00004960"/>
    <w:rsid w:val="00004BBD"/>
    <w:rsid w:val="00004BF2"/>
    <w:rsid w:val="00004C6F"/>
    <w:rsid w:val="000052C4"/>
    <w:rsid w:val="000055DF"/>
    <w:rsid w:val="000059EA"/>
    <w:rsid w:val="00005DAE"/>
    <w:rsid w:val="00006267"/>
    <w:rsid w:val="00006302"/>
    <w:rsid w:val="0000642F"/>
    <w:rsid w:val="000065D5"/>
    <w:rsid w:val="000067A6"/>
    <w:rsid w:val="000068DD"/>
    <w:rsid w:val="00006B33"/>
    <w:rsid w:val="00006C3C"/>
    <w:rsid w:val="00006FC9"/>
    <w:rsid w:val="0000715E"/>
    <w:rsid w:val="0000731E"/>
    <w:rsid w:val="0000744D"/>
    <w:rsid w:val="000076C8"/>
    <w:rsid w:val="00007BF8"/>
    <w:rsid w:val="00007CA0"/>
    <w:rsid w:val="00007DB0"/>
    <w:rsid w:val="00007ED7"/>
    <w:rsid w:val="00007EE2"/>
    <w:rsid w:val="00007F66"/>
    <w:rsid w:val="00007FAA"/>
    <w:rsid w:val="0001018A"/>
    <w:rsid w:val="000103CB"/>
    <w:rsid w:val="00010481"/>
    <w:rsid w:val="0001077A"/>
    <w:rsid w:val="00010845"/>
    <w:rsid w:val="000108AE"/>
    <w:rsid w:val="000109CC"/>
    <w:rsid w:val="00010BB3"/>
    <w:rsid w:val="00010D85"/>
    <w:rsid w:val="00011200"/>
    <w:rsid w:val="00011342"/>
    <w:rsid w:val="000114D1"/>
    <w:rsid w:val="000119D3"/>
    <w:rsid w:val="00011A71"/>
    <w:rsid w:val="00011AA6"/>
    <w:rsid w:val="00011E33"/>
    <w:rsid w:val="000120F7"/>
    <w:rsid w:val="000120F9"/>
    <w:rsid w:val="00012326"/>
    <w:rsid w:val="0001244D"/>
    <w:rsid w:val="00012692"/>
    <w:rsid w:val="000128D9"/>
    <w:rsid w:val="00012B3C"/>
    <w:rsid w:val="00012BC1"/>
    <w:rsid w:val="00012DE2"/>
    <w:rsid w:val="00012FDB"/>
    <w:rsid w:val="00013017"/>
    <w:rsid w:val="000132EE"/>
    <w:rsid w:val="00013659"/>
    <w:rsid w:val="000136A7"/>
    <w:rsid w:val="00013731"/>
    <w:rsid w:val="00013969"/>
    <w:rsid w:val="00013D27"/>
    <w:rsid w:val="00013D7F"/>
    <w:rsid w:val="0001421D"/>
    <w:rsid w:val="00014244"/>
    <w:rsid w:val="0001432F"/>
    <w:rsid w:val="00014432"/>
    <w:rsid w:val="000145C2"/>
    <w:rsid w:val="00014605"/>
    <w:rsid w:val="0001485D"/>
    <w:rsid w:val="00014897"/>
    <w:rsid w:val="00014AA7"/>
    <w:rsid w:val="00014BB9"/>
    <w:rsid w:val="00014D34"/>
    <w:rsid w:val="00014F30"/>
    <w:rsid w:val="000153E4"/>
    <w:rsid w:val="00015713"/>
    <w:rsid w:val="00015731"/>
    <w:rsid w:val="00015818"/>
    <w:rsid w:val="00015864"/>
    <w:rsid w:val="00015A7B"/>
    <w:rsid w:val="00015E10"/>
    <w:rsid w:val="00015E99"/>
    <w:rsid w:val="00015FDD"/>
    <w:rsid w:val="00016171"/>
    <w:rsid w:val="0001617D"/>
    <w:rsid w:val="0001619B"/>
    <w:rsid w:val="000167EE"/>
    <w:rsid w:val="000167EF"/>
    <w:rsid w:val="000167F2"/>
    <w:rsid w:val="00016D28"/>
    <w:rsid w:val="00016EE0"/>
    <w:rsid w:val="000173DA"/>
    <w:rsid w:val="00017AF5"/>
    <w:rsid w:val="00017B00"/>
    <w:rsid w:val="00017B67"/>
    <w:rsid w:val="00020010"/>
    <w:rsid w:val="0002003A"/>
    <w:rsid w:val="00020334"/>
    <w:rsid w:val="00020389"/>
    <w:rsid w:val="000203BB"/>
    <w:rsid w:val="000203CA"/>
    <w:rsid w:val="0002064A"/>
    <w:rsid w:val="00020738"/>
    <w:rsid w:val="00020861"/>
    <w:rsid w:val="0002086E"/>
    <w:rsid w:val="000208D2"/>
    <w:rsid w:val="000208F4"/>
    <w:rsid w:val="0002097B"/>
    <w:rsid w:val="00020C1E"/>
    <w:rsid w:val="00020D26"/>
    <w:rsid w:val="0002133B"/>
    <w:rsid w:val="000213EE"/>
    <w:rsid w:val="000214F8"/>
    <w:rsid w:val="000215AD"/>
    <w:rsid w:val="00021D44"/>
    <w:rsid w:val="00022072"/>
    <w:rsid w:val="0002211E"/>
    <w:rsid w:val="000227F4"/>
    <w:rsid w:val="00022823"/>
    <w:rsid w:val="0002286A"/>
    <w:rsid w:val="00022BF6"/>
    <w:rsid w:val="0002322C"/>
    <w:rsid w:val="0002380E"/>
    <w:rsid w:val="00023A89"/>
    <w:rsid w:val="00023AE3"/>
    <w:rsid w:val="00023EFC"/>
    <w:rsid w:val="000245F3"/>
    <w:rsid w:val="000249B5"/>
    <w:rsid w:val="00024A90"/>
    <w:rsid w:val="00024D77"/>
    <w:rsid w:val="00024E50"/>
    <w:rsid w:val="00025159"/>
    <w:rsid w:val="000252AE"/>
    <w:rsid w:val="0002541F"/>
    <w:rsid w:val="00025557"/>
    <w:rsid w:val="000258F2"/>
    <w:rsid w:val="00025ACB"/>
    <w:rsid w:val="00025B09"/>
    <w:rsid w:val="00025C6C"/>
    <w:rsid w:val="00025EFE"/>
    <w:rsid w:val="00026590"/>
    <w:rsid w:val="000265D9"/>
    <w:rsid w:val="000266A1"/>
    <w:rsid w:val="000268BE"/>
    <w:rsid w:val="00026A10"/>
    <w:rsid w:val="00026D2A"/>
    <w:rsid w:val="00026F60"/>
    <w:rsid w:val="000271CF"/>
    <w:rsid w:val="000273D0"/>
    <w:rsid w:val="000275CD"/>
    <w:rsid w:val="00027709"/>
    <w:rsid w:val="00027959"/>
    <w:rsid w:val="000279C8"/>
    <w:rsid w:val="00027A24"/>
    <w:rsid w:val="00027C3E"/>
    <w:rsid w:val="00027FE5"/>
    <w:rsid w:val="0003028C"/>
    <w:rsid w:val="00030477"/>
    <w:rsid w:val="000305F5"/>
    <w:rsid w:val="00030747"/>
    <w:rsid w:val="000309FC"/>
    <w:rsid w:val="00030D82"/>
    <w:rsid w:val="00030FF1"/>
    <w:rsid w:val="00031955"/>
    <w:rsid w:val="00031AAD"/>
    <w:rsid w:val="00031C5A"/>
    <w:rsid w:val="000323C2"/>
    <w:rsid w:val="00033169"/>
    <w:rsid w:val="00033204"/>
    <w:rsid w:val="00033548"/>
    <w:rsid w:val="000335CD"/>
    <w:rsid w:val="00033657"/>
    <w:rsid w:val="000336E7"/>
    <w:rsid w:val="0003397E"/>
    <w:rsid w:val="00033A47"/>
    <w:rsid w:val="00033AF8"/>
    <w:rsid w:val="00033D90"/>
    <w:rsid w:val="00034382"/>
    <w:rsid w:val="000343CD"/>
    <w:rsid w:val="000346CE"/>
    <w:rsid w:val="0003490B"/>
    <w:rsid w:val="00034B41"/>
    <w:rsid w:val="00034E67"/>
    <w:rsid w:val="00034F97"/>
    <w:rsid w:val="00035858"/>
    <w:rsid w:val="00035DD2"/>
    <w:rsid w:val="00036235"/>
    <w:rsid w:val="00036338"/>
    <w:rsid w:val="00036399"/>
    <w:rsid w:val="0003650F"/>
    <w:rsid w:val="00036630"/>
    <w:rsid w:val="00036873"/>
    <w:rsid w:val="00036884"/>
    <w:rsid w:val="00036AD7"/>
    <w:rsid w:val="00036B57"/>
    <w:rsid w:val="00036E7D"/>
    <w:rsid w:val="0003756E"/>
    <w:rsid w:val="000377BD"/>
    <w:rsid w:val="00037875"/>
    <w:rsid w:val="0003790B"/>
    <w:rsid w:val="00037C40"/>
    <w:rsid w:val="00037EAF"/>
    <w:rsid w:val="00037FD3"/>
    <w:rsid w:val="00040146"/>
    <w:rsid w:val="000401E4"/>
    <w:rsid w:val="000406A0"/>
    <w:rsid w:val="000406BF"/>
    <w:rsid w:val="0004091E"/>
    <w:rsid w:val="00040984"/>
    <w:rsid w:val="00040A05"/>
    <w:rsid w:val="00040AEF"/>
    <w:rsid w:val="00040C44"/>
    <w:rsid w:val="000410B0"/>
    <w:rsid w:val="000413FA"/>
    <w:rsid w:val="00041419"/>
    <w:rsid w:val="00041742"/>
    <w:rsid w:val="000418E0"/>
    <w:rsid w:val="00041969"/>
    <w:rsid w:val="00041A49"/>
    <w:rsid w:val="00042176"/>
    <w:rsid w:val="0004225A"/>
    <w:rsid w:val="000422FC"/>
    <w:rsid w:val="0004261F"/>
    <w:rsid w:val="000426DE"/>
    <w:rsid w:val="00042A07"/>
    <w:rsid w:val="00042A43"/>
    <w:rsid w:val="00042B36"/>
    <w:rsid w:val="00042B50"/>
    <w:rsid w:val="00042EE2"/>
    <w:rsid w:val="00042EF0"/>
    <w:rsid w:val="00043152"/>
    <w:rsid w:val="000431A1"/>
    <w:rsid w:val="00043A6C"/>
    <w:rsid w:val="00043F07"/>
    <w:rsid w:val="000440AA"/>
    <w:rsid w:val="000444F2"/>
    <w:rsid w:val="0004455F"/>
    <w:rsid w:val="00044614"/>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E43"/>
    <w:rsid w:val="000476B0"/>
    <w:rsid w:val="0004799F"/>
    <w:rsid w:val="00047A3A"/>
    <w:rsid w:val="00047C16"/>
    <w:rsid w:val="00050358"/>
    <w:rsid w:val="000505B3"/>
    <w:rsid w:val="00050754"/>
    <w:rsid w:val="00050C02"/>
    <w:rsid w:val="00050D18"/>
    <w:rsid w:val="00050D36"/>
    <w:rsid w:val="00050E1E"/>
    <w:rsid w:val="0005117A"/>
    <w:rsid w:val="00051275"/>
    <w:rsid w:val="000518D6"/>
    <w:rsid w:val="00051E47"/>
    <w:rsid w:val="00051E87"/>
    <w:rsid w:val="00051E9F"/>
    <w:rsid w:val="00051EA1"/>
    <w:rsid w:val="000520FB"/>
    <w:rsid w:val="0005213D"/>
    <w:rsid w:val="000526B0"/>
    <w:rsid w:val="00052ADC"/>
    <w:rsid w:val="00052B62"/>
    <w:rsid w:val="00052BA9"/>
    <w:rsid w:val="00052BEA"/>
    <w:rsid w:val="00052CEB"/>
    <w:rsid w:val="00052F03"/>
    <w:rsid w:val="00053155"/>
    <w:rsid w:val="000532AE"/>
    <w:rsid w:val="000533DC"/>
    <w:rsid w:val="00053B73"/>
    <w:rsid w:val="00053C81"/>
    <w:rsid w:val="00053DCE"/>
    <w:rsid w:val="000540C6"/>
    <w:rsid w:val="00054165"/>
    <w:rsid w:val="00054743"/>
    <w:rsid w:val="000547B8"/>
    <w:rsid w:val="00054CA2"/>
    <w:rsid w:val="00054DC1"/>
    <w:rsid w:val="00054EB2"/>
    <w:rsid w:val="00055048"/>
    <w:rsid w:val="000551A8"/>
    <w:rsid w:val="000551F6"/>
    <w:rsid w:val="0005571A"/>
    <w:rsid w:val="0005573C"/>
    <w:rsid w:val="000557A3"/>
    <w:rsid w:val="00055D4E"/>
    <w:rsid w:val="00055F80"/>
    <w:rsid w:val="00055FDB"/>
    <w:rsid w:val="0005628E"/>
    <w:rsid w:val="00056418"/>
    <w:rsid w:val="00056B4D"/>
    <w:rsid w:val="00056BCB"/>
    <w:rsid w:val="00056CB8"/>
    <w:rsid w:val="00056E6D"/>
    <w:rsid w:val="00056F48"/>
    <w:rsid w:val="00056F7A"/>
    <w:rsid w:val="0005703D"/>
    <w:rsid w:val="000570CD"/>
    <w:rsid w:val="00057760"/>
    <w:rsid w:val="00057958"/>
    <w:rsid w:val="00057CBE"/>
    <w:rsid w:val="00057D39"/>
    <w:rsid w:val="00057F4C"/>
    <w:rsid w:val="00057FAE"/>
    <w:rsid w:val="000601FF"/>
    <w:rsid w:val="0006022D"/>
    <w:rsid w:val="00060341"/>
    <w:rsid w:val="000603E9"/>
    <w:rsid w:val="0006049B"/>
    <w:rsid w:val="00060757"/>
    <w:rsid w:val="0006091D"/>
    <w:rsid w:val="0006091E"/>
    <w:rsid w:val="00060CD5"/>
    <w:rsid w:val="00061102"/>
    <w:rsid w:val="0006133C"/>
    <w:rsid w:val="00061357"/>
    <w:rsid w:val="00061412"/>
    <w:rsid w:val="000614FD"/>
    <w:rsid w:val="000617AE"/>
    <w:rsid w:val="00061CB8"/>
    <w:rsid w:val="00061CCB"/>
    <w:rsid w:val="00061E1D"/>
    <w:rsid w:val="00061F14"/>
    <w:rsid w:val="00062377"/>
    <w:rsid w:val="000623CA"/>
    <w:rsid w:val="00062452"/>
    <w:rsid w:val="000625B5"/>
    <w:rsid w:val="00062831"/>
    <w:rsid w:val="000628A0"/>
    <w:rsid w:val="00062946"/>
    <w:rsid w:val="00062BC9"/>
    <w:rsid w:val="000630D1"/>
    <w:rsid w:val="00063574"/>
    <w:rsid w:val="00063906"/>
    <w:rsid w:val="00063D74"/>
    <w:rsid w:val="00063DC9"/>
    <w:rsid w:val="00063FE7"/>
    <w:rsid w:val="00064398"/>
    <w:rsid w:val="0006458C"/>
    <w:rsid w:val="0006479F"/>
    <w:rsid w:val="00064D8D"/>
    <w:rsid w:val="00064E4F"/>
    <w:rsid w:val="000654F8"/>
    <w:rsid w:val="0006577B"/>
    <w:rsid w:val="00065DC3"/>
    <w:rsid w:val="000661AB"/>
    <w:rsid w:val="000662D4"/>
    <w:rsid w:val="000663BE"/>
    <w:rsid w:val="000669B0"/>
    <w:rsid w:val="00066A4C"/>
    <w:rsid w:val="00066D2A"/>
    <w:rsid w:val="00066D79"/>
    <w:rsid w:val="00067060"/>
    <w:rsid w:val="0006707F"/>
    <w:rsid w:val="000670A4"/>
    <w:rsid w:val="000673C9"/>
    <w:rsid w:val="00067559"/>
    <w:rsid w:val="000675FB"/>
    <w:rsid w:val="00067F14"/>
    <w:rsid w:val="00067F5A"/>
    <w:rsid w:val="0007016B"/>
    <w:rsid w:val="000701A1"/>
    <w:rsid w:val="00070212"/>
    <w:rsid w:val="0007057E"/>
    <w:rsid w:val="00070D94"/>
    <w:rsid w:val="00071137"/>
    <w:rsid w:val="00071759"/>
    <w:rsid w:val="000717B2"/>
    <w:rsid w:val="00071914"/>
    <w:rsid w:val="0007197B"/>
    <w:rsid w:val="00071E79"/>
    <w:rsid w:val="00072081"/>
    <w:rsid w:val="0007273D"/>
    <w:rsid w:val="00072769"/>
    <w:rsid w:val="00072A2A"/>
    <w:rsid w:val="00072A3E"/>
    <w:rsid w:val="00072B67"/>
    <w:rsid w:val="00072C69"/>
    <w:rsid w:val="00072DE7"/>
    <w:rsid w:val="000736FE"/>
    <w:rsid w:val="0007382E"/>
    <w:rsid w:val="000738CA"/>
    <w:rsid w:val="000738D7"/>
    <w:rsid w:val="00073D0A"/>
    <w:rsid w:val="00073D18"/>
    <w:rsid w:val="000745A7"/>
    <w:rsid w:val="00074D5F"/>
    <w:rsid w:val="00074E91"/>
    <w:rsid w:val="00074EBA"/>
    <w:rsid w:val="00075438"/>
    <w:rsid w:val="00075609"/>
    <w:rsid w:val="00075678"/>
    <w:rsid w:val="00075748"/>
    <w:rsid w:val="000758F1"/>
    <w:rsid w:val="00075973"/>
    <w:rsid w:val="00075A1D"/>
    <w:rsid w:val="00075C56"/>
    <w:rsid w:val="00076004"/>
    <w:rsid w:val="0007626A"/>
    <w:rsid w:val="0007628F"/>
    <w:rsid w:val="00076381"/>
    <w:rsid w:val="0007645C"/>
    <w:rsid w:val="00076738"/>
    <w:rsid w:val="0007687A"/>
    <w:rsid w:val="00076A76"/>
    <w:rsid w:val="00076D7D"/>
    <w:rsid w:val="00076DE7"/>
    <w:rsid w:val="0007715D"/>
    <w:rsid w:val="00077246"/>
    <w:rsid w:val="00077774"/>
    <w:rsid w:val="00077888"/>
    <w:rsid w:val="00077E70"/>
    <w:rsid w:val="00080816"/>
    <w:rsid w:val="00080CA5"/>
    <w:rsid w:val="00081510"/>
    <w:rsid w:val="00081765"/>
    <w:rsid w:val="00081894"/>
    <w:rsid w:val="000818C2"/>
    <w:rsid w:val="00081AF3"/>
    <w:rsid w:val="00081B5A"/>
    <w:rsid w:val="00081F8A"/>
    <w:rsid w:val="000820AB"/>
    <w:rsid w:val="000827A8"/>
    <w:rsid w:val="00082CAC"/>
    <w:rsid w:val="00082D3E"/>
    <w:rsid w:val="00082EAE"/>
    <w:rsid w:val="0008345E"/>
    <w:rsid w:val="0008353C"/>
    <w:rsid w:val="00083794"/>
    <w:rsid w:val="00083A84"/>
    <w:rsid w:val="00083BBA"/>
    <w:rsid w:val="00083D9E"/>
    <w:rsid w:val="0008427D"/>
    <w:rsid w:val="000843AA"/>
    <w:rsid w:val="000845D0"/>
    <w:rsid w:val="000846FB"/>
    <w:rsid w:val="00084739"/>
    <w:rsid w:val="00084C40"/>
    <w:rsid w:val="00084CE6"/>
    <w:rsid w:val="0008540C"/>
    <w:rsid w:val="0008591A"/>
    <w:rsid w:val="00085D33"/>
    <w:rsid w:val="00085EA1"/>
    <w:rsid w:val="00085EDA"/>
    <w:rsid w:val="00086005"/>
    <w:rsid w:val="00086395"/>
    <w:rsid w:val="0008643B"/>
    <w:rsid w:val="000864F4"/>
    <w:rsid w:val="0008678A"/>
    <w:rsid w:val="000869AA"/>
    <w:rsid w:val="00086B30"/>
    <w:rsid w:val="00086C39"/>
    <w:rsid w:val="00086F7A"/>
    <w:rsid w:val="00086FAB"/>
    <w:rsid w:val="0008742F"/>
    <w:rsid w:val="000877AC"/>
    <w:rsid w:val="000878FE"/>
    <w:rsid w:val="00087940"/>
    <w:rsid w:val="000879F3"/>
    <w:rsid w:val="00087A2A"/>
    <w:rsid w:val="00087AD9"/>
    <w:rsid w:val="000902B4"/>
    <w:rsid w:val="00090336"/>
    <w:rsid w:val="00090512"/>
    <w:rsid w:val="000906C1"/>
    <w:rsid w:val="00090770"/>
    <w:rsid w:val="00090A21"/>
    <w:rsid w:val="00090E77"/>
    <w:rsid w:val="00090F72"/>
    <w:rsid w:val="00090FF0"/>
    <w:rsid w:val="00091504"/>
    <w:rsid w:val="00091647"/>
    <w:rsid w:val="000917BD"/>
    <w:rsid w:val="000917C2"/>
    <w:rsid w:val="00091C42"/>
    <w:rsid w:val="00091F7D"/>
    <w:rsid w:val="000920C3"/>
    <w:rsid w:val="0009210C"/>
    <w:rsid w:val="0009250F"/>
    <w:rsid w:val="000926D5"/>
    <w:rsid w:val="00092B02"/>
    <w:rsid w:val="00092C83"/>
    <w:rsid w:val="00092D41"/>
    <w:rsid w:val="00092F37"/>
    <w:rsid w:val="0009305C"/>
    <w:rsid w:val="0009308A"/>
    <w:rsid w:val="000930E7"/>
    <w:rsid w:val="00093149"/>
    <w:rsid w:val="00093611"/>
    <w:rsid w:val="00093719"/>
    <w:rsid w:val="00093A0F"/>
    <w:rsid w:val="000943AD"/>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7BB"/>
    <w:rsid w:val="00095AA4"/>
    <w:rsid w:val="00096130"/>
    <w:rsid w:val="0009618D"/>
    <w:rsid w:val="000962B6"/>
    <w:rsid w:val="00096313"/>
    <w:rsid w:val="000963D8"/>
    <w:rsid w:val="000965AE"/>
    <w:rsid w:val="000965E8"/>
    <w:rsid w:val="0009690B"/>
    <w:rsid w:val="000969C2"/>
    <w:rsid w:val="00096A9C"/>
    <w:rsid w:val="00096DF4"/>
    <w:rsid w:val="00096F6E"/>
    <w:rsid w:val="00097004"/>
    <w:rsid w:val="00097116"/>
    <w:rsid w:val="000971FA"/>
    <w:rsid w:val="00097308"/>
    <w:rsid w:val="00097657"/>
    <w:rsid w:val="000977E2"/>
    <w:rsid w:val="000978CD"/>
    <w:rsid w:val="00097C01"/>
    <w:rsid w:val="00097C7C"/>
    <w:rsid w:val="00097DF1"/>
    <w:rsid w:val="00097FEF"/>
    <w:rsid w:val="000A0087"/>
    <w:rsid w:val="000A01AC"/>
    <w:rsid w:val="000A01F4"/>
    <w:rsid w:val="000A02AB"/>
    <w:rsid w:val="000A02D5"/>
    <w:rsid w:val="000A0459"/>
    <w:rsid w:val="000A0A86"/>
    <w:rsid w:val="000A0B20"/>
    <w:rsid w:val="000A0EB0"/>
    <w:rsid w:val="000A0F28"/>
    <w:rsid w:val="000A10F7"/>
    <w:rsid w:val="000A1135"/>
    <w:rsid w:val="000A12F5"/>
    <w:rsid w:val="000A14D5"/>
    <w:rsid w:val="000A154C"/>
    <w:rsid w:val="000A16A6"/>
    <w:rsid w:val="000A1808"/>
    <w:rsid w:val="000A19DB"/>
    <w:rsid w:val="000A1AB9"/>
    <w:rsid w:val="000A1F72"/>
    <w:rsid w:val="000A1FD0"/>
    <w:rsid w:val="000A212A"/>
    <w:rsid w:val="000A2581"/>
    <w:rsid w:val="000A2603"/>
    <w:rsid w:val="000A2CF5"/>
    <w:rsid w:val="000A3284"/>
    <w:rsid w:val="000A3415"/>
    <w:rsid w:val="000A3740"/>
    <w:rsid w:val="000A3952"/>
    <w:rsid w:val="000A3DAF"/>
    <w:rsid w:val="000A4134"/>
    <w:rsid w:val="000A44DE"/>
    <w:rsid w:val="000A4763"/>
    <w:rsid w:val="000A4996"/>
    <w:rsid w:val="000A50BF"/>
    <w:rsid w:val="000A5953"/>
    <w:rsid w:val="000A5AAE"/>
    <w:rsid w:val="000A5CE2"/>
    <w:rsid w:val="000A5FCB"/>
    <w:rsid w:val="000A6183"/>
    <w:rsid w:val="000A67F0"/>
    <w:rsid w:val="000A6A99"/>
    <w:rsid w:val="000A6CBC"/>
    <w:rsid w:val="000A6E94"/>
    <w:rsid w:val="000A6EAD"/>
    <w:rsid w:val="000A70D8"/>
    <w:rsid w:val="000A7252"/>
    <w:rsid w:val="000A739A"/>
    <w:rsid w:val="000A742F"/>
    <w:rsid w:val="000A7A5D"/>
    <w:rsid w:val="000A7D26"/>
    <w:rsid w:val="000A7E45"/>
    <w:rsid w:val="000B00FF"/>
    <w:rsid w:val="000B074A"/>
    <w:rsid w:val="000B081E"/>
    <w:rsid w:val="000B09BE"/>
    <w:rsid w:val="000B0AE3"/>
    <w:rsid w:val="000B0B87"/>
    <w:rsid w:val="000B0E2A"/>
    <w:rsid w:val="000B0E87"/>
    <w:rsid w:val="000B1490"/>
    <w:rsid w:val="000B14B0"/>
    <w:rsid w:val="000B1621"/>
    <w:rsid w:val="000B16C2"/>
    <w:rsid w:val="000B18B5"/>
    <w:rsid w:val="000B1941"/>
    <w:rsid w:val="000B19AE"/>
    <w:rsid w:val="000B1B32"/>
    <w:rsid w:val="000B1B8F"/>
    <w:rsid w:val="000B1C38"/>
    <w:rsid w:val="000B1C7E"/>
    <w:rsid w:val="000B1C80"/>
    <w:rsid w:val="000B1F4B"/>
    <w:rsid w:val="000B2357"/>
    <w:rsid w:val="000B24D6"/>
    <w:rsid w:val="000B263C"/>
    <w:rsid w:val="000B2B1D"/>
    <w:rsid w:val="000B2D76"/>
    <w:rsid w:val="000B2D8A"/>
    <w:rsid w:val="000B2DE5"/>
    <w:rsid w:val="000B2F7A"/>
    <w:rsid w:val="000B2FF6"/>
    <w:rsid w:val="000B33EF"/>
    <w:rsid w:val="000B35A4"/>
    <w:rsid w:val="000B3608"/>
    <w:rsid w:val="000B3614"/>
    <w:rsid w:val="000B3884"/>
    <w:rsid w:val="000B38A8"/>
    <w:rsid w:val="000B391C"/>
    <w:rsid w:val="000B3DA0"/>
    <w:rsid w:val="000B3F33"/>
    <w:rsid w:val="000B4015"/>
    <w:rsid w:val="000B4061"/>
    <w:rsid w:val="000B446C"/>
    <w:rsid w:val="000B462D"/>
    <w:rsid w:val="000B4653"/>
    <w:rsid w:val="000B47A7"/>
    <w:rsid w:val="000B4865"/>
    <w:rsid w:val="000B493F"/>
    <w:rsid w:val="000B4A74"/>
    <w:rsid w:val="000B4AA7"/>
    <w:rsid w:val="000B4D7D"/>
    <w:rsid w:val="000B4DEB"/>
    <w:rsid w:val="000B4E10"/>
    <w:rsid w:val="000B5077"/>
    <w:rsid w:val="000B516C"/>
    <w:rsid w:val="000B51C8"/>
    <w:rsid w:val="000B5398"/>
    <w:rsid w:val="000B5818"/>
    <w:rsid w:val="000B5A2B"/>
    <w:rsid w:val="000B5AF1"/>
    <w:rsid w:val="000B5D72"/>
    <w:rsid w:val="000B6009"/>
    <w:rsid w:val="000B606E"/>
    <w:rsid w:val="000B6275"/>
    <w:rsid w:val="000B65A5"/>
    <w:rsid w:val="000B668D"/>
    <w:rsid w:val="000B6831"/>
    <w:rsid w:val="000B688C"/>
    <w:rsid w:val="000B690D"/>
    <w:rsid w:val="000B6E56"/>
    <w:rsid w:val="000B71D0"/>
    <w:rsid w:val="000B74B4"/>
    <w:rsid w:val="000B7731"/>
    <w:rsid w:val="000B7BF0"/>
    <w:rsid w:val="000C003D"/>
    <w:rsid w:val="000C04FB"/>
    <w:rsid w:val="000C0684"/>
    <w:rsid w:val="000C0901"/>
    <w:rsid w:val="000C0ACE"/>
    <w:rsid w:val="000C10B1"/>
    <w:rsid w:val="000C111A"/>
    <w:rsid w:val="000C1805"/>
    <w:rsid w:val="000C1BAE"/>
    <w:rsid w:val="000C1D38"/>
    <w:rsid w:val="000C20DF"/>
    <w:rsid w:val="000C28E2"/>
    <w:rsid w:val="000C2B78"/>
    <w:rsid w:val="000C2B90"/>
    <w:rsid w:val="000C2F47"/>
    <w:rsid w:val="000C32FA"/>
    <w:rsid w:val="000C368A"/>
    <w:rsid w:val="000C36FE"/>
    <w:rsid w:val="000C3754"/>
    <w:rsid w:val="000C3907"/>
    <w:rsid w:val="000C396C"/>
    <w:rsid w:val="000C3C8A"/>
    <w:rsid w:val="000C3CC0"/>
    <w:rsid w:val="000C3CDD"/>
    <w:rsid w:val="000C3F3D"/>
    <w:rsid w:val="000C4090"/>
    <w:rsid w:val="000C4265"/>
    <w:rsid w:val="000C4353"/>
    <w:rsid w:val="000C4681"/>
    <w:rsid w:val="000C471F"/>
    <w:rsid w:val="000C4AA1"/>
    <w:rsid w:val="000C4B91"/>
    <w:rsid w:val="000C5002"/>
    <w:rsid w:val="000C5358"/>
    <w:rsid w:val="000C5457"/>
    <w:rsid w:val="000C5498"/>
    <w:rsid w:val="000C58CD"/>
    <w:rsid w:val="000C58F0"/>
    <w:rsid w:val="000C5EA0"/>
    <w:rsid w:val="000C60EB"/>
    <w:rsid w:val="000C62E9"/>
    <w:rsid w:val="000C6464"/>
    <w:rsid w:val="000C67EE"/>
    <w:rsid w:val="000C6FE4"/>
    <w:rsid w:val="000C7B81"/>
    <w:rsid w:val="000C7F08"/>
    <w:rsid w:val="000D00BA"/>
    <w:rsid w:val="000D0198"/>
    <w:rsid w:val="000D07CB"/>
    <w:rsid w:val="000D094C"/>
    <w:rsid w:val="000D0B37"/>
    <w:rsid w:val="000D0CE9"/>
    <w:rsid w:val="000D0E1C"/>
    <w:rsid w:val="000D10BD"/>
    <w:rsid w:val="000D16A2"/>
    <w:rsid w:val="000D1B16"/>
    <w:rsid w:val="000D20A6"/>
    <w:rsid w:val="000D218B"/>
    <w:rsid w:val="000D2751"/>
    <w:rsid w:val="000D285D"/>
    <w:rsid w:val="000D2A32"/>
    <w:rsid w:val="000D2BC7"/>
    <w:rsid w:val="000D2DDD"/>
    <w:rsid w:val="000D2E10"/>
    <w:rsid w:val="000D2E53"/>
    <w:rsid w:val="000D329A"/>
    <w:rsid w:val="000D3C62"/>
    <w:rsid w:val="000D4CE6"/>
    <w:rsid w:val="000D4F39"/>
    <w:rsid w:val="000D52C1"/>
    <w:rsid w:val="000D53F1"/>
    <w:rsid w:val="000D541E"/>
    <w:rsid w:val="000D580D"/>
    <w:rsid w:val="000D5920"/>
    <w:rsid w:val="000D5C69"/>
    <w:rsid w:val="000D5DB6"/>
    <w:rsid w:val="000D62C2"/>
    <w:rsid w:val="000D67BB"/>
    <w:rsid w:val="000D6B86"/>
    <w:rsid w:val="000D6CBE"/>
    <w:rsid w:val="000D6D3D"/>
    <w:rsid w:val="000D70F5"/>
    <w:rsid w:val="000D74C9"/>
    <w:rsid w:val="000D79DF"/>
    <w:rsid w:val="000D7DDB"/>
    <w:rsid w:val="000D7FFD"/>
    <w:rsid w:val="000E0039"/>
    <w:rsid w:val="000E03DB"/>
    <w:rsid w:val="000E05FF"/>
    <w:rsid w:val="000E0647"/>
    <w:rsid w:val="000E06E0"/>
    <w:rsid w:val="000E08A9"/>
    <w:rsid w:val="000E0F94"/>
    <w:rsid w:val="000E1112"/>
    <w:rsid w:val="000E136E"/>
    <w:rsid w:val="000E1551"/>
    <w:rsid w:val="000E180B"/>
    <w:rsid w:val="000E1AFA"/>
    <w:rsid w:val="000E1ED4"/>
    <w:rsid w:val="000E1FC6"/>
    <w:rsid w:val="000E2724"/>
    <w:rsid w:val="000E2741"/>
    <w:rsid w:val="000E2986"/>
    <w:rsid w:val="000E2AA9"/>
    <w:rsid w:val="000E2B8C"/>
    <w:rsid w:val="000E2D99"/>
    <w:rsid w:val="000E2F79"/>
    <w:rsid w:val="000E307E"/>
    <w:rsid w:val="000E31E5"/>
    <w:rsid w:val="000E334C"/>
    <w:rsid w:val="000E3358"/>
    <w:rsid w:val="000E3634"/>
    <w:rsid w:val="000E3A0C"/>
    <w:rsid w:val="000E4539"/>
    <w:rsid w:val="000E476C"/>
    <w:rsid w:val="000E4925"/>
    <w:rsid w:val="000E4C65"/>
    <w:rsid w:val="000E5014"/>
    <w:rsid w:val="000E5230"/>
    <w:rsid w:val="000E526F"/>
    <w:rsid w:val="000E5597"/>
    <w:rsid w:val="000E56E5"/>
    <w:rsid w:val="000E5A50"/>
    <w:rsid w:val="000E5C8B"/>
    <w:rsid w:val="000E5E2C"/>
    <w:rsid w:val="000E5FEC"/>
    <w:rsid w:val="000E61EB"/>
    <w:rsid w:val="000E684A"/>
    <w:rsid w:val="000E69C7"/>
    <w:rsid w:val="000E6A33"/>
    <w:rsid w:val="000E6C91"/>
    <w:rsid w:val="000E6E20"/>
    <w:rsid w:val="000E7075"/>
    <w:rsid w:val="000E715B"/>
    <w:rsid w:val="000E735A"/>
    <w:rsid w:val="000E779B"/>
    <w:rsid w:val="000E7BFB"/>
    <w:rsid w:val="000E7E33"/>
    <w:rsid w:val="000F0197"/>
    <w:rsid w:val="000F0274"/>
    <w:rsid w:val="000F07F2"/>
    <w:rsid w:val="000F08CA"/>
    <w:rsid w:val="000F09D3"/>
    <w:rsid w:val="000F09DC"/>
    <w:rsid w:val="000F0A9F"/>
    <w:rsid w:val="000F0CD1"/>
    <w:rsid w:val="000F112D"/>
    <w:rsid w:val="000F1133"/>
    <w:rsid w:val="000F1225"/>
    <w:rsid w:val="000F1245"/>
    <w:rsid w:val="000F168C"/>
    <w:rsid w:val="000F16AF"/>
    <w:rsid w:val="000F1772"/>
    <w:rsid w:val="000F1AC0"/>
    <w:rsid w:val="000F1C0A"/>
    <w:rsid w:val="000F1F2E"/>
    <w:rsid w:val="000F20F1"/>
    <w:rsid w:val="000F27A1"/>
    <w:rsid w:val="000F2853"/>
    <w:rsid w:val="000F28DD"/>
    <w:rsid w:val="000F2BA7"/>
    <w:rsid w:val="000F2BC2"/>
    <w:rsid w:val="000F2CAB"/>
    <w:rsid w:val="000F34CF"/>
    <w:rsid w:val="000F3548"/>
    <w:rsid w:val="000F35FB"/>
    <w:rsid w:val="000F363E"/>
    <w:rsid w:val="000F3835"/>
    <w:rsid w:val="000F38CD"/>
    <w:rsid w:val="000F3C49"/>
    <w:rsid w:val="000F442D"/>
    <w:rsid w:val="000F4599"/>
    <w:rsid w:val="000F45DB"/>
    <w:rsid w:val="000F4769"/>
    <w:rsid w:val="000F4987"/>
    <w:rsid w:val="000F4A1F"/>
    <w:rsid w:val="000F4B4C"/>
    <w:rsid w:val="000F4E94"/>
    <w:rsid w:val="000F4F90"/>
    <w:rsid w:val="000F4FF5"/>
    <w:rsid w:val="000F500E"/>
    <w:rsid w:val="000F5108"/>
    <w:rsid w:val="000F5221"/>
    <w:rsid w:val="000F52A4"/>
    <w:rsid w:val="000F5314"/>
    <w:rsid w:val="000F5ADC"/>
    <w:rsid w:val="000F5BC7"/>
    <w:rsid w:val="000F5E98"/>
    <w:rsid w:val="000F6732"/>
    <w:rsid w:val="000F697A"/>
    <w:rsid w:val="000F69A9"/>
    <w:rsid w:val="000F6E0D"/>
    <w:rsid w:val="000F6E7A"/>
    <w:rsid w:val="000F7082"/>
    <w:rsid w:val="000F731D"/>
    <w:rsid w:val="000F7740"/>
    <w:rsid w:val="000F788F"/>
    <w:rsid w:val="000F7C51"/>
    <w:rsid w:val="000F7E9E"/>
    <w:rsid w:val="000F7ED8"/>
    <w:rsid w:val="000F7F87"/>
    <w:rsid w:val="000F7FA9"/>
    <w:rsid w:val="00100106"/>
    <w:rsid w:val="00100681"/>
    <w:rsid w:val="001007DF"/>
    <w:rsid w:val="00100941"/>
    <w:rsid w:val="00100EC6"/>
    <w:rsid w:val="001013D8"/>
    <w:rsid w:val="0010179E"/>
    <w:rsid w:val="001017A2"/>
    <w:rsid w:val="00101803"/>
    <w:rsid w:val="00101BDA"/>
    <w:rsid w:val="00101EF2"/>
    <w:rsid w:val="00101F4E"/>
    <w:rsid w:val="00102480"/>
    <w:rsid w:val="00102913"/>
    <w:rsid w:val="001029C4"/>
    <w:rsid w:val="00102C5C"/>
    <w:rsid w:val="00102D21"/>
    <w:rsid w:val="00102DC8"/>
    <w:rsid w:val="00102EB2"/>
    <w:rsid w:val="001031E9"/>
    <w:rsid w:val="00103579"/>
    <w:rsid w:val="00103881"/>
    <w:rsid w:val="001039AB"/>
    <w:rsid w:val="00103CF4"/>
    <w:rsid w:val="0010432C"/>
    <w:rsid w:val="001047D0"/>
    <w:rsid w:val="0010494F"/>
    <w:rsid w:val="00104D4D"/>
    <w:rsid w:val="00104D67"/>
    <w:rsid w:val="00104DEF"/>
    <w:rsid w:val="00104FAD"/>
    <w:rsid w:val="001052F0"/>
    <w:rsid w:val="001054D1"/>
    <w:rsid w:val="001056AE"/>
    <w:rsid w:val="001059EC"/>
    <w:rsid w:val="00106104"/>
    <w:rsid w:val="0010636B"/>
    <w:rsid w:val="0010681F"/>
    <w:rsid w:val="00106906"/>
    <w:rsid w:val="0010695C"/>
    <w:rsid w:val="001069B1"/>
    <w:rsid w:val="00106C5E"/>
    <w:rsid w:val="00106F53"/>
    <w:rsid w:val="00106F8B"/>
    <w:rsid w:val="00107084"/>
    <w:rsid w:val="001070BE"/>
    <w:rsid w:val="00107146"/>
    <w:rsid w:val="00107610"/>
    <w:rsid w:val="00107951"/>
    <w:rsid w:val="00107994"/>
    <w:rsid w:val="00107A92"/>
    <w:rsid w:val="00107B23"/>
    <w:rsid w:val="00107C56"/>
    <w:rsid w:val="00107F8E"/>
    <w:rsid w:val="00110138"/>
    <w:rsid w:val="00110645"/>
    <w:rsid w:val="00110741"/>
    <w:rsid w:val="001107A5"/>
    <w:rsid w:val="0011097E"/>
    <w:rsid w:val="00110D2D"/>
    <w:rsid w:val="00110E10"/>
    <w:rsid w:val="00110FD4"/>
    <w:rsid w:val="001114E1"/>
    <w:rsid w:val="001115F4"/>
    <w:rsid w:val="001118A5"/>
    <w:rsid w:val="00111D2D"/>
    <w:rsid w:val="001120B8"/>
    <w:rsid w:val="00112295"/>
    <w:rsid w:val="0011256C"/>
    <w:rsid w:val="00112597"/>
    <w:rsid w:val="00112B3A"/>
    <w:rsid w:val="00112CE6"/>
    <w:rsid w:val="00113041"/>
    <w:rsid w:val="0011351C"/>
    <w:rsid w:val="00113846"/>
    <w:rsid w:val="001138BD"/>
    <w:rsid w:val="001139D3"/>
    <w:rsid w:val="00113A8E"/>
    <w:rsid w:val="00113EF5"/>
    <w:rsid w:val="00113F15"/>
    <w:rsid w:val="00113F3F"/>
    <w:rsid w:val="00113FA8"/>
    <w:rsid w:val="001143DD"/>
    <w:rsid w:val="00114453"/>
    <w:rsid w:val="00114AC0"/>
    <w:rsid w:val="00114B33"/>
    <w:rsid w:val="00114CE8"/>
    <w:rsid w:val="00114D76"/>
    <w:rsid w:val="0011545C"/>
    <w:rsid w:val="001157E5"/>
    <w:rsid w:val="001159C6"/>
    <w:rsid w:val="001159C9"/>
    <w:rsid w:val="00115A55"/>
    <w:rsid w:val="00115ABE"/>
    <w:rsid w:val="00115B1E"/>
    <w:rsid w:val="00115BCE"/>
    <w:rsid w:val="00115C61"/>
    <w:rsid w:val="00115C62"/>
    <w:rsid w:val="00115C9D"/>
    <w:rsid w:val="0011600C"/>
    <w:rsid w:val="00116253"/>
    <w:rsid w:val="00116460"/>
    <w:rsid w:val="001164CD"/>
    <w:rsid w:val="001165B7"/>
    <w:rsid w:val="001166B5"/>
    <w:rsid w:val="00116715"/>
    <w:rsid w:val="00116B2F"/>
    <w:rsid w:val="00116B81"/>
    <w:rsid w:val="00116D51"/>
    <w:rsid w:val="00116E9E"/>
    <w:rsid w:val="00116F18"/>
    <w:rsid w:val="00116F1C"/>
    <w:rsid w:val="001170DE"/>
    <w:rsid w:val="001170EA"/>
    <w:rsid w:val="00117258"/>
    <w:rsid w:val="00117312"/>
    <w:rsid w:val="00117348"/>
    <w:rsid w:val="00117AEC"/>
    <w:rsid w:val="00117B2E"/>
    <w:rsid w:val="00117C1F"/>
    <w:rsid w:val="00117C77"/>
    <w:rsid w:val="00117D7B"/>
    <w:rsid w:val="00117F64"/>
    <w:rsid w:val="0012021E"/>
    <w:rsid w:val="0012044D"/>
    <w:rsid w:val="001206EC"/>
    <w:rsid w:val="0012075A"/>
    <w:rsid w:val="00120BD5"/>
    <w:rsid w:val="00120C0D"/>
    <w:rsid w:val="00120C94"/>
    <w:rsid w:val="00120D0D"/>
    <w:rsid w:val="00120DE6"/>
    <w:rsid w:val="001211DB"/>
    <w:rsid w:val="00121319"/>
    <w:rsid w:val="00121519"/>
    <w:rsid w:val="0012188D"/>
    <w:rsid w:val="0012197E"/>
    <w:rsid w:val="00121BDD"/>
    <w:rsid w:val="00121D81"/>
    <w:rsid w:val="00121DCC"/>
    <w:rsid w:val="001222B7"/>
    <w:rsid w:val="001226F0"/>
    <w:rsid w:val="00122888"/>
    <w:rsid w:val="00122E96"/>
    <w:rsid w:val="001230CB"/>
    <w:rsid w:val="00123503"/>
    <w:rsid w:val="001236B9"/>
    <w:rsid w:val="00123893"/>
    <w:rsid w:val="00123D5A"/>
    <w:rsid w:val="00123D81"/>
    <w:rsid w:val="00123F48"/>
    <w:rsid w:val="00123FA1"/>
    <w:rsid w:val="0012429A"/>
    <w:rsid w:val="001242C0"/>
    <w:rsid w:val="0012430D"/>
    <w:rsid w:val="00124406"/>
    <w:rsid w:val="0012452E"/>
    <w:rsid w:val="001249B2"/>
    <w:rsid w:val="00124DA1"/>
    <w:rsid w:val="00125274"/>
    <w:rsid w:val="00125569"/>
    <w:rsid w:val="001255E4"/>
    <w:rsid w:val="00125633"/>
    <w:rsid w:val="001257A3"/>
    <w:rsid w:val="001259C2"/>
    <w:rsid w:val="00125F77"/>
    <w:rsid w:val="00126087"/>
    <w:rsid w:val="001263EA"/>
    <w:rsid w:val="0012651E"/>
    <w:rsid w:val="00126A92"/>
    <w:rsid w:val="00127234"/>
    <w:rsid w:val="00127AD5"/>
    <w:rsid w:val="00127C2B"/>
    <w:rsid w:val="00127E6C"/>
    <w:rsid w:val="00127E94"/>
    <w:rsid w:val="00130039"/>
    <w:rsid w:val="001302FA"/>
    <w:rsid w:val="001306FC"/>
    <w:rsid w:val="00130926"/>
    <w:rsid w:val="00130C14"/>
    <w:rsid w:val="00130C98"/>
    <w:rsid w:val="00130DB1"/>
    <w:rsid w:val="001313A5"/>
    <w:rsid w:val="00131460"/>
    <w:rsid w:val="00131544"/>
    <w:rsid w:val="00131729"/>
    <w:rsid w:val="00131795"/>
    <w:rsid w:val="00131812"/>
    <w:rsid w:val="00131AB7"/>
    <w:rsid w:val="00131ABE"/>
    <w:rsid w:val="00131DE3"/>
    <w:rsid w:val="0013231D"/>
    <w:rsid w:val="00132345"/>
    <w:rsid w:val="0013239B"/>
    <w:rsid w:val="001324C5"/>
    <w:rsid w:val="0013296A"/>
    <w:rsid w:val="00132C7D"/>
    <w:rsid w:val="00132F26"/>
    <w:rsid w:val="00132FB8"/>
    <w:rsid w:val="00133327"/>
    <w:rsid w:val="00133365"/>
    <w:rsid w:val="00133619"/>
    <w:rsid w:val="0013374F"/>
    <w:rsid w:val="0013395F"/>
    <w:rsid w:val="0013413F"/>
    <w:rsid w:val="0013420E"/>
    <w:rsid w:val="00134319"/>
    <w:rsid w:val="00134364"/>
    <w:rsid w:val="0013453B"/>
    <w:rsid w:val="00134DFE"/>
    <w:rsid w:val="00134E62"/>
    <w:rsid w:val="001353AB"/>
    <w:rsid w:val="00135584"/>
    <w:rsid w:val="00135812"/>
    <w:rsid w:val="00135A0F"/>
    <w:rsid w:val="00135B42"/>
    <w:rsid w:val="00135B62"/>
    <w:rsid w:val="00135DB4"/>
    <w:rsid w:val="00135DD1"/>
    <w:rsid w:val="00135E7C"/>
    <w:rsid w:val="00135EA9"/>
    <w:rsid w:val="00135F2C"/>
    <w:rsid w:val="001360E1"/>
    <w:rsid w:val="00136193"/>
    <w:rsid w:val="001363D6"/>
    <w:rsid w:val="001363F0"/>
    <w:rsid w:val="00136A78"/>
    <w:rsid w:val="00136AEF"/>
    <w:rsid w:val="00136C54"/>
    <w:rsid w:val="00136CE1"/>
    <w:rsid w:val="00136FB7"/>
    <w:rsid w:val="0013709B"/>
    <w:rsid w:val="0013725D"/>
    <w:rsid w:val="00137273"/>
    <w:rsid w:val="001377CE"/>
    <w:rsid w:val="001378F9"/>
    <w:rsid w:val="001379D8"/>
    <w:rsid w:val="00137A08"/>
    <w:rsid w:val="00137CD3"/>
    <w:rsid w:val="00137E26"/>
    <w:rsid w:val="00137E3E"/>
    <w:rsid w:val="001405A3"/>
    <w:rsid w:val="00140B83"/>
    <w:rsid w:val="00140E78"/>
    <w:rsid w:val="0014119B"/>
    <w:rsid w:val="00141211"/>
    <w:rsid w:val="001412EA"/>
    <w:rsid w:val="00141337"/>
    <w:rsid w:val="0014145F"/>
    <w:rsid w:val="0014196F"/>
    <w:rsid w:val="00141A2B"/>
    <w:rsid w:val="00141E8C"/>
    <w:rsid w:val="001421AC"/>
    <w:rsid w:val="0014280B"/>
    <w:rsid w:val="00142AC7"/>
    <w:rsid w:val="00142C03"/>
    <w:rsid w:val="00142CCB"/>
    <w:rsid w:val="0014304B"/>
    <w:rsid w:val="0014318A"/>
    <w:rsid w:val="001431FB"/>
    <w:rsid w:val="001433D8"/>
    <w:rsid w:val="001437DD"/>
    <w:rsid w:val="00143A0B"/>
    <w:rsid w:val="00143D59"/>
    <w:rsid w:val="00143E64"/>
    <w:rsid w:val="0014400D"/>
    <w:rsid w:val="00144249"/>
    <w:rsid w:val="0014443C"/>
    <w:rsid w:val="00144635"/>
    <w:rsid w:val="001454BE"/>
    <w:rsid w:val="001457CB"/>
    <w:rsid w:val="00145903"/>
    <w:rsid w:val="00145A3E"/>
    <w:rsid w:val="0014641A"/>
    <w:rsid w:val="0014663F"/>
    <w:rsid w:val="0014677A"/>
    <w:rsid w:val="00146BF3"/>
    <w:rsid w:val="00146CEE"/>
    <w:rsid w:val="00146DE3"/>
    <w:rsid w:val="00146E00"/>
    <w:rsid w:val="00146E34"/>
    <w:rsid w:val="00146F72"/>
    <w:rsid w:val="00146FD0"/>
    <w:rsid w:val="00147347"/>
    <w:rsid w:val="001473BC"/>
    <w:rsid w:val="00147560"/>
    <w:rsid w:val="001475BA"/>
    <w:rsid w:val="00147EE3"/>
    <w:rsid w:val="0015007C"/>
    <w:rsid w:val="001500D0"/>
    <w:rsid w:val="001505E1"/>
    <w:rsid w:val="0015096B"/>
    <w:rsid w:val="00150AB8"/>
    <w:rsid w:val="00150C1B"/>
    <w:rsid w:val="00150DBF"/>
    <w:rsid w:val="00151031"/>
    <w:rsid w:val="001512A2"/>
    <w:rsid w:val="001512D2"/>
    <w:rsid w:val="001517A9"/>
    <w:rsid w:val="00151A1D"/>
    <w:rsid w:val="00152046"/>
    <w:rsid w:val="0015211D"/>
    <w:rsid w:val="001523B3"/>
    <w:rsid w:val="001528C1"/>
    <w:rsid w:val="00152BC2"/>
    <w:rsid w:val="00152C83"/>
    <w:rsid w:val="00152D52"/>
    <w:rsid w:val="00152D8E"/>
    <w:rsid w:val="00152F47"/>
    <w:rsid w:val="001530DB"/>
    <w:rsid w:val="00153145"/>
    <w:rsid w:val="00153BDC"/>
    <w:rsid w:val="00154001"/>
    <w:rsid w:val="001540C1"/>
    <w:rsid w:val="001541F7"/>
    <w:rsid w:val="0015446C"/>
    <w:rsid w:val="001548C8"/>
    <w:rsid w:val="0015498C"/>
    <w:rsid w:val="00154B9F"/>
    <w:rsid w:val="00154C38"/>
    <w:rsid w:val="00154CA9"/>
    <w:rsid w:val="00154E22"/>
    <w:rsid w:val="00154F73"/>
    <w:rsid w:val="00155198"/>
    <w:rsid w:val="00155251"/>
    <w:rsid w:val="001553CD"/>
    <w:rsid w:val="00155496"/>
    <w:rsid w:val="00155A35"/>
    <w:rsid w:val="00155A7F"/>
    <w:rsid w:val="00155E02"/>
    <w:rsid w:val="00155EC8"/>
    <w:rsid w:val="00155F93"/>
    <w:rsid w:val="001562A4"/>
    <w:rsid w:val="00156349"/>
    <w:rsid w:val="00156909"/>
    <w:rsid w:val="00156A13"/>
    <w:rsid w:val="00156D2A"/>
    <w:rsid w:val="00156EA9"/>
    <w:rsid w:val="001577F9"/>
    <w:rsid w:val="00157897"/>
    <w:rsid w:val="00157AF6"/>
    <w:rsid w:val="00157DF8"/>
    <w:rsid w:val="0016004A"/>
    <w:rsid w:val="001602CD"/>
    <w:rsid w:val="0016044F"/>
    <w:rsid w:val="00160553"/>
    <w:rsid w:val="0016066C"/>
    <w:rsid w:val="00160BE1"/>
    <w:rsid w:val="00160D9A"/>
    <w:rsid w:val="001610D5"/>
    <w:rsid w:val="001610F5"/>
    <w:rsid w:val="00161196"/>
    <w:rsid w:val="0016153F"/>
    <w:rsid w:val="001617F2"/>
    <w:rsid w:val="00161985"/>
    <w:rsid w:val="00161EE9"/>
    <w:rsid w:val="001620CC"/>
    <w:rsid w:val="0016218C"/>
    <w:rsid w:val="00162607"/>
    <w:rsid w:val="00162919"/>
    <w:rsid w:val="00162974"/>
    <w:rsid w:val="00162E2A"/>
    <w:rsid w:val="00162E99"/>
    <w:rsid w:val="0016306F"/>
    <w:rsid w:val="00163516"/>
    <w:rsid w:val="0016355F"/>
    <w:rsid w:val="001635F0"/>
    <w:rsid w:val="0016375F"/>
    <w:rsid w:val="001639DF"/>
    <w:rsid w:val="00163B9A"/>
    <w:rsid w:val="00163E2C"/>
    <w:rsid w:val="00163EBD"/>
    <w:rsid w:val="00164411"/>
    <w:rsid w:val="001644EE"/>
    <w:rsid w:val="00164834"/>
    <w:rsid w:val="00164909"/>
    <w:rsid w:val="00164B1D"/>
    <w:rsid w:val="00165091"/>
    <w:rsid w:val="0016515E"/>
    <w:rsid w:val="00165814"/>
    <w:rsid w:val="0016596E"/>
    <w:rsid w:val="00165C91"/>
    <w:rsid w:val="00165EC5"/>
    <w:rsid w:val="00165F4B"/>
    <w:rsid w:val="0016609D"/>
    <w:rsid w:val="001664E5"/>
    <w:rsid w:val="00166795"/>
    <w:rsid w:val="0016681D"/>
    <w:rsid w:val="00166A10"/>
    <w:rsid w:val="00166BFA"/>
    <w:rsid w:val="00166CA0"/>
    <w:rsid w:val="00166D38"/>
    <w:rsid w:val="00166FB2"/>
    <w:rsid w:val="00166FC0"/>
    <w:rsid w:val="00167D12"/>
    <w:rsid w:val="00167D7D"/>
    <w:rsid w:val="0017054B"/>
    <w:rsid w:val="001705D1"/>
    <w:rsid w:val="00170B91"/>
    <w:rsid w:val="0017126E"/>
    <w:rsid w:val="00171341"/>
    <w:rsid w:val="00171602"/>
    <w:rsid w:val="0017162E"/>
    <w:rsid w:val="00171AED"/>
    <w:rsid w:val="00171BDE"/>
    <w:rsid w:val="00171C49"/>
    <w:rsid w:val="00171CE3"/>
    <w:rsid w:val="00171E62"/>
    <w:rsid w:val="00171FFE"/>
    <w:rsid w:val="00172728"/>
    <w:rsid w:val="001727A1"/>
    <w:rsid w:val="001728EB"/>
    <w:rsid w:val="00172B7D"/>
    <w:rsid w:val="00172DB5"/>
    <w:rsid w:val="00172EB6"/>
    <w:rsid w:val="00172F7F"/>
    <w:rsid w:val="00172FF4"/>
    <w:rsid w:val="001731E9"/>
    <w:rsid w:val="0017357D"/>
    <w:rsid w:val="001735BD"/>
    <w:rsid w:val="0017376C"/>
    <w:rsid w:val="00173A0B"/>
    <w:rsid w:val="00174813"/>
    <w:rsid w:val="00174928"/>
    <w:rsid w:val="00174B47"/>
    <w:rsid w:val="00175134"/>
    <w:rsid w:val="00175257"/>
    <w:rsid w:val="0017525A"/>
    <w:rsid w:val="00175469"/>
    <w:rsid w:val="001754F4"/>
    <w:rsid w:val="001755DE"/>
    <w:rsid w:val="00175631"/>
    <w:rsid w:val="00175688"/>
    <w:rsid w:val="0017586F"/>
    <w:rsid w:val="001759E0"/>
    <w:rsid w:val="00175B26"/>
    <w:rsid w:val="00175EB4"/>
    <w:rsid w:val="00175F46"/>
    <w:rsid w:val="00175F50"/>
    <w:rsid w:val="001762F2"/>
    <w:rsid w:val="001763C6"/>
    <w:rsid w:val="00176A31"/>
    <w:rsid w:val="00177020"/>
    <w:rsid w:val="00177492"/>
    <w:rsid w:val="0017751A"/>
    <w:rsid w:val="00177D68"/>
    <w:rsid w:val="00177DE5"/>
    <w:rsid w:val="00180101"/>
    <w:rsid w:val="00180311"/>
    <w:rsid w:val="00180377"/>
    <w:rsid w:val="00180388"/>
    <w:rsid w:val="001806E5"/>
    <w:rsid w:val="001807FD"/>
    <w:rsid w:val="001809FC"/>
    <w:rsid w:val="00181027"/>
    <w:rsid w:val="001812A7"/>
    <w:rsid w:val="0018135C"/>
    <w:rsid w:val="001818E2"/>
    <w:rsid w:val="00181C25"/>
    <w:rsid w:val="00182364"/>
    <w:rsid w:val="00182826"/>
    <w:rsid w:val="001828C2"/>
    <w:rsid w:val="00182DB4"/>
    <w:rsid w:val="00183008"/>
    <w:rsid w:val="0018309C"/>
    <w:rsid w:val="001832DA"/>
    <w:rsid w:val="00183923"/>
    <w:rsid w:val="00183BC8"/>
    <w:rsid w:val="00183D22"/>
    <w:rsid w:val="00184014"/>
    <w:rsid w:val="0018432C"/>
    <w:rsid w:val="001844C7"/>
    <w:rsid w:val="001848AE"/>
    <w:rsid w:val="00184DAB"/>
    <w:rsid w:val="00184E1F"/>
    <w:rsid w:val="00184E6C"/>
    <w:rsid w:val="00184E75"/>
    <w:rsid w:val="001850F7"/>
    <w:rsid w:val="00185220"/>
    <w:rsid w:val="0018525B"/>
    <w:rsid w:val="00185558"/>
    <w:rsid w:val="001855C9"/>
    <w:rsid w:val="0018576B"/>
    <w:rsid w:val="0018578E"/>
    <w:rsid w:val="00185D35"/>
    <w:rsid w:val="0018604D"/>
    <w:rsid w:val="001868C2"/>
    <w:rsid w:val="001872E2"/>
    <w:rsid w:val="0018742D"/>
    <w:rsid w:val="0018773D"/>
    <w:rsid w:val="001878D9"/>
    <w:rsid w:val="001879F5"/>
    <w:rsid w:val="00187A65"/>
    <w:rsid w:val="00187AFF"/>
    <w:rsid w:val="00187CF7"/>
    <w:rsid w:val="001900A1"/>
    <w:rsid w:val="0019034B"/>
    <w:rsid w:val="00190369"/>
    <w:rsid w:val="00190492"/>
    <w:rsid w:val="0019073A"/>
    <w:rsid w:val="00190794"/>
    <w:rsid w:val="001907C8"/>
    <w:rsid w:val="0019089C"/>
    <w:rsid w:val="00190960"/>
    <w:rsid w:val="00190B70"/>
    <w:rsid w:val="00190C15"/>
    <w:rsid w:val="00190CCE"/>
    <w:rsid w:val="00190F2E"/>
    <w:rsid w:val="00191151"/>
    <w:rsid w:val="001911EC"/>
    <w:rsid w:val="001915C1"/>
    <w:rsid w:val="0019167F"/>
    <w:rsid w:val="00191786"/>
    <w:rsid w:val="001917E8"/>
    <w:rsid w:val="00191AEB"/>
    <w:rsid w:val="00191BAC"/>
    <w:rsid w:val="00192086"/>
    <w:rsid w:val="00192144"/>
    <w:rsid w:val="00192632"/>
    <w:rsid w:val="00192EA2"/>
    <w:rsid w:val="00192EF0"/>
    <w:rsid w:val="00192F86"/>
    <w:rsid w:val="0019300E"/>
    <w:rsid w:val="00193445"/>
    <w:rsid w:val="001935BA"/>
    <w:rsid w:val="001936FA"/>
    <w:rsid w:val="001938AB"/>
    <w:rsid w:val="001938B9"/>
    <w:rsid w:val="00193C6C"/>
    <w:rsid w:val="00194224"/>
    <w:rsid w:val="001942F8"/>
    <w:rsid w:val="001943DD"/>
    <w:rsid w:val="0019469A"/>
    <w:rsid w:val="00194B44"/>
    <w:rsid w:val="00195102"/>
    <w:rsid w:val="001951E7"/>
    <w:rsid w:val="001953AB"/>
    <w:rsid w:val="00195782"/>
    <w:rsid w:val="00195AA7"/>
    <w:rsid w:val="00195ECD"/>
    <w:rsid w:val="00196306"/>
    <w:rsid w:val="001965B4"/>
    <w:rsid w:val="00196A7E"/>
    <w:rsid w:val="00196C70"/>
    <w:rsid w:val="00196C87"/>
    <w:rsid w:val="00197349"/>
    <w:rsid w:val="00197503"/>
    <w:rsid w:val="00197AA1"/>
    <w:rsid w:val="00197AE7"/>
    <w:rsid w:val="00197DB0"/>
    <w:rsid w:val="00197EB6"/>
    <w:rsid w:val="00197FE6"/>
    <w:rsid w:val="001A026F"/>
    <w:rsid w:val="001A0303"/>
    <w:rsid w:val="001A0317"/>
    <w:rsid w:val="001A0498"/>
    <w:rsid w:val="001A0CB7"/>
    <w:rsid w:val="001A0D32"/>
    <w:rsid w:val="001A0F47"/>
    <w:rsid w:val="001A0F58"/>
    <w:rsid w:val="001A10FA"/>
    <w:rsid w:val="001A115E"/>
    <w:rsid w:val="001A1222"/>
    <w:rsid w:val="001A122E"/>
    <w:rsid w:val="001A14C2"/>
    <w:rsid w:val="001A18CA"/>
    <w:rsid w:val="001A1927"/>
    <w:rsid w:val="001A19F5"/>
    <w:rsid w:val="001A2398"/>
    <w:rsid w:val="001A255D"/>
    <w:rsid w:val="001A26EB"/>
    <w:rsid w:val="001A274C"/>
    <w:rsid w:val="001A2832"/>
    <w:rsid w:val="001A288D"/>
    <w:rsid w:val="001A2A6D"/>
    <w:rsid w:val="001A3013"/>
    <w:rsid w:val="001A35BB"/>
    <w:rsid w:val="001A364D"/>
    <w:rsid w:val="001A3801"/>
    <w:rsid w:val="001A3A53"/>
    <w:rsid w:val="001A3A54"/>
    <w:rsid w:val="001A3D47"/>
    <w:rsid w:val="001A3F29"/>
    <w:rsid w:val="001A452E"/>
    <w:rsid w:val="001A497E"/>
    <w:rsid w:val="001A4AC4"/>
    <w:rsid w:val="001A4E82"/>
    <w:rsid w:val="001A4FFE"/>
    <w:rsid w:val="001A5277"/>
    <w:rsid w:val="001A53CE"/>
    <w:rsid w:val="001A551D"/>
    <w:rsid w:val="001A56A4"/>
    <w:rsid w:val="001A5A0D"/>
    <w:rsid w:val="001A5CF0"/>
    <w:rsid w:val="001A5DA3"/>
    <w:rsid w:val="001A61E6"/>
    <w:rsid w:val="001A6525"/>
    <w:rsid w:val="001A66E1"/>
    <w:rsid w:val="001A6846"/>
    <w:rsid w:val="001A72AD"/>
    <w:rsid w:val="001A743A"/>
    <w:rsid w:val="001A74B2"/>
    <w:rsid w:val="001A74D6"/>
    <w:rsid w:val="001A77C5"/>
    <w:rsid w:val="001B02F4"/>
    <w:rsid w:val="001B03C8"/>
    <w:rsid w:val="001B0550"/>
    <w:rsid w:val="001B05CD"/>
    <w:rsid w:val="001B068F"/>
    <w:rsid w:val="001B06E7"/>
    <w:rsid w:val="001B06ED"/>
    <w:rsid w:val="001B098A"/>
    <w:rsid w:val="001B0DA3"/>
    <w:rsid w:val="001B0F7F"/>
    <w:rsid w:val="001B12FC"/>
    <w:rsid w:val="001B23B6"/>
    <w:rsid w:val="001B2438"/>
    <w:rsid w:val="001B2665"/>
    <w:rsid w:val="001B2A44"/>
    <w:rsid w:val="001B2D21"/>
    <w:rsid w:val="001B3644"/>
    <w:rsid w:val="001B3DCC"/>
    <w:rsid w:val="001B3EFF"/>
    <w:rsid w:val="001B4029"/>
    <w:rsid w:val="001B432B"/>
    <w:rsid w:val="001B4366"/>
    <w:rsid w:val="001B4405"/>
    <w:rsid w:val="001B46D2"/>
    <w:rsid w:val="001B4D45"/>
    <w:rsid w:val="001B4FC2"/>
    <w:rsid w:val="001B524D"/>
    <w:rsid w:val="001B5321"/>
    <w:rsid w:val="001B5326"/>
    <w:rsid w:val="001B54F9"/>
    <w:rsid w:val="001B5501"/>
    <w:rsid w:val="001B5538"/>
    <w:rsid w:val="001B57CF"/>
    <w:rsid w:val="001B57FE"/>
    <w:rsid w:val="001B5813"/>
    <w:rsid w:val="001B5BEE"/>
    <w:rsid w:val="001B5E28"/>
    <w:rsid w:val="001B62A3"/>
    <w:rsid w:val="001B62B3"/>
    <w:rsid w:val="001B6327"/>
    <w:rsid w:val="001B63C1"/>
    <w:rsid w:val="001B6514"/>
    <w:rsid w:val="001B6597"/>
    <w:rsid w:val="001B681A"/>
    <w:rsid w:val="001B6985"/>
    <w:rsid w:val="001B6ADB"/>
    <w:rsid w:val="001B6B3C"/>
    <w:rsid w:val="001B6D62"/>
    <w:rsid w:val="001B6E27"/>
    <w:rsid w:val="001B6E46"/>
    <w:rsid w:val="001B752B"/>
    <w:rsid w:val="001B756D"/>
    <w:rsid w:val="001B7589"/>
    <w:rsid w:val="001B7697"/>
    <w:rsid w:val="001B7852"/>
    <w:rsid w:val="001B7AA3"/>
    <w:rsid w:val="001B7CD4"/>
    <w:rsid w:val="001B7D84"/>
    <w:rsid w:val="001C0270"/>
    <w:rsid w:val="001C037D"/>
    <w:rsid w:val="001C0864"/>
    <w:rsid w:val="001C0FD2"/>
    <w:rsid w:val="001C154D"/>
    <w:rsid w:val="001C1A61"/>
    <w:rsid w:val="001C1BA8"/>
    <w:rsid w:val="001C215D"/>
    <w:rsid w:val="001C2177"/>
    <w:rsid w:val="001C2306"/>
    <w:rsid w:val="001C2415"/>
    <w:rsid w:val="001C254C"/>
    <w:rsid w:val="001C2A98"/>
    <w:rsid w:val="001C2B5E"/>
    <w:rsid w:val="001C2BE1"/>
    <w:rsid w:val="001C2CCD"/>
    <w:rsid w:val="001C2E0E"/>
    <w:rsid w:val="001C32C4"/>
    <w:rsid w:val="001C3476"/>
    <w:rsid w:val="001C3628"/>
    <w:rsid w:val="001C37D9"/>
    <w:rsid w:val="001C3B00"/>
    <w:rsid w:val="001C4006"/>
    <w:rsid w:val="001C4048"/>
    <w:rsid w:val="001C478F"/>
    <w:rsid w:val="001C4843"/>
    <w:rsid w:val="001C485D"/>
    <w:rsid w:val="001C4CA9"/>
    <w:rsid w:val="001C4D8A"/>
    <w:rsid w:val="001C4E1F"/>
    <w:rsid w:val="001C55F0"/>
    <w:rsid w:val="001C5856"/>
    <w:rsid w:val="001C5FA7"/>
    <w:rsid w:val="001C5FDB"/>
    <w:rsid w:val="001C631B"/>
    <w:rsid w:val="001C64E9"/>
    <w:rsid w:val="001C666E"/>
    <w:rsid w:val="001C6696"/>
    <w:rsid w:val="001C6B26"/>
    <w:rsid w:val="001C6BC4"/>
    <w:rsid w:val="001C71AB"/>
    <w:rsid w:val="001C726B"/>
    <w:rsid w:val="001C733F"/>
    <w:rsid w:val="001C75CC"/>
    <w:rsid w:val="001C7744"/>
    <w:rsid w:val="001C7DB8"/>
    <w:rsid w:val="001C7F55"/>
    <w:rsid w:val="001D0042"/>
    <w:rsid w:val="001D070A"/>
    <w:rsid w:val="001D07EA"/>
    <w:rsid w:val="001D0811"/>
    <w:rsid w:val="001D08E4"/>
    <w:rsid w:val="001D0AAF"/>
    <w:rsid w:val="001D1098"/>
    <w:rsid w:val="001D1125"/>
    <w:rsid w:val="001D1132"/>
    <w:rsid w:val="001D12F2"/>
    <w:rsid w:val="001D16FF"/>
    <w:rsid w:val="001D17A7"/>
    <w:rsid w:val="001D1B21"/>
    <w:rsid w:val="001D1C0C"/>
    <w:rsid w:val="001D1F0E"/>
    <w:rsid w:val="001D1FCF"/>
    <w:rsid w:val="001D214F"/>
    <w:rsid w:val="001D215C"/>
    <w:rsid w:val="001D2274"/>
    <w:rsid w:val="001D25AB"/>
    <w:rsid w:val="001D2CE7"/>
    <w:rsid w:val="001D3336"/>
    <w:rsid w:val="001D37D1"/>
    <w:rsid w:val="001D3BF1"/>
    <w:rsid w:val="001D3D2F"/>
    <w:rsid w:val="001D3EE8"/>
    <w:rsid w:val="001D4144"/>
    <w:rsid w:val="001D43EE"/>
    <w:rsid w:val="001D4682"/>
    <w:rsid w:val="001D46B6"/>
    <w:rsid w:val="001D4B48"/>
    <w:rsid w:val="001D4C4B"/>
    <w:rsid w:val="001D4C5C"/>
    <w:rsid w:val="001D4EA3"/>
    <w:rsid w:val="001D524C"/>
    <w:rsid w:val="001D539C"/>
    <w:rsid w:val="001D54AD"/>
    <w:rsid w:val="001D5812"/>
    <w:rsid w:val="001D5919"/>
    <w:rsid w:val="001D5979"/>
    <w:rsid w:val="001D5B2D"/>
    <w:rsid w:val="001D5C9F"/>
    <w:rsid w:val="001D5D38"/>
    <w:rsid w:val="001D61DA"/>
    <w:rsid w:val="001D649B"/>
    <w:rsid w:val="001D67E3"/>
    <w:rsid w:val="001D6F3D"/>
    <w:rsid w:val="001D6F99"/>
    <w:rsid w:val="001D714F"/>
    <w:rsid w:val="001D73D5"/>
    <w:rsid w:val="001D7637"/>
    <w:rsid w:val="001D7682"/>
    <w:rsid w:val="001E0421"/>
    <w:rsid w:val="001E083D"/>
    <w:rsid w:val="001E0A78"/>
    <w:rsid w:val="001E0EFD"/>
    <w:rsid w:val="001E14BC"/>
    <w:rsid w:val="001E1524"/>
    <w:rsid w:val="001E15C1"/>
    <w:rsid w:val="001E1903"/>
    <w:rsid w:val="001E1E37"/>
    <w:rsid w:val="001E2718"/>
    <w:rsid w:val="001E28C4"/>
    <w:rsid w:val="001E2D47"/>
    <w:rsid w:val="001E315A"/>
    <w:rsid w:val="001E323B"/>
    <w:rsid w:val="001E33C5"/>
    <w:rsid w:val="001E357D"/>
    <w:rsid w:val="001E358F"/>
    <w:rsid w:val="001E3842"/>
    <w:rsid w:val="001E3A85"/>
    <w:rsid w:val="001E3ACC"/>
    <w:rsid w:val="001E4288"/>
    <w:rsid w:val="001E4395"/>
    <w:rsid w:val="001E4704"/>
    <w:rsid w:val="001E4AF3"/>
    <w:rsid w:val="001E4B4F"/>
    <w:rsid w:val="001E51D3"/>
    <w:rsid w:val="001E5556"/>
    <w:rsid w:val="001E5614"/>
    <w:rsid w:val="001E571E"/>
    <w:rsid w:val="001E5919"/>
    <w:rsid w:val="001E5A46"/>
    <w:rsid w:val="001E5C24"/>
    <w:rsid w:val="001E5E5B"/>
    <w:rsid w:val="001E6227"/>
    <w:rsid w:val="001E6556"/>
    <w:rsid w:val="001E6760"/>
    <w:rsid w:val="001E68A8"/>
    <w:rsid w:val="001E6A4B"/>
    <w:rsid w:val="001E6F5B"/>
    <w:rsid w:val="001E73E8"/>
    <w:rsid w:val="001E746F"/>
    <w:rsid w:val="001E75FD"/>
    <w:rsid w:val="001E7AA9"/>
    <w:rsid w:val="001E7CDB"/>
    <w:rsid w:val="001F0724"/>
    <w:rsid w:val="001F0880"/>
    <w:rsid w:val="001F0A32"/>
    <w:rsid w:val="001F0BE5"/>
    <w:rsid w:val="001F0E6F"/>
    <w:rsid w:val="001F12EC"/>
    <w:rsid w:val="001F12EF"/>
    <w:rsid w:val="001F15FC"/>
    <w:rsid w:val="001F1626"/>
    <w:rsid w:val="001F176B"/>
    <w:rsid w:val="001F17C5"/>
    <w:rsid w:val="001F1B8C"/>
    <w:rsid w:val="001F1CEB"/>
    <w:rsid w:val="001F1D46"/>
    <w:rsid w:val="001F2255"/>
    <w:rsid w:val="001F283F"/>
    <w:rsid w:val="001F292A"/>
    <w:rsid w:val="001F2961"/>
    <w:rsid w:val="001F29C1"/>
    <w:rsid w:val="001F29F8"/>
    <w:rsid w:val="001F2D52"/>
    <w:rsid w:val="001F2D69"/>
    <w:rsid w:val="001F318D"/>
    <w:rsid w:val="001F32A3"/>
    <w:rsid w:val="001F3318"/>
    <w:rsid w:val="001F3414"/>
    <w:rsid w:val="001F35DE"/>
    <w:rsid w:val="001F38E6"/>
    <w:rsid w:val="001F3AAA"/>
    <w:rsid w:val="001F3FFC"/>
    <w:rsid w:val="001F4310"/>
    <w:rsid w:val="001F43F3"/>
    <w:rsid w:val="001F4521"/>
    <w:rsid w:val="001F46E2"/>
    <w:rsid w:val="001F473E"/>
    <w:rsid w:val="001F4A34"/>
    <w:rsid w:val="001F4B5F"/>
    <w:rsid w:val="001F4EAD"/>
    <w:rsid w:val="001F4FFC"/>
    <w:rsid w:val="001F5045"/>
    <w:rsid w:val="001F54E0"/>
    <w:rsid w:val="001F561D"/>
    <w:rsid w:val="001F565D"/>
    <w:rsid w:val="001F584D"/>
    <w:rsid w:val="001F5B29"/>
    <w:rsid w:val="001F5BC9"/>
    <w:rsid w:val="001F5FD4"/>
    <w:rsid w:val="001F6A5E"/>
    <w:rsid w:val="001F6BDF"/>
    <w:rsid w:val="001F702A"/>
    <w:rsid w:val="001F73BA"/>
    <w:rsid w:val="001F7522"/>
    <w:rsid w:val="001F7930"/>
    <w:rsid w:val="001F7ACE"/>
    <w:rsid w:val="001F7EBD"/>
    <w:rsid w:val="001F7FF7"/>
    <w:rsid w:val="002001AD"/>
    <w:rsid w:val="00200EFD"/>
    <w:rsid w:val="00201192"/>
    <w:rsid w:val="002018BA"/>
    <w:rsid w:val="00201AEF"/>
    <w:rsid w:val="00201C87"/>
    <w:rsid w:val="00201CA0"/>
    <w:rsid w:val="002020F0"/>
    <w:rsid w:val="00202107"/>
    <w:rsid w:val="002023DD"/>
    <w:rsid w:val="00202514"/>
    <w:rsid w:val="00202534"/>
    <w:rsid w:val="00202650"/>
    <w:rsid w:val="002027E1"/>
    <w:rsid w:val="00203082"/>
    <w:rsid w:val="002034E8"/>
    <w:rsid w:val="00203662"/>
    <w:rsid w:val="00203CC2"/>
    <w:rsid w:val="00203F49"/>
    <w:rsid w:val="00204212"/>
    <w:rsid w:val="002043AE"/>
    <w:rsid w:val="00204513"/>
    <w:rsid w:val="002048A7"/>
    <w:rsid w:val="00204A2D"/>
    <w:rsid w:val="00204AAA"/>
    <w:rsid w:val="00204B0C"/>
    <w:rsid w:val="00204BC3"/>
    <w:rsid w:val="00204CD4"/>
    <w:rsid w:val="00204DB5"/>
    <w:rsid w:val="00204E9A"/>
    <w:rsid w:val="0020503E"/>
    <w:rsid w:val="00205052"/>
    <w:rsid w:val="00205168"/>
    <w:rsid w:val="0020569F"/>
    <w:rsid w:val="002056D9"/>
    <w:rsid w:val="002058FB"/>
    <w:rsid w:val="00205AC0"/>
    <w:rsid w:val="00205C41"/>
    <w:rsid w:val="002061B9"/>
    <w:rsid w:val="002061F3"/>
    <w:rsid w:val="002065A9"/>
    <w:rsid w:val="002066F3"/>
    <w:rsid w:val="002067FE"/>
    <w:rsid w:val="00206C0D"/>
    <w:rsid w:val="00206C25"/>
    <w:rsid w:val="00206F2A"/>
    <w:rsid w:val="00207244"/>
    <w:rsid w:val="00207595"/>
    <w:rsid w:val="00207919"/>
    <w:rsid w:val="00207C01"/>
    <w:rsid w:val="00207C36"/>
    <w:rsid w:val="002105CC"/>
    <w:rsid w:val="00210657"/>
    <w:rsid w:val="00210697"/>
    <w:rsid w:val="00210A86"/>
    <w:rsid w:val="00210DAC"/>
    <w:rsid w:val="00211004"/>
    <w:rsid w:val="002110E2"/>
    <w:rsid w:val="00211275"/>
    <w:rsid w:val="002118E2"/>
    <w:rsid w:val="00211C0F"/>
    <w:rsid w:val="00212127"/>
    <w:rsid w:val="002123CE"/>
    <w:rsid w:val="00212481"/>
    <w:rsid w:val="002124E4"/>
    <w:rsid w:val="00212A9B"/>
    <w:rsid w:val="00212B3D"/>
    <w:rsid w:val="00212BC8"/>
    <w:rsid w:val="00212CCF"/>
    <w:rsid w:val="002135BA"/>
    <w:rsid w:val="002138FC"/>
    <w:rsid w:val="00213BA5"/>
    <w:rsid w:val="00213ED2"/>
    <w:rsid w:val="0021404E"/>
    <w:rsid w:val="00214406"/>
    <w:rsid w:val="00214952"/>
    <w:rsid w:val="00214A65"/>
    <w:rsid w:val="00214FAB"/>
    <w:rsid w:val="00215092"/>
    <w:rsid w:val="002150F3"/>
    <w:rsid w:val="002153C3"/>
    <w:rsid w:val="00215625"/>
    <w:rsid w:val="0021582E"/>
    <w:rsid w:val="00215851"/>
    <w:rsid w:val="002158E1"/>
    <w:rsid w:val="00216393"/>
    <w:rsid w:val="002163E6"/>
    <w:rsid w:val="0021642E"/>
    <w:rsid w:val="00216860"/>
    <w:rsid w:val="002168FE"/>
    <w:rsid w:val="00216900"/>
    <w:rsid w:val="00217201"/>
    <w:rsid w:val="00217407"/>
    <w:rsid w:val="00217922"/>
    <w:rsid w:val="00217BF7"/>
    <w:rsid w:val="00217D4F"/>
    <w:rsid w:val="00220149"/>
    <w:rsid w:val="00220417"/>
    <w:rsid w:val="00220532"/>
    <w:rsid w:val="0022065F"/>
    <w:rsid w:val="002206B3"/>
    <w:rsid w:val="00220934"/>
    <w:rsid w:val="00220B93"/>
    <w:rsid w:val="00220C1B"/>
    <w:rsid w:val="00220D2A"/>
    <w:rsid w:val="0022126A"/>
    <w:rsid w:val="002215FE"/>
    <w:rsid w:val="00221651"/>
    <w:rsid w:val="00221773"/>
    <w:rsid w:val="00221A3C"/>
    <w:rsid w:val="00221B36"/>
    <w:rsid w:val="00221FB3"/>
    <w:rsid w:val="0022200F"/>
    <w:rsid w:val="0022248D"/>
    <w:rsid w:val="0022256C"/>
    <w:rsid w:val="002226CB"/>
    <w:rsid w:val="0022275C"/>
    <w:rsid w:val="0022291D"/>
    <w:rsid w:val="002229E8"/>
    <w:rsid w:val="00222BDA"/>
    <w:rsid w:val="00222E97"/>
    <w:rsid w:val="00222EB8"/>
    <w:rsid w:val="00222EDA"/>
    <w:rsid w:val="00222F73"/>
    <w:rsid w:val="00223390"/>
    <w:rsid w:val="002233B6"/>
    <w:rsid w:val="00223450"/>
    <w:rsid w:val="0022372E"/>
    <w:rsid w:val="00223788"/>
    <w:rsid w:val="00223A42"/>
    <w:rsid w:val="00223C49"/>
    <w:rsid w:val="00223C66"/>
    <w:rsid w:val="00223D03"/>
    <w:rsid w:val="0022414F"/>
    <w:rsid w:val="0022472C"/>
    <w:rsid w:val="002248B7"/>
    <w:rsid w:val="0022495F"/>
    <w:rsid w:val="00224C1E"/>
    <w:rsid w:val="00224C54"/>
    <w:rsid w:val="00224CB9"/>
    <w:rsid w:val="00224D1D"/>
    <w:rsid w:val="00224D88"/>
    <w:rsid w:val="00224DF4"/>
    <w:rsid w:val="00224FD7"/>
    <w:rsid w:val="0022527E"/>
    <w:rsid w:val="00225556"/>
    <w:rsid w:val="002255F5"/>
    <w:rsid w:val="002257A4"/>
    <w:rsid w:val="00225920"/>
    <w:rsid w:val="00225FB0"/>
    <w:rsid w:val="002260E9"/>
    <w:rsid w:val="002262CA"/>
    <w:rsid w:val="002263E5"/>
    <w:rsid w:val="002264CC"/>
    <w:rsid w:val="002265B3"/>
    <w:rsid w:val="00226901"/>
    <w:rsid w:val="00226FEA"/>
    <w:rsid w:val="0022729A"/>
    <w:rsid w:val="00227561"/>
    <w:rsid w:val="0022758A"/>
    <w:rsid w:val="00227672"/>
    <w:rsid w:val="00227678"/>
    <w:rsid w:val="00227811"/>
    <w:rsid w:val="002278A5"/>
    <w:rsid w:val="00227951"/>
    <w:rsid w:val="00227A94"/>
    <w:rsid w:val="00227BAD"/>
    <w:rsid w:val="00227C21"/>
    <w:rsid w:val="00227D8F"/>
    <w:rsid w:val="00227EAB"/>
    <w:rsid w:val="00230009"/>
    <w:rsid w:val="0023024B"/>
    <w:rsid w:val="00230591"/>
    <w:rsid w:val="00230648"/>
    <w:rsid w:val="00230ABD"/>
    <w:rsid w:val="00230AEE"/>
    <w:rsid w:val="00230C4C"/>
    <w:rsid w:val="0023174A"/>
    <w:rsid w:val="00231803"/>
    <w:rsid w:val="00231B3A"/>
    <w:rsid w:val="00231BF3"/>
    <w:rsid w:val="00231C69"/>
    <w:rsid w:val="00232028"/>
    <w:rsid w:val="0023230E"/>
    <w:rsid w:val="002334EE"/>
    <w:rsid w:val="002337D5"/>
    <w:rsid w:val="002339C4"/>
    <w:rsid w:val="00234013"/>
    <w:rsid w:val="00234239"/>
    <w:rsid w:val="002344BE"/>
    <w:rsid w:val="002345D4"/>
    <w:rsid w:val="00234656"/>
    <w:rsid w:val="0023472B"/>
    <w:rsid w:val="0023594A"/>
    <w:rsid w:val="00235A6D"/>
    <w:rsid w:val="00235BEA"/>
    <w:rsid w:val="00235C22"/>
    <w:rsid w:val="002360DB"/>
    <w:rsid w:val="002361A8"/>
    <w:rsid w:val="002364BF"/>
    <w:rsid w:val="002367C0"/>
    <w:rsid w:val="002367DC"/>
    <w:rsid w:val="002368E3"/>
    <w:rsid w:val="00236BFE"/>
    <w:rsid w:val="00236CE3"/>
    <w:rsid w:val="00237134"/>
    <w:rsid w:val="00237204"/>
    <w:rsid w:val="0023746B"/>
    <w:rsid w:val="002376B2"/>
    <w:rsid w:val="00237A4F"/>
    <w:rsid w:val="00237BF4"/>
    <w:rsid w:val="00237C82"/>
    <w:rsid w:val="00237CBA"/>
    <w:rsid w:val="00237E14"/>
    <w:rsid w:val="00237F3D"/>
    <w:rsid w:val="00237FD3"/>
    <w:rsid w:val="00237FF2"/>
    <w:rsid w:val="0024053E"/>
    <w:rsid w:val="0024066F"/>
    <w:rsid w:val="00240E78"/>
    <w:rsid w:val="0024124B"/>
    <w:rsid w:val="00241497"/>
    <w:rsid w:val="0024152C"/>
    <w:rsid w:val="00241536"/>
    <w:rsid w:val="002416DD"/>
    <w:rsid w:val="0024173E"/>
    <w:rsid w:val="0024185E"/>
    <w:rsid w:val="00241DA9"/>
    <w:rsid w:val="00241F73"/>
    <w:rsid w:val="00241F8D"/>
    <w:rsid w:val="0024213E"/>
    <w:rsid w:val="00242417"/>
    <w:rsid w:val="0024241A"/>
    <w:rsid w:val="002425AC"/>
    <w:rsid w:val="00242B83"/>
    <w:rsid w:val="00242EF5"/>
    <w:rsid w:val="00242F2A"/>
    <w:rsid w:val="00243039"/>
    <w:rsid w:val="00243124"/>
    <w:rsid w:val="002434A5"/>
    <w:rsid w:val="00243A4E"/>
    <w:rsid w:val="00243A53"/>
    <w:rsid w:val="002440D1"/>
    <w:rsid w:val="0024427D"/>
    <w:rsid w:val="0024429E"/>
    <w:rsid w:val="00244474"/>
    <w:rsid w:val="00244BD2"/>
    <w:rsid w:val="00245522"/>
    <w:rsid w:val="00245940"/>
    <w:rsid w:val="00245983"/>
    <w:rsid w:val="00245A9A"/>
    <w:rsid w:val="00245CDC"/>
    <w:rsid w:val="00246AA4"/>
    <w:rsid w:val="00246D97"/>
    <w:rsid w:val="00246EE7"/>
    <w:rsid w:val="00246F20"/>
    <w:rsid w:val="00247247"/>
    <w:rsid w:val="00247253"/>
    <w:rsid w:val="0024763C"/>
    <w:rsid w:val="00247642"/>
    <w:rsid w:val="0024771B"/>
    <w:rsid w:val="00247C83"/>
    <w:rsid w:val="0025013D"/>
    <w:rsid w:val="002503D9"/>
    <w:rsid w:val="00250408"/>
    <w:rsid w:val="00250473"/>
    <w:rsid w:val="002505BA"/>
    <w:rsid w:val="002505DD"/>
    <w:rsid w:val="002506C7"/>
    <w:rsid w:val="002506DA"/>
    <w:rsid w:val="00250A33"/>
    <w:rsid w:val="00250AB5"/>
    <w:rsid w:val="002514EB"/>
    <w:rsid w:val="00251681"/>
    <w:rsid w:val="00251943"/>
    <w:rsid w:val="00251970"/>
    <w:rsid w:val="00251C8C"/>
    <w:rsid w:val="00251CCF"/>
    <w:rsid w:val="0025224C"/>
    <w:rsid w:val="00252319"/>
    <w:rsid w:val="00252459"/>
    <w:rsid w:val="00252829"/>
    <w:rsid w:val="00252B9B"/>
    <w:rsid w:val="00253411"/>
    <w:rsid w:val="002537E3"/>
    <w:rsid w:val="00253CA5"/>
    <w:rsid w:val="00254465"/>
    <w:rsid w:val="002544A2"/>
    <w:rsid w:val="00254535"/>
    <w:rsid w:val="00254744"/>
    <w:rsid w:val="0025480D"/>
    <w:rsid w:val="00254D5C"/>
    <w:rsid w:val="00254E5E"/>
    <w:rsid w:val="00254FF5"/>
    <w:rsid w:val="002552DD"/>
    <w:rsid w:val="00255ABB"/>
    <w:rsid w:val="00255C63"/>
    <w:rsid w:val="00255EB3"/>
    <w:rsid w:val="00255F7A"/>
    <w:rsid w:val="0025624C"/>
    <w:rsid w:val="002568B0"/>
    <w:rsid w:val="002568D5"/>
    <w:rsid w:val="00256932"/>
    <w:rsid w:val="00256946"/>
    <w:rsid w:val="00256974"/>
    <w:rsid w:val="00256999"/>
    <w:rsid w:val="00256A1A"/>
    <w:rsid w:val="00256D36"/>
    <w:rsid w:val="00256F61"/>
    <w:rsid w:val="00256F6A"/>
    <w:rsid w:val="002574FA"/>
    <w:rsid w:val="00257567"/>
    <w:rsid w:val="0025795C"/>
    <w:rsid w:val="002579B6"/>
    <w:rsid w:val="00257CEC"/>
    <w:rsid w:val="00257D68"/>
    <w:rsid w:val="00257F3E"/>
    <w:rsid w:val="00260656"/>
    <w:rsid w:val="00260864"/>
    <w:rsid w:val="00260BC4"/>
    <w:rsid w:val="00260CA3"/>
    <w:rsid w:val="0026133E"/>
    <w:rsid w:val="002615DA"/>
    <w:rsid w:val="002619A9"/>
    <w:rsid w:val="00261A05"/>
    <w:rsid w:val="00261C02"/>
    <w:rsid w:val="00261C05"/>
    <w:rsid w:val="00262060"/>
    <w:rsid w:val="002626C6"/>
    <w:rsid w:val="0026272B"/>
    <w:rsid w:val="002627E6"/>
    <w:rsid w:val="00262957"/>
    <w:rsid w:val="002629C4"/>
    <w:rsid w:val="00262AEE"/>
    <w:rsid w:val="00262B73"/>
    <w:rsid w:val="00262B80"/>
    <w:rsid w:val="00263720"/>
    <w:rsid w:val="0026378D"/>
    <w:rsid w:val="002637B7"/>
    <w:rsid w:val="00263B67"/>
    <w:rsid w:val="00263DE6"/>
    <w:rsid w:val="00264672"/>
    <w:rsid w:val="00264B58"/>
    <w:rsid w:val="00264DC0"/>
    <w:rsid w:val="00264DF2"/>
    <w:rsid w:val="00264E82"/>
    <w:rsid w:val="0026505C"/>
    <w:rsid w:val="002654A6"/>
    <w:rsid w:val="00265598"/>
    <w:rsid w:val="0026573E"/>
    <w:rsid w:val="00265995"/>
    <w:rsid w:val="00265BF5"/>
    <w:rsid w:val="00265C8A"/>
    <w:rsid w:val="00265D80"/>
    <w:rsid w:val="00265ECD"/>
    <w:rsid w:val="00266212"/>
    <w:rsid w:val="00266414"/>
    <w:rsid w:val="002665FF"/>
    <w:rsid w:val="00266964"/>
    <w:rsid w:val="00266A47"/>
    <w:rsid w:val="00266DD7"/>
    <w:rsid w:val="00267162"/>
    <w:rsid w:val="00267526"/>
    <w:rsid w:val="0026771D"/>
    <w:rsid w:val="002679BE"/>
    <w:rsid w:val="002679C7"/>
    <w:rsid w:val="002679EE"/>
    <w:rsid w:val="00267CB0"/>
    <w:rsid w:val="00267E5F"/>
    <w:rsid w:val="0027036E"/>
    <w:rsid w:val="0027062E"/>
    <w:rsid w:val="00270757"/>
    <w:rsid w:val="002707A9"/>
    <w:rsid w:val="002708D7"/>
    <w:rsid w:val="00270C17"/>
    <w:rsid w:val="00270C81"/>
    <w:rsid w:val="00270FF9"/>
    <w:rsid w:val="002714BA"/>
    <w:rsid w:val="00271983"/>
    <w:rsid w:val="00271BC1"/>
    <w:rsid w:val="00272374"/>
    <w:rsid w:val="002724AA"/>
    <w:rsid w:val="002724AD"/>
    <w:rsid w:val="002729D2"/>
    <w:rsid w:val="00272A57"/>
    <w:rsid w:val="00273040"/>
    <w:rsid w:val="002731F2"/>
    <w:rsid w:val="002731F3"/>
    <w:rsid w:val="00273367"/>
    <w:rsid w:val="00273524"/>
    <w:rsid w:val="00273A2C"/>
    <w:rsid w:val="00273FA7"/>
    <w:rsid w:val="0027447A"/>
    <w:rsid w:val="0027448E"/>
    <w:rsid w:val="0027464C"/>
    <w:rsid w:val="002748BE"/>
    <w:rsid w:val="002749AF"/>
    <w:rsid w:val="00274F23"/>
    <w:rsid w:val="002751AE"/>
    <w:rsid w:val="002752FE"/>
    <w:rsid w:val="002756F4"/>
    <w:rsid w:val="002757E5"/>
    <w:rsid w:val="00275834"/>
    <w:rsid w:val="0027589B"/>
    <w:rsid w:val="0027590C"/>
    <w:rsid w:val="00275A62"/>
    <w:rsid w:val="00275CAC"/>
    <w:rsid w:val="00275D1B"/>
    <w:rsid w:val="002762FB"/>
    <w:rsid w:val="00276638"/>
    <w:rsid w:val="00276689"/>
    <w:rsid w:val="002766CD"/>
    <w:rsid w:val="002768BF"/>
    <w:rsid w:val="00276ADF"/>
    <w:rsid w:val="0027729D"/>
    <w:rsid w:val="002772B9"/>
    <w:rsid w:val="00277322"/>
    <w:rsid w:val="002774B9"/>
    <w:rsid w:val="002774E3"/>
    <w:rsid w:val="00277641"/>
    <w:rsid w:val="00277CB4"/>
    <w:rsid w:val="00277E48"/>
    <w:rsid w:val="00280177"/>
    <w:rsid w:val="00280627"/>
    <w:rsid w:val="00280922"/>
    <w:rsid w:val="00280AA9"/>
    <w:rsid w:val="002811F2"/>
    <w:rsid w:val="00281403"/>
    <w:rsid w:val="0028157F"/>
    <w:rsid w:val="00281A53"/>
    <w:rsid w:val="00281BC4"/>
    <w:rsid w:val="00281BE7"/>
    <w:rsid w:val="00281DD4"/>
    <w:rsid w:val="00282035"/>
    <w:rsid w:val="0028233B"/>
    <w:rsid w:val="002823E8"/>
    <w:rsid w:val="0028261A"/>
    <w:rsid w:val="00282954"/>
    <w:rsid w:val="00282960"/>
    <w:rsid w:val="00282965"/>
    <w:rsid w:val="00282B76"/>
    <w:rsid w:val="0028332D"/>
    <w:rsid w:val="00283793"/>
    <w:rsid w:val="002837F0"/>
    <w:rsid w:val="00283A61"/>
    <w:rsid w:val="00283AB4"/>
    <w:rsid w:val="00283D51"/>
    <w:rsid w:val="00283F71"/>
    <w:rsid w:val="00283F92"/>
    <w:rsid w:val="00284015"/>
    <w:rsid w:val="00284180"/>
    <w:rsid w:val="00284259"/>
    <w:rsid w:val="0028439B"/>
    <w:rsid w:val="0028441F"/>
    <w:rsid w:val="00284451"/>
    <w:rsid w:val="002847FD"/>
    <w:rsid w:val="00284866"/>
    <w:rsid w:val="00284DE6"/>
    <w:rsid w:val="00284F7B"/>
    <w:rsid w:val="0028509D"/>
    <w:rsid w:val="00285125"/>
    <w:rsid w:val="00285210"/>
    <w:rsid w:val="0028557A"/>
    <w:rsid w:val="00285734"/>
    <w:rsid w:val="00285DD9"/>
    <w:rsid w:val="00285EF2"/>
    <w:rsid w:val="00286509"/>
    <w:rsid w:val="00286554"/>
    <w:rsid w:val="002868B5"/>
    <w:rsid w:val="002868C0"/>
    <w:rsid w:val="00286A74"/>
    <w:rsid w:val="00286B7F"/>
    <w:rsid w:val="00286DE1"/>
    <w:rsid w:val="0028716D"/>
    <w:rsid w:val="002876B7"/>
    <w:rsid w:val="002878FD"/>
    <w:rsid w:val="00287BEF"/>
    <w:rsid w:val="00287C58"/>
    <w:rsid w:val="00287E22"/>
    <w:rsid w:val="00287FA7"/>
    <w:rsid w:val="00290104"/>
    <w:rsid w:val="0029018B"/>
    <w:rsid w:val="00290222"/>
    <w:rsid w:val="00290570"/>
    <w:rsid w:val="00290A08"/>
    <w:rsid w:val="00290E42"/>
    <w:rsid w:val="00290F1C"/>
    <w:rsid w:val="00291653"/>
    <w:rsid w:val="00291668"/>
    <w:rsid w:val="00291CA3"/>
    <w:rsid w:val="00291F48"/>
    <w:rsid w:val="00292039"/>
    <w:rsid w:val="002921A7"/>
    <w:rsid w:val="0029223A"/>
    <w:rsid w:val="002922EE"/>
    <w:rsid w:val="00292417"/>
    <w:rsid w:val="00292601"/>
    <w:rsid w:val="002926B3"/>
    <w:rsid w:val="00292BA7"/>
    <w:rsid w:val="00292CF2"/>
    <w:rsid w:val="002935BF"/>
    <w:rsid w:val="00293632"/>
    <w:rsid w:val="0029363A"/>
    <w:rsid w:val="002936DC"/>
    <w:rsid w:val="0029374B"/>
    <w:rsid w:val="00293977"/>
    <w:rsid w:val="00293A67"/>
    <w:rsid w:val="00293DBA"/>
    <w:rsid w:val="00293E76"/>
    <w:rsid w:val="002940EC"/>
    <w:rsid w:val="002943B9"/>
    <w:rsid w:val="002944BB"/>
    <w:rsid w:val="00294552"/>
    <w:rsid w:val="00294A07"/>
    <w:rsid w:val="00294CF1"/>
    <w:rsid w:val="00294E94"/>
    <w:rsid w:val="00294F13"/>
    <w:rsid w:val="00294F4C"/>
    <w:rsid w:val="00295099"/>
    <w:rsid w:val="002957E1"/>
    <w:rsid w:val="00295899"/>
    <w:rsid w:val="00295953"/>
    <w:rsid w:val="00295B90"/>
    <w:rsid w:val="00295DB3"/>
    <w:rsid w:val="00296041"/>
    <w:rsid w:val="00296356"/>
    <w:rsid w:val="00296479"/>
    <w:rsid w:val="002964B5"/>
    <w:rsid w:val="002964C8"/>
    <w:rsid w:val="0029656E"/>
    <w:rsid w:val="0029676F"/>
    <w:rsid w:val="002968F8"/>
    <w:rsid w:val="00296A58"/>
    <w:rsid w:val="00296D28"/>
    <w:rsid w:val="00297048"/>
    <w:rsid w:val="0029704E"/>
    <w:rsid w:val="00297472"/>
    <w:rsid w:val="002975B1"/>
    <w:rsid w:val="00297619"/>
    <w:rsid w:val="002979D6"/>
    <w:rsid w:val="00297A87"/>
    <w:rsid w:val="00297DB9"/>
    <w:rsid w:val="00297EC4"/>
    <w:rsid w:val="002A0140"/>
    <w:rsid w:val="002A038C"/>
    <w:rsid w:val="002A03F5"/>
    <w:rsid w:val="002A062B"/>
    <w:rsid w:val="002A06D9"/>
    <w:rsid w:val="002A0A4D"/>
    <w:rsid w:val="002A1122"/>
    <w:rsid w:val="002A11A6"/>
    <w:rsid w:val="002A12C5"/>
    <w:rsid w:val="002A1330"/>
    <w:rsid w:val="002A14CC"/>
    <w:rsid w:val="002A1899"/>
    <w:rsid w:val="002A19FF"/>
    <w:rsid w:val="002A1B90"/>
    <w:rsid w:val="002A2094"/>
    <w:rsid w:val="002A2256"/>
    <w:rsid w:val="002A2349"/>
    <w:rsid w:val="002A235B"/>
    <w:rsid w:val="002A263D"/>
    <w:rsid w:val="002A2978"/>
    <w:rsid w:val="002A2AA3"/>
    <w:rsid w:val="002A31C8"/>
    <w:rsid w:val="002A333B"/>
    <w:rsid w:val="002A3A89"/>
    <w:rsid w:val="002A3AD9"/>
    <w:rsid w:val="002A3CF7"/>
    <w:rsid w:val="002A3DE9"/>
    <w:rsid w:val="002A3DFF"/>
    <w:rsid w:val="002A3FA9"/>
    <w:rsid w:val="002A4186"/>
    <w:rsid w:val="002A4B0B"/>
    <w:rsid w:val="002A4C05"/>
    <w:rsid w:val="002A56AA"/>
    <w:rsid w:val="002A56F0"/>
    <w:rsid w:val="002A570D"/>
    <w:rsid w:val="002A5A78"/>
    <w:rsid w:val="002A5D2F"/>
    <w:rsid w:val="002A5E0B"/>
    <w:rsid w:val="002A6487"/>
    <w:rsid w:val="002A6648"/>
    <w:rsid w:val="002A67FB"/>
    <w:rsid w:val="002A6C37"/>
    <w:rsid w:val="002A7272"/>
    <w:rsid w:val="002A7353"/>
    <w:rsid w:val="002A7432"/>
    <w:rsid w:val="002A7681"/>
    <w:rsid w:val="002A784B"/>
    <w:rsid w:val="002A7AAD"/>
    <w:rsid w:val="002A7B89"/>
    <w:rsid w:val="002A7D87"/>
    <w:rsid w:val="002A7DC3"/>
    <w:rsid w:val="002B0245"/>
    <w:rsid w:val="002B02C1"/>
    <w:rsid w:val="002B09AC"/>
    <w:rsid w:val="002B0B20"/>
    <w:rsid w:val="002B0CE3"/>
    <w:rsid w:val="002B0DB7"/>
    <w:rsid w:val="002B0EC7"/>
    <w:rsid w:val="002B10EE"/>
    <w:rsid w:val="002B1186"/>
    <w:rsid w:val="002B11B8"/>
    <w:rsid w:val="002B11BC"/>
    <w:rsid w:val="002B11DE"/>
    <w:rsid w:val="002B1399"/>
    <w:rsid w:val="002B1458"/>
    <w:rsid w:val="002B14DA"/>
    <w:rsid w:val="002B1A3C"/>
    <w:rsid w:val="002B1CB6"/>
    <w:rsid w:val="002B1CDF"/>
    <w:rsid w:val="002B23E5"/>
    <w:rsid w:val="002B248B"/>
    <w:rsid w:val="002B2B88"/>
    <w:rsid w:val="002B3004"/>
    <w:rsid w:val="002B300E"/>
    <w:rsid w:val="002B303C"/>
    <w:rsid w:val="002B31F4"/>
    <w:rsid w:val="002B3242"/>
    <w:rsid w:val="002B3460"/>
    <w:rsid w:val="002B39ED"/>
    <w:rsid w:val="002B39FE"/>
    <w:rsid w:val="002B410B"/>
    <w:rsid w:val="002B422B"/>
    <w:rsid w:val="002B42E8"/>
    <w:rsid w:val="002B438A"/>
    <w:rsid w:val="002B45AB"/>
    <w:rsid w:val="002B48C5"/>
    <w:rsid w:val="002B4D18"/>
    <w:rsid w:val="002B4D2B"/>
    <w:rsid w:val="002B5034"/>
    <w:rsid w:val="002B5595"/>
    <w:rsid w:val="002B5C3F"/>
    <w:rsid w:val="002B5CEC"/>
    <w:rsid w:val="002B5CF9"/>
    <w:rsid w:val="002B5D2E"/>
    <w:rsid w:val="002B5D9C"/>
    <w:rsid w:val="002B606C"/>
    <w:rsid w:val="002B62AD"/>
    <w:rsid w:val="002B6BB0"/>
    <w:rsid w:val="002B6DC3"/>
    <w:rsid w:val="002B6E59"/>
    <w:rsid w:val="002B6FB6"/>
    <w:rsid w:val="002B71A6"/>
    <w:rsid w:val="002B75AB"/>
    <w:rsid w:val="002B75D3"/>
    <w:rsid w:val="002B76B6"/>
    <w:rsid w:val="002B7873"/>
    <w:rsid w:val="002B7961"/>
    <w:rsid w:val="002B7C2E"/>
    <w:rsid w:val="002B7EE5"/>
    <w:rsid w:val="002C014F"/>
    <w:rsid w:val="002C0232"/>
    <w:rsid w:val="002C0234"/>
    <w:rsid w:val="002C0591"/>
    <w:rsid w:val="002C0A2E"/>
    <w:rsid w:val="002C0C99"/>
    <w:rsid w:val="002C0CB8"/>
    <w:rsid w:val="002C1180"/>
    <w:rsid w:val="002C1C6F"/>
    <w:rsid w:val="002C2619"/>
    <w:rsid w:val="002C273E"/>
    <w:rsid w:val="002C28AD"/>
    <w:rsid w:val="002C29CD"/>
    <w:rsid w:val="002C2A9A"/>
    <w:rsid w:val="002C2AEB"/>
    <w:rsid w:val="002C2B0C"/>
    <w:rsid w:val="002C2B1B"/>
    <w:rsid w:val="002C301D"/>
    <w:rsid w:val="002C3081"/>
    <w:rsid w:val="002C30F8"/>
    <w:rsid w:val="002C3237"/>
    <w:rsid w:val="002C32A9"/>
    <w:rsid w:val="002C3374"/>
    <w:rsid w:val="002C3895"/>
    <w:rsid w:val="002C39A1"/>
    <w:rsid w:val="002C3B4C"/>
    <w:rsid w:val="002C3BDE"/>
    <w:rsid w:val="002C3E12"/>
    <w:rsid w:val="002C4005"/>
    <w:rsid w:val="002C41D2"/>
    <w:rsid w:val="002C49BC"/>
    <w:rsid w:val="002C4CDF"/>
    <w:rsid w:val="002C4E25"/>
    <w:rsid w:val="002C5004"/>
    <w:rsid w:val="002C5122"/>
    <w:rsid w:val="002C53AC"/>
    <w:rsid w:val="002C5814"/>
    <w:rsid w:val="002C5BF5"/>
    <w:rsid w:val="002C5C47"/>
    <w:rsid w:val="002C5F1D"/>
    <w:rsid w:val="002C5F5B"/>
    <w:rsid w:val="002C61DB"/>
    <w:rsid w:val="002C626E"/>
    <w:rsid w:val="002C64F6"/>
    <w:rsid w:val="002C6703"/>
    <w:rsid w:val="002C67C2"/>
    <w:rsid w:val="002C6994"/>
    <w:rsid w:val="002C6C0C"/>
    <w:rsid w:val="002C6CA8"/>
    <w:rsid w:val="002C6DC5"/>
    <w:rsid w:val="002C6E33"/>
    <w:rsid w:val="002C6F0D"/>
    <w:rsid w:val="002C6F61"/>
    <w:rsid w:val="002C7041"/>
    <w:rsid w:val="002C70C9"/>
    <w:rsid w:val="002C7109"/>
    <w:rsid w:val="002C72BD"/>
    <w:rsid w:val="002C747D"/>
    <w:rsid w:val="002C75F9"/>
    <w:rsid w:val="002C7844"/>
    <w:rsid w:val="002C7D33"/>
    <w:rsid w:val="002D0212"/>
    <w:rsid w:val="002D0281"/>
    <w:rsid w:val="002D03EA"/>
    <w:rsid w:val="002D0409"/>
    <w:rsid w:val="002D044B"/>
    <w:rsid w:val="002D09F9"/>
    <w:rsid w:val="002D0BFE"/>
    <w:rsid w:val="002D0C49"/>
    <w:rsid w:val="002D0E2E"/>
    <w:rsid w:val="002D0E88"/>
    <w:rsid w:val="002D0FB0"/>
    <w:rsid w:val="002D0FD6"/>
    <w:rsid w:val="002D1265"/>
    <w:rsid w:val="002D12B6"/>
    <w:rsid w:val="002D12F9"/>
    <w:rsid w:val="002D13F5"/>
    <w:rsid w:val="002D142B"/>
    <w:rsid w:val="002D1730"/>
    <w:rsid w:val="002D180C"/>
    <w:rsid w:val="002D189B"/>
    <w:rsid w:val="002D18CA"/>
    <w:rsid w:val="002D251F"/>
    <w:rsid w:val="002D2723"/>
    <w:rsid w:val="002D29E2"/>
    <w:rsid w:val="002D304B"/>
    <w:rsid w:val="002D3177"/>
    <w:rsid w:val="002D339D"/>
    <w:rsid w:val="002D3B10"/>
    <w:rsid w:val="002D3CC0"/>
    <w:rsid w:val="002D3FFA"/>
    <w:rsid w:val="002D4416"/>
    <w:rsid w:val="002D445B"/>
    <w:rsid w:val="002D465D"/>
    <w:rsid w:val="002D46AD"/>
    <w:rsid w:val="002D4829"/>
    <w:rsid w:val="002D4CD9"/>
    <w:rsid w:val="002D4D1E"/>
    <w:rsid w:val="002D4E3B"/>
    <w:rsid w:val="002D5028"/>
    <w:rsid w:val="002D558B"/>
    <w:rsid w:val="002D57BF"/>
    <w:rsid w:val="002D5974"/>
    <w:rsid w:val="002D5AD7"/>
    <w:rsid w:val="002D5DC8"/>
    <w:rsid w:val="002D5EAF"/>
    <w:rsid w:val="002D5F7B"/>
    <w:rsid w:val="002D68BB"/>
    <w:rsid w:val="002D6B9D"/>
    <w:rsid w:val="002D6D8E"/>
    <w:rsid w:val="002D6FCB"/>
    <w:rsid w:val="002D7125"/>
    <w:rsid w:val="002D71F4"/>
    <w:rsid w:val="002D72AB"/>
    <w:rsid w:val="002D7445"/>
    <w:rsid w:val="002D7458"/>
    <w:rsid w:val="002D7A2F"/>
    <w:rsid w:val="002D7EAC"/>
    <w:rsid w:val="002D7F80"/>
    <w:rsid w:val="002D7FF9"/>
    <w:rsid w:val="002E0025"/>
    <w:rsid w:val="002E003E"/>
    <w:rsid w:val="002E0197"/>
    <w:rsid w:val="002E01D4"/>
    <w:rsid w:val="002E0333"/>
    <w:rsid w:val="002E0437"/>
    <w:rsid w:val="002E0C5D"/>
    <w:rsid w:val="002E135C"/>
    <w:rsid w:val="002E18BA"/>
    <w:rsid w:val="002E1AD1"/>
    <w:rsid w:val="002E1E12"/>
    <w:rsid w:val="002E209C"/>
    <w:rsid w:val="002E20AF"/>
    <w:rsid w:val="002E2303"/>
    <w:rsid w:val="002E257C"/>
    <w:rsid w:val="002E2596"/>
    <w:rsid w:val="002E25C8"/>
    <w:rsid w:val="002E28BC"/>
    <w:rsid w:val="002E2A81"/>
    <w:rsid w:val="002E2AF7"/>
    <w:rsid w:val="002E2BAD"/>
    <w:rsid w:val="002E2CA4"/>
    <w:rsid w:val="002E2D3E"/>
    <w:rsid w:val="002E2F4F"/>
    <w:rsid w:val="002E3137"/>
    <w:rsid w:val="002E31E5"/>
    <w:rsid w:val="002E355B"/>
    <w:rsid w:val="002E3659"/>
    <w:rsid w:val="002E36C0"/>
    <w:rsid w:val="002E3715"/>
    <w:rsid w:val="002E3770"/>
    <w:rsid w:val="002E3B04"/>
    <w:rsid w:val="002E3E0A"/>
    <w:rsid w:val="002E409D"/>
    <w:rsid w:val="002E4424"/>
    <w:rsid w:val="002E47D0"/>
    <w:rsid w:val="002E4863"/>
    <w:rsid w:val="002E4E27"/>
    <w:rsid w:val="002E5177"/>
    <w:rsid w:val="002E51C4"/>
    <w:rsid w:val="002E5C2F"/>
    <w:rsid w:val="002E5D4B"/>
    <w:rsid w:val="002E5FB1"/>
    <w:rsid w:val="002E6144"/>
    <w:rsid w:val="002E659E"/>
    <w:rsid w:val="002E65AE"/>
    <w:rsid w:val="002E6B1C"/>
    <w:rsid w:val="002E6B54"/>
    <w:rsid w:val="002E6D03"/>
    <w:rsid w:val="002E6DC9"/>
    <w:rsid w:val="002E6E2C"/>
    <w:rsid w:val="002E70B3"/>
    <w:rsid w:val="002E7269"/>
    <w:rsid w:val="002E770B"/>
    <w:rsid w:val="002E7B00"/>
    <w:rsid w:val="002E7B68"/>
    <w:rsid w:val="002E7F2F"/>
    <w:rsid w:val="002E7F53"/>
    <w:rsid w:val="002E7F8A"/>
    <w:rsid w:val="002F0417"/>
    <w:rsid w:val="002F0661"/>
    <w:rsid w:val="002F0884"/>
    <w:rsid w:val="002F0A6D"/>
    <w:rsid w:val="002F113A"/>
    <w:rsid w:val="002F1419"/>
    <w:rsid w:val="002F18F3"/>
    <w:rsid w:val="002F1A50"/>
    <w:rsid w:val="002F1B77"/>
    <w:rsid w:val="002F1C2C"/>
    <w:rsid w:val="002F1FDE"/>
    <w:rsid w:val="002F25CD"/>
    <w:rsid w:val="002F29CD"/>
    <w:rsid w:val="002F2B03"/>
    <w:rsid w:val="002F2B3C"/>
    <w:rsid w:val="002F31AF"/>
    <w:rsid w:val="002F321A"/>
    <w:rsid w:val="002F3426"/>
    <w:rsid w:val="002F3C7E"/>
    <w:rsid w:val="002F3F9D"/>
    <w:rsid w:val="002F4861"/>
    <w:rsid w:val="002F486E"/>
    <w:rsid w:val="002F4921"/>
    <w:rsid w:val="002F4E66"/>
    <w:rsid w:val="002F4EA2"/>
    <w:rsid w:val="002F52F4"/>
    <w:rsid w:val="002F5427"/>
    <w:rsid w:val="002F550F"/>
    <w:rsid w:val="002F572D"/>
    <w:rsid w:val="002F5A7A"/>
    <w:rsid w:val="002F5CCE"/>
    <w:rsid w:val="002F62F7"/>
    <w:rsid w:val="002F679A"/>
    <w:rsid w:val="002F6874"/>
    <w:rsid w:val="002F6B3A"/>
    <w:rsid w:val="002F6C98"/>
    <w:rsid w:val="002F6E4A"/>
    <w:rsid w:val="002F71E7"/>
    <w:rsid w:val="002F7384"/>
    <w:rsid w:val="002F7D9B"/>
    <w:rsid w:val="0030025A"/>
    <w:rsid w:val="0030035B"/>
    <w:rsid w:val="00300452"/>
    <w:rsid w:val="003006F5"/>
    <w:rsid w:val="00300795"/>
    <w:rsid w:val="00300EF1"/>
    <w:rsid w:val="0030159D"/>
    <w:rsid w:val="003015DF"/>
    <w:rsid w:val="00301A75"/>
    <w:rsid w:val="00301A9B"/>
    <w:rsid w:val="00301B96"/>
    <w:rsid w:val="00301E95"/>
    <w:rsid w:val="0030204E"/>
    <w:rsid w:val="00302368"/>
    <w:rsid w:val="00302E72"/>
    <w:rsid w:val="003033C6"/>
    <w:rsid w:val="003033FD"/>
    <w:rsid w:val="00303785"/>
    <w:rsid w:val="00303D52"/>
    <w:rsid w:val="00303DD8"/>
    <w:rsid w:val="00303E2F"/>
    <w:rsid w:val="00303EE8"/>
    <w:rsid w:val="00303F7A"/>
    <w:rsid w:val="0030456D"/>
    <w:rsid w:val="00304676"/>
    <w:rsid w:val="003046AC"/>
    <w:rsid w:val="00304B4C"/>
    <w:rsid w:val="00304E3E"/>
    <w:rsid w:val="00304E4B"/>
    <w:rsid w:val="00304F9D"/>
    <w:rsid w:val="003050B9"/>
    <w:rsid w:val="003052A5"/>
    <w:rsid w:val="003052C9"/>
    <w:rsid w:val="0030535F"/>
    <w:rsid w:val="003054AD"/>
    <w:rsid w:val="003054E2"/>
    <w:rsid w:val="0030580C"/>
    <w:rsid w:val="00305836"/>
    <w:rsid w:val="00305BD0"/>
    <w:rsid w:val="003062B6"/>
    <w:rsid w:val="003062C6"/>
    <w:rsid w:val="00306333"/>
    <w:rsid w:val="0030654E"/>
    <w:rsid w:val="003068EC"/>
    <w:rsid w:val="00306952"/>
    <w:rsid w:val="00306C43"/>
    <w:rsid w:val="00307038"/>
    <w:rsid w:val="003072EF"/>
    <w:rsid w:val="003078F6"/>
    <w:rsid w:val="00307960"/>
    <w:rsid w:val="003079DF"/>
    <w:rsid w:val="00307B66"/>
    <w:rsid w:val="00307DBB"/>
    <w:rsid w:val="00307F90"/>
    <w:rsid w:val="0031019F"/>
    <w:rsid w:val="003101B8"/>
    <w:rsid w:val="003102A4"/>
    <w:rsid w:val="00310398"/>
    <w:rsid w:val="00310724"/>
    <w:rsid w:val="0031072F"/>
    <w:rsid w:val="0031078E"/>
    <w:rsid w:val="00310936"/>
    <w:rsid w:val="00310B8B"/>
    <w:rsid w:val="00310E79"/>
    <w:rsid w:val="00311394"/>
    <w:rsid w:val="00311421"/>
    <w:rsid w:val="003117C0"/>
    <w:rsid w:val="00311885"/>
    <w:rsid w:val="003119BB"/>
    <w:rsid w:val="00311E6D"/>
    <w:rsid w:val="003121F3"/>
    <w:rsid w:val="00312391"/>
    <w:rsid w:val="003123A0"/>
    <w:rsid w:val="003123CB"/>
    <w:rsid w:val="00312693"/>
    <w:rsid w:val="00312A6F"/>
    <w:rsid w:val="00312B2D"/>
    <w:rsid w:val="00312D56"/>
    <w:rsid w:val="00312E9E"/>
    <w:rsid w:val="00312FB9"/>
    <w:rsid w:val="0031307D"/>
    <w:rsid w:val="00313237"/>
    <w:rsid w:val="003132EF"/>
    <w:rsid w:val="003133E6"/>
    <w:rsid w:val="003134D4"/>
    <w:rsid w:val="00313A76"/>
    <w:rsid w:val="003140B8"/>
    <w:rsid w:val="0031497F"/>
    <w:rsid w:val="0031498C"/>
    <w:rsid w:val="00314B4C"/>
    <w:rsid w:val="00314D0D"/>
    <w:rsid w:val="003155B6"/>
    <w:rsid w:val="00315719"/>
    <w:rsid w:val="00315885"/>
    <w:rsid w:val="00315C1A"/>
    <w:rsid w:val="00315D71"/>
    <w:rsid w:val="00315DA4"/>
    <w:rsid w:val="00316044"/>
    <w:rsid w:val="0031614E"/>
    <w:rsid w:val="0031649C"/>
    <w:rsid w:val="00316630"/>
    <w:rsid w:val="00316840"/>
    <w:rsid w:val="0031688A"/>
    <w:rsid w:val="003169C9"/>
    <w:rsid w:val="00316A59"/>
    <w:rsid w:val="003172F5"/>
    <w:rsid w:val="003174B5"/>
    <w:rsid w:val="003174BC"/>
    <w:rsid w:val="00317642"/>
    <w:rsid w:val="00317739"/>
    <w:rsid w:val="003177B6"/>
    <w:rsid w:val="00317A36"/>
    <w:rsid w:val="00317F55"/>
    <w:rsid w:val="00320138"/>
    <w:rsid w:val="003202D7"/>
    <w:rsid w:val="003203E7"/>
    <w:rsid w:val="0032076E"/>
    <w:rsid w:val="00320938"/>
    <w:rsid w:val="00320CAE"/>
    <w:rsid w:val="0032136F"/>
    <w:rsid w:val="003215D7"/>
    <w:rsid w:val="003216DF"/>
    <w:rsid w:val="0032195B"/>
    <w:rsid w:val="00321B69"/>
    <w:rsid w:val="003222B2"/>
    <w:rsid w:val="0032233A"/>
    <w:rsid w:val="0032252E"/>
    <w:rsid w:val="00322721"/>
    <w:rsid w:val="00322960"/>
    <w:rsid w:val="00322BA7"/>
    <w:rsid w:val="00322D00"/>
    <w:rsid w:val="00322D2F"/>
    <w:rsid w:val="00322FBE"/>
    <w:rsid w:val="003233B0"/>
    <w:rsid w:val="00323AAB"/>
    <w:rsid w:val="00323B90"/>
    <w:rsid w:val="003242D5"/>
    <w:rsid w:val="00324509"/>
    <w:rsid w:val="00324B71"/>
    <w:rsid w:val="00324C8E"/>
    <w:rsid w:val="00324DA9"/>
    <w:rsid w:val="003253C9"/>
    <w:rsid w:val="0032547E"/>
    <w:rsid w:val="00325630"/>
    <w:rsid w:val="00325930"/>
    <w:rsid w:val="00325A2E"/>
    <w:rsid w:val="00325A64"/>
    <w:rsid w:val="00325B68"/>
    <w:rsid w:val="00325E2C"/>
    <w:rsid w:val="003261D5"/>
    <w:rsid w:val="0032664A"/>
    <w:rsid w:val="003267D4"/>
    <w:rsid w:val="0032682D"/>
    <w:rsid w:val="00326917"/>
    <w:rsid w:val="00326C79"/>
    <w:rsid w:val="00326F8B"/>
    <w:rsid w:val="003273E7"/>
    <w:rsid w:val="00327506"/>
    <w:rsid w:val="00327603"/>
    <w:rsid w:val="00327BED"/>
    <w:rsid w:val="00327CC1"/>
    <w:rsid w:val="00327F2D"/>
    <w:rsid w:val="00330022"/>
    <w:rsid w:val="003300EA"/>
    <w:rsid w:val="00330906"/>
    <w:rsid w:val="00330FB7"/>
    <w:rsid w:val="003310F9"/>
    <w:rsid w:val="00331474"/>
    <w:rsid w:val="00331482"/>
    <w:rsid w:val="003316F8"/>
    <w:rsid w:val="003319F2"/>
    <w:rsid w:val="00331C6A"/>
    <w:rsid w:val="00331E98"/>
    <w:rsid w:val="00331F63"/>
    <w:rsid w:val="00331F7B"/>
    <w:rsid w:val="0033237C"/>
    <w:rsid w:val="00332471"/>
    <w:rsid w:val="00332841"/>
    <w:rsid w:val="00332BA1"/>
    <w:rsid w:val="00332BB8"/>
    <w:rsid w:val="00332E86"/>
    <w:rsid w:val="00332F83"/>
    <w:rsid w:val="003336F8"/>
    <w:rsid w:val="00333928"/>
    <w:rsid w:val="003339ED"/>
    <w:rsid w:val="00333A5E"/>
    <w:rsid w:val="00333AB0"/>
    <w:rsid w:val="00333B2C"/>
    <w:rsid w:val="00333C97"/>
    <w:rsid w:val="00333CD9"/>
    <w:rsid w:val="00333CE7"/>
    <w:rsid w:val="00333F58"/>
    <w:rsid w:val="003347D2"/>
    <w:rsid w:val="003349A7"/>
    <w:rsid w:val="00334A1A"/>
    <w:rsid w:val="00334B06"/>
    <w:rsid w:val="00334BD4"/>
    <w:rsid w:val="00334EF6"/>
    <w:rsid w:val="00335095"/>
    <w:rsid w:val="0033522E"/>
    <w:rsid w:val="00335398"/>
    <w:rsid w:val="003356A3"/>
    <w:rsid w:val="00335B7A"/>
    <w:rsid w:val="00335C54"/>
    <w:rsid w:val="00335E53"/>
    <w:rsid w:val="003360EF"/>
    <w:rsid w:val="00336381"/>
    <w:rsid w:val="0033645F"/>
    <w:rsid w:val="0033693E"/>
    <w:rsid w:val="00336A8F"/>
    <w:rsid w:val="00336EF2"/>
    <w:rsid w:val="00337159"/>
    <w:rsid w:val="003371EC"/>
    <w:rsid w:val="0033730A"/>
    <w:rsid w:val="00337AFA"/>
    <w:rsid w:val="00337E58"/>
    <w:rsid w:val="00337FA3"/>
    <w:rsid w:val="0034013D"/>
    <w:rsid w:val="003401A6"/>
    <w:rsid w:val="00340266"/>
    <w:rsid w:val="003403BE"/>
    <w:rsid w:val="00340ACC"/>
    <w:rsid w:val="00340B72"/>
    <w:rsid w:val="00340B9A"/>
    <w:rsid w:val="00340EA5"/>
    <w:rsid w:val="00340EE3"/>
    <w:rsid w:val="00340F38"/>
    <w:rsid w:val="0034127C"/>
    <w:rsid w:val="003414B7"/>
    <w:rsid w:val="0034151B"/>
    <w:rsid w:val="00341894"/>
    <w:rsid w:val="0034198B"/>
    <w:rsid w:val="00341AA7"/>
    <w:rsid w:val="00341E3A"/>
    <w:rsid w:val="0034208F"/>
    <w:rsid w:val="003420DD"/>
    <w:rsid w:val="00342133"/>
    <w:rsid w:val="003422E1"/>
    <w:rsid w:val="00342963"/>
    <w:rsid w:val="00342DF5"/>
    <w:rsid w:val="0034314B"/>
    <w:rsid w:val="003436DC"/>
    <w:rsid w:val="003438B2"/>
    <w:rsid w:val="00344121"/>
    <w:rsid w:val="00344A0A"/>
    <w:rsid w:val="00344A5C"/>
    <w:rsid w:val="00344B06"/>
    <w:rsid w:val="00344D6B"/>
    <w:rsid w:val="00344FAF"/>
    <w:rsid w:val="00345202"/>
    <w:rsid w:val="003455F0"/>
    <w:rsid w:val="00345A03"/>
    <w:rsid w:val="00345D99"/>
    <w:rsid w:val="00345DB9"/>
    <w:rsid w:val="00345FC2"/>
    <w:rsid w:val="00346473"/>
    <w:rsid w:val="003464A8"/>
    <w:rsid w:val="00346654"/>
    <w:rsid w:val="00346A71"/>
    <w:rsid w:val="003474E0"/>
    <w:rsid w:val="00347A61"/>
    <w:rsid w:val="00347D30"/>
    <w:rsid w:val="00347D5E"/>
    <w:rsid w:val="00347DE7"/>
    <w:rsid w:val="00347F63"/>
    <w:rsid w:val="00350092"/>
    <w:rsid w:val="0035053B"/>
    <w:rsid w:val="00350695"/>
    <w:rsid w:val="003508E4"/>
    <w:rsid w:val="00350CCF"/>
    <w:rsid w:val="0035103F"/>
    <w:rsid w:val="00351262"/>
    <w:rsid w:val="003518A7"/>
    <w:rsid w:val="003519FF"/>
    <w:rsid w:val="00351E48"/>
    <w:rsid w:val="00352478"/>
    <w:rsid w:val="0035272D"/>
    <w:rsid w:val="00352B68"/>
    <w:rsid w:val="00352C8B"/>
    <w:rsid w:val="00352E2F"/>
    <w:rsid w:val="00352FF1"/>
    <w:rsid w:val="003532D6"/>
    <w:rsid w:val="003532FD"/>
    <w:rsid w:val="00353500"/>
    <w:rsid w:val="00353653"/>
    <w:rsid w:val="003537ED"/>
    <w:rsid w:val="00353B99"/>
    <w:rsid w:val="00353F25"/>
    <w:rsid w:val="00354298"/>
    <w:rsid w:val="0035452F"/>
    <w:rsid w:val="00354570"/>
    <w:rsid w:val="00354D93"/>
    <w:rsid w:val="00355049"/>
    <w:rsid w:val="0035528C"/>
    <w:rsid w:val="00355597"/>
    <w:rsid w:val="003555B7"/>
    <w:rsid w:val="003555E1"/>
    <w:rsid w:val="0035566D"/>
    <w:rsid w:val="003559F7"/>
    <w:rsid w:val="00355D1C"/>
    <w:rsid w:val="0035602A"/>
    <w:rsid w:val="00356038"/>
    <w:rsid w:val="0035674B"/>
    <w:rsid w:val="0035678D"/>
    <w:rsid w:val="003568CC"/>
    <w:rsid w:val="00356D5D"/>
    <w:rsid w:val="00356E5C"/>
    <w:rsid w:val="00356F71"/>
    <w:rsid w:val="003571B2"/>
    <w:rsid w:val="003572F6"/>
    <w:rsid w:val="003579A0"/>
    <w:rsid w:val="00357B89"/>
    <w:rsid w:val="00357D0E"/>
    <w:rsid w:val="00360170"/>
    <w:rsid w:val="0036081D"/>
    <w:rsid w:val="00360A8C"/>
    <w:rsid w:val="00360D30"/>
    <w:rsid w:val="00360E11"/>
    <w:rsid w:val="00360F09"/>
    <w:rsid w:val="00360FF7"/>
    <w:rsid w:val="003613FA"/>
    <w:rsid w:val="0036149E"/>
    <w:rsid w:val="0036170B"/>
    <w:rsid w:val="003617DF"/>
    <w:rsid w:val="0036198C"/>
    <w:rsid w:val="00361AD4"/>
    <w:rsid w:val="00361AD6"/>
    <w:rsid w:val="00361CD5"/>
    <w:rsid w:val="0036200F"/>
    <w:rsid w:val="00362033"/>
    <w:rsid w:val="003621C7"/>
    <w:rsid w:val="003627BE"/>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760"/>
    <w:rsid w:val="0036496D"/>
    <w:rsid w:val="00364C0C"/>
    <w:rsid w:val="00364EDF"/>
    <w:rsid w:val="00365112"/>
    <w:rsid w:val="00365291"/>
    <w:rsid w:val="003654B7"/>
    <w:rsid w:val="0036558B"/>
    <w:rsid w:val="003656A4"/>
    <w:rsid w:val="003657F4"/>
    <w:rsid w:val="003659DD"/>
    <w:rsid w:val="00365A6F"/>
    <w:rsid w:val="00365C10"/>
    <w:rsid w:val="0036624A"/>
    <w:rsid w:val="00366DD1"/>
    <w:rsid w:val="00366E4C"/>
    <w:rsid w:val="0036743D"/>
    <w:rsid w:val="0036758F"/>
    <w:rsid w:val="003675A2"/>
    <w:rsid w:val="003678C6"/>
    <w:rsid w:val="00367AFC"/>
    <w:rsid w:val="00367D17"/>
    <w:rsid w:val="00367E11"/>
    <w:rsid w:val="003700D9"/>
    <w:rsid w:val="003701AC"/>
    <w:rsid w:val="003708E4"/>
    <w:rsid w:val="00370AA3"/>
    <w:rsid w:val="00370E3A"/>
    <w:rsid w:val="00370EBE"/>
    <w:rsid w:val="0037102D"/>
    <w:rsid w:val="00371BD7"/>
    <w:rsid w:val="00371C79"/>
    <w:rsid w:val="00372001"/>
    <w:rsid w:val="003723AE"/>
    <w:rsid w:val="00372608"/>
    <w:rsid w:val="00372A98"/>
    <w:rsid w:val="00372FB6"/>
    <w:rsid w:val="003732E1"/>
    <w:rsid w:val="003736E9"/>
    <w:rsid w:val="00373E0C"/>
    <w:rsid w:val="00373F01"/>
    <w:rsid w:val="00374109"/>
    <w:rsid w:val="00374221"/>
    <w:rsid w:val="003742B4"/>
    <w:rsid w:val="003742C6"/>
    <w:rsid w:val="003746DF"/>
    <w:rsid w:val="00374979"/>
    <w:rsid w:val="00374BA7"/>
    <w:rsid w:val="00374CEA"/>
    <w:rsid w:val="00374F34"/>
    <w:rsid w:val="00374FB9"/>
    <w:rsid w:val="0037514A"/>
    <w:rsid w:val="003758F6"/>
    <w:rsid w:val="00375B1A"/>
    <w:rsid w:val="00375CD7"/>
    <w:rsid w:val="00375DF5"/>
    <w:rsid w:val="0037615B"/>
    <w:rsid w:val="003767A4"/>
    <w:rsid w:val="003768D5"/>
    <w:rsid w:val="0037698D"/>
    <w:rsid w:val="00376A5C"/>
    <w:rsid w:val="00376A84"/>
    <w:rsid w:val="00376AA1"/>
    <w:rsid w:val="00376B37"/>
    <w:rsid w:val="00376B73"/>
    <w:rsid w:val="00376C46"/>
    <w:rsid w:val="00376D42"/>
    <w:rsid w:val="00376DB0"/>
    <w:rsid w:val="0037731F"/>
    <w:rsid w:val="00377392"/>
    <w:rsid w:val="0037743C"/>
    <w:rsid w:val="0037795A"/>
    <w:rsid w:val="00377F73"/>
    <w:rsid w:val="00377FB0"/>
    <w:rsid w:val="00380466"/>
    <w:rsid w:val="003806BB"/>
    <w:rsid w:val="00380876"/>
    <w:rsid w:val="00380D6F"/>
    <w:rsid w:val="00380FE9"/>
    <w:rsid w:val="00381077"/>
    <w:rsid w:val="003811DE"/>
    <w:rsid w:val="00381895"/>
    <w:rsid w:val="00381948"/>
    <w:rsid w:val="003819C3"/>
    <w:rsid w:val="00381C47"/>
    <w:rsid w:val="003826AA"/>
    <w:rsid w:val="00382B65"/>
    <w:rsid w:val="00382FF5"/>
    <w:rsid w:val="00383400"/>
    <w:rsid w:val="00383A29"/>
    <w:rsid w:val="00383A51"/>
    <w:rsid w:val="00383C6D"/>
    <w:rsid w:val="00383EE9"/>
    <w:rsid w:val="00384057"/>
    <w:rsid w:val="003841E2"/>
    <w:rsid w:val="003842B8"/>
    <w:rsid w:val="0038481B"/>
    <w:rsid w:val="00384BAA"/>
    <w:rsid w:val="00384E65"/>
    <w:rsid w:val="0038513B"/>
    <w:rsid w:val="0038547C"/>
    <w:rsid w:val="0038593E"/>
    <w:rsid w:val="003863DA"/>
    <w:rsid w:val="003864F3"/>
    <w:rsid w:val="00386516"/>
    <w:rsid w:val="00386970"/>
    <w:rsid w:val="00386DA9"/>
    <w:rsid w:val="00386E8C"/>
    <w:rsid w:val="00386FE4"/>
    <w:rsid w:val="003871A6"/>
    <w:rsid w:val="003873FA"/>
    <w:rsid w:val="0038796A"/>
    <w:rsid w:val="00387F25"/>
    <w:rsid w:val="003901DA"/>
    <w:rsid w:val="003905D1"/>
    <w:rsid w:val="00390692"/>
    <w:rsid w:val="003906D7"/>
    <w:rsid w:val="0039089C"/>
    <w:rsid w:val="00390D01"/>
    <w:rsid w:val="00390D44"/>
    <w:rsid w:val="00390FCB"/>
    <w:rsid w:val="003910A9"/>
    <w:rsid w:val="003915D3"/>
    <w:rsid w:val="00391663"/>
    <w:rsid w:val="00391699"/>
    <w:rsid w:val="00391B68"/>
    <w:rsid w:val="00391D60"/>
    <w:rsid w:val="00392349"/>
    <w:rsid w:val="003928F7"/>
    <w:rsid w:val="00392C60"/>
    <w:rsid w:val="00392E43"/>
    <w:rsid w:val="00392E8E"/>
    <w:rsid w:val="00392F2F"/>
    <w:rsid w:val="003935AB"/>
    <w:rsid w:val="003936EA"/>
    <w:rsid w:val="0039461A"/>
    <w:rsid w:val="0039477D"/>
    <w:rsid w:val="00394BE5"/>
    <w:rsid w:val="0039500B"/>
    <w:rsid w:val="003951FF"/>
    <w:rsid w:val="0039526A"/>
    <w:rsid w:val="00395A25"/>
    <w:rsid w:val="00395B56"/>
    <w:rsid w:val="00395B81"/>
    <w:rsid w:val="00395D9C"/>
    <w:rsid w:val="003960C1"/>
    <w:rsid w:val="003963AE"/>
    <w:rsid w:val="0039641B"/>
    <w:rsid w:val="0039667C"/>
    <w:rsid w:val="003966A0"/>
    <w:rsid w:val="00396DE2"/>
    <w:rsid w:val="00397045"/>
    <w:rsid w:val="003970AA"/>
    <w:rsid w:val="003971E1"/>
    <w:rsid w:val="00397340"/>
    <w:rsid w:val="00397ECA"/>
    <w:rsid w:val="003A02D6"/>
    <w:rsid w:val="003A08D9"/>
    <w:rsid w:val="003A1308"/>
    <w:rsid w:val="003A1412"/>
    <w:rsid w:val="003A1587"/>
    <w:rsid w:val="003A16BD"/>
    <w:rsid w:val="003A1739"/>
    <w:rsid w:val="003A24E6"/>
    <w:rsid w:val="003A2631"/>
    <w:rsid w:val="003A2D48"/>
    <w:rsid w:val="003A2FBD"/>
    <w:rsid w:val="003A3127"/>
    <w:rsid w:val="003A32FD"/>
    <w:rsid w:val="003A3336"/>
    <w:rsid w:val="003A34EB"/>
    <w:rsid w:val="003A36AC"/>
    <w:rsid w:val="003A37BA"/>
    <w:rsid w:val="003A3833"/>
    <w:rsid w:val="003A384B"/>
    <w:rsid w:val="003A3A26"/>
    <w:rsid w:val="003A3F39"/>
    <w:rsid w:val="003A40B8"/>
    <w:rsid w:val="003A4223"/>
    <w:rsid w:val="003A4ABB"/>
    <w:rsid w:val="003A4ACE"/>
    <w:rsid w:val="003A4BFE"/>
    <w:rsid w:val="003A4D7B"/>
    <w:rsid w:val="003A4FE3"/>
    <w:rsid w:val="003A5278"/>
    <w:rsid w:val="003A5768"/>
    <w:rsid w:val="003A5786"/>
    <w:rsid w:val="003A5A2E"/>
    <w:rsid w:val="003A5B41"/>
    <w:rsid w:val="003A5B83"/>
    <w:rsid w:val="003A5F8A"/>
    <w:rsid w:val="003A634D"/>
    <w:rsid w:val="003A63AE"/>
    <w:rsid w:val="003A680E"/>
    <w:rsid w:val="003A6A8A"/>
    <w:rsid w:val="003A6B53"/>
    <w:rsid w:val="003A6B8A"/>
    <w:rsid w:val="003A6DE4"/>
    <w:rsid w:val="003A6FB6"/>
    <w:rsid w:val="003A702D"/>
    <w:rsid w:val="003A747C"/>
    <w:rsid w:val="003A796E"/>
    <w:rsid w:val="003A7A9B"/>
    <w:rsid w:val="003B021D"/>
    <w:rsid w:val="003B045B"/>
    <w:rsid w:val="003B0FE7"/>
    <w:rsid w:val="003B10EC"/>
    <w:rsid w:val="003B1233"/>
    <w:rsid w:val="003B1783"/>
    <w:rsid w:val="003B18D0"/>
    <w:rsid w:val="003B1B17"/>
    <w:rsid w:val="003B1F60"/>
    <w:rsid w:val="003B2155"/>
    <w:rsid w:val="003B2265"/>
    <w:rsid w:val="003B248A"/>
    <w:rsid w:val="003B266C"/>
    <w:rsid w:val="003B29E3"/>
    <w:rsid w:val="003B2B7A"/>
    <w:rsid w:val="003B2BA6"/>
    <w:rsid w:val="003B2BE2"/>
    <w:rsid w:val="003B2F2D"/>
    <w:rsid w:val="003B311E"/>
    <w:rsid w:val="003B32F1"/>
    <w:rsid w:val="003B347E"/>
    <w:rsid w:val="003B3709"/>
    <w:rsid w:val="003B39DC"/>
    <w:rsid w:val="003B3B53"/>
    <w:rsid w:val="003B3BA0"/>
    <w:rsid w:val="003B3E05"/>
    <w:rsid w:val="003B4503"/>
    <w:rsid w:val="003B450C"/>
    <w:rsid w:val="003B46C8"/>
    <w:rsid w:val="003B46D7"/>
    <w:rsid w:val="003B4B51"/>
    <w:rsid w:val="003B4BFD"/>
    <w:rsid w:val="003B53ED"/>
    <w:rsid w:val="003B545F"/>
    <w:rsid w:val="003B6385"/>
    <w:rsid w:val="003B6567"/>
    <w:rsid w:val="003B6BBF"/>
    <w:rsid w:val="003B6C56"/>
    <w:rsid w:val="003B6DF2"/>
    <w:rsid w:val="003B70C5"/>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22D"/>
    <w:rsid w:val="003C2623"/>
    <w:rsid w:val="003C2688"/>
    <w:rsid w:val="003C2BEE"/>
    <w:rsid w:val="003C2D15"/>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AF"/>
    <w:rsid w:val="003C4AF1"/>
    <w:rsid w:val="003C5217"/>
    <w:rsid w:val="003C5323"/>
    <w:rsid w:val="003C5359"/>
    <w:rsid w:val="003C56E3"/>
    <w:rsid w:val="003C58D8"/>
    <w:rsid w:val="003C5B77"/>
    <w:rsid w:val="003C5DDB"/>
    <w:rsid w:val="003C6640"/>
    <w:rsid w:val="003C67E4"/>
    <w:rsid w:val="003C6ADD"/>
    <w:rsid w:val="003C6D29"/>
    <w:rsid w:val="003C6D77"/>
    <w:rsid w:val="003C6F25"/>
    <w:rsid w:val="003C6F29"/>
    <w:rsid w:val="003C70BC"/>
    <w:rsid w:val="003C7CDA"/>
    <w:rsid w:val="003C7D26"/>
    <w:rsid w:val="003C7DE0"/>
    <w:rsid w:val="003D0486"/>
    <w:rsid w:val="003D082E"/>
    <w:rsid w:val="003D0EC2"/>
    <w:rsid w:val="003D125E"/>
    <w:rsid w:val="003D13A4"/>
    <w:rsid w:val="003D1759"/>
    <w:rsid w:val="003D1C30"/>
    <w:rsid w:val="003D1E03"/>
    <w:rsid w:val="003D20C8"/>
    <w:rsid w:val="003D21A5"/>
    <w:rsid w:val="003D27B0"/>
    <w:rsid w:val="003D27BB"/>
    <w:rsid w:val="003D280F"/>
    <w:rsid w:val="003D28B0"/>
    <w:rsid w:val="003D2AD7"/>
    <w:rsid w:val="003D2B6F"/>
    <w:rsid w:val="003D30AA"/>
    <w:rsid w:val="003D30DE"/>
    <w:rsid w:val="003D3232"/>
    <w:rsid w:val="003D347B"/>
    <w:rsid w:val="003D35BD"/>
    <w:rsid w:val="003D36E3"/>
    <w:rsid w:val="003D37F2"/>
    <w:rsid w:val="003D386F"/>
    <w:rsid w:val="003D3879"/>
    <w:rsid w:val="003D39A3"/>
    <w:rsid w:val="003D3AD0"/>
    <w:rsid w:val="003D3C73"/>
    <w:rsid w:val="003D40B4"/>
    <w:rsid w:val="003D45A7"/>
    <w:rsid w:val="003D473D"/>
    <w:rsid w:val="003D4844"/>
    <w:rsid w:val="003D4A9B"/>
    <w:rsid w:val="003D4E7F"/>
    <w:rsid w:val="003D4EEB"/>
    <w:rsid w:val="003D5126"/>
    <w:rsid w:val="003D53A0"/>
    <w:rsid w:val="003D560D"/>
    <w:rsid w:val="003D5744"/>
    <w:rsid w:val="003D5B75"/>
    <w:rsid w:val="003D5C71"/>
    <w:rsid w:val="003D5DBD"/>
    <w:rsid w:val="003D5FB3"/>
    <w:rsid w:val="003D60D3"/>
    <w:rsid w:val="003D612F"/>
    <w:rsid w:val="003D64E0"/>
    <w:rsid w:val="003D65CC"/>
    <w:rsid w:val="003D6737"/>
    <w:rsid w:val="003D6BE9"/>
    <w:rsid w:val="003D6C8C"/>
    <w:rsid w:val="003D6DBD"/>
    <w:rsid w:val="003D7290"/>
    <w:rsid w:val="003D7580"/>
    <w:rsid w:val="003D75D8"/>
    <w:rsid w:val="003D75FB"/>
    <w:rsid w:val="003D76C8"/>
    <w:rsid w:val="003D7859"/>
    <w:rsid w:val="003D79E3"/>
    <w:rsid w:val="003D7BFF"/>
    <w:rsid w:val="003D7D9D"/>
    <w:rsid w:val="003D7F85"/>
    <w:rsid w:val="003E0011"/>
    <w:rsid w:val="003E00EE"/>
    <w:rsid w:val="003E0195"/>
    <w:rsid w:val="003E04D5"/>
    <w:rsid w:val="003E060F"/>
    <w:rsid w:val="003E067E"/>
    <w:rsid w:val="003E087D"/>
    <w:rsid w:val="003E0CAC"/>
    <w:rsid w:val="003E0DBF"/>
    <w:rsid w:val="003E0E8B"/>
    <w:rsid w:val="003E1319"/>
    <w:rsid w:val="003E180C"/>
    <w:rsid w:val="003E19EF"/>
    <w:rsid w:val="003E1D2C"/>
    <w:rsid w:val="003E1D69"/>
    <w:rsid w:val="003E1DF5"/>
    <w:rsid w:val="003E1E79"/>
    <w:rsid w:val="003E200F"/>
    <w:rsid w:val="003E2739"/>
    <w:rsid w:val="003E2CB2"/>
    <w:rsid w:val="003E2F2D"/>
    <w:rsid w:val="003E32AE"/>
    <w:rsid w:val="003E34BE"/>
    <w:rsid w:val="003E36A5"/>
    <w:rsid w:val="003E460E"/>
    <w:rsid w:val="003E4E14"/>
    <w:rsid w:val="003E5022"/>
    <w:rsid w:val="003E5301"/>
    <w:rsid w:val="003E5343"/>
    <w:rsid w:val="003E5669"/>
    <w:rsid w:val="003E5881"/>
    <w:rsid w:val="003E5C28"/>
    <w:rsid w:val="003E5DCA"/>
    <w:rsid w:val="003E5F6B"/>
    <w:rsid w:val="003E6186"/>
    <w:rsid w:val="003E61B6"/>
    <w:rsid w:val="003E62CB"/>
    <w:rsid w:val="003E654B"/>
    <w:rsid w:val="003E65AD"/>
    <w:rsid w:val="003E66DB"/>
    <w:rsid w:val="003E68A3"/>
    <w:rsid w:val="003E6C82"/>
    <w:rsid w:val="003E6CE0"/>
    <w:rsid w:val="003E7514"/>
    <w:rsid w:val="003E762B"/>
    <w:rsid w:val="003E781C"/>
    <w:rsid w:val="003E7B0D"/>
    <w:rsid w:val="003E7D88"/>
    <w:rsid w:val="003E7FD1"/>
    <w:rsid w:val="003E7FE9"/>
    <w:rsid w:val="003F0173"/>
    <w:rsid w:val="003F053E"/>
    <w:rsid w:val="003F0621"/>
    <w:rsid w:val="003F0804"/>
    <w:rsid w:val="003F0978"/>
    <w:rsid w:val="003F0A1E"/>
    <w:rsid w:val="003F0A98"/>
    <w:rsid w:val="003F0CF7"/>
    <w:rsid w:val="003F0DD5"/>
    <w:rsid w:val="003F0E83"/>
    <w:rsid w:val="003F0FFD"/>
    <w:rsid w:val="003F128C"/>
    <w:rsid w:val="003F12A8"/>
    <w:rsid w:val="003F1392"/>
    <w:rsid w:val="003F1412"/>
    <w:rsid w:val="003F175F"/>
    <w:rsid w:val="003F1785"/>
    <w:rsid w:val="003F1D74"/>
    <w:rsid w:val="003F23F6"/>
    <w:rsid w:val="003F2580"/>
    <w:rsid w:val="003F25F9"/>
    <w:rsid w:val="003F2911"/>
    <w:rsid w:val="003F296A"/>
    <w:rsid w:val="003F2BEB"/>
    <w:rsid w:val="003F2F96"/>
    <w:rsid w:val="003F30FD"/>
    <w:rsid w:val="003F3115"/>
    <w:rsid w:val="003F32BC"/>
    <w:rsid w:val="003F33FF"/>
    <w:rsid w:val="003F35AB"/>
    <w:rsid w:val="003F3AC2"/>
    <w:rsid w:val="003F3BE6"/>
    <w:rsid w:val="003F3CA7"/>
    <w:rsid w:val="003F3DB8"/>
    <w:rsid w:val="003F3E36"/>
    <w:rsid w:val="003F446F"/>
    <w:rsid w:val="003F4C91"/>
    <w:rsid w:val="003F4CB7"/>
    <w:rsid w:val="003F50E4"/>
    <w:rsid w:val="003F512C"/>
    <w:rsid w:val="003F5205"/>
    <w:rsid w:val="003F528F"/>
    <w:rsid w:val="003F52CA"/>
    <w:rsid w:val="003F552B"/>
    <w:rsid w:val="003F555E"/>
    <w:rsid w:val="003F5756"/>
    <w:rsid w:val="003F5780"/>
    <w:rsid w:val="003F5A36"/>
    <w:rsid w:val="003F5A41"/>
    <w:rsid w:val="003F5ABF"/>
    <w:rsid w:val="003F5C36"/>
    <w:rsid w:val="003F5D34"/>
    <w:rsid w:val="003F5D5C"/>
    <w:rsid w:val="003F5ED5"/>
    <w:rsid w:val="003F5FF6"/>
    <w:rsid w:val="003F6195"/>
    <w:rsid w:val="003F6239"/>
    <w:rsid w:val="003F6407"/>
    <w:rsid w:val="003F65E0"/>
    <w:rsid w:val="003F66F1"/>
    <w:rsid w:val="003F685C"/>
    <w:rsid w:val="003F6AE5"/>
    <w:rsid w:val="003F6BA5"/>
    <w:rsid w:val="003F6CCE"/>
    <w:rsid w:val="003F6E96"/>
    <w:rsid w:val="003F72FC"/>
    <w:rsid w:val="003F7580"/>
    <w:rsid w:val="003F76F4"/>
    <w:rsid w:val="003F77CF"/>
    <w:rsid w:val="003F7AC3"/>
    <w:rsid w:val="003F7EA4"/>
    <w:rsid w:val="003F7F14"/>
    <w:rsid w:val="004002E8"/>
    <w:rsid w:val="00400719"/>
    <w:rsid w:val="0040072F"/>
    <w:rsid w:val="00400770"/>
    <w:rsid w:val="00400CC0"/>
    <w:rsid w:val="00400DF5"/>
    <w:rsid w:val="00401106"/>
    <w:rsid w:val="0040131B"/>
    <w:rsid w:val="004017FF"/>
    <w:rsid w:val="00401811"/>
    <w:rsid w:val="00401882"/>
    <w:rsid w:val="004019D4"/>
    <w:rsid w:val="00401FB8"/>
    <w:rsid w:val="00402019"/>
    <w:rsid w:val="004021F9"/>
    <w:rsid w:val="004024CA"/>
    <w:rsid w:val="004026E9"/>
    <w:rsid w:val="00402FC7"/>
    <w:rsid w:val="004036AF"/>
    <w:rsid w:val="00403894"/>
    <w:rsid w:val="004038DA"/>
    <w:rsid w:val="00403BD3"/>
    <w:rsid w:val="0040412F"/>
    <w:rsid w:val="004041AF"/>
    <w:rsid w:val="00404230"/>
    <w:rsid w:val="004045F8"/>
    <w:rsid w:val="00404A9B"/>
    <w:rsid w:val="00404C4B"/>
    <w:rsid w:val="00405440"/>
    <w:rsid w:val="00405480"/>
    <w:rsid w:val="00405831"/>
    <w:rsid w:val="00405B8D"/>
    <w:rsid w:val="00405D2B"/>
    <w:rsid w:val="0040602A"/>
    <w:rsid w:val="00406170"/>
    <w:rsid w:val="004061E9"/>
    <w:rsid w:val="004061FB"/>
    <w:rsid w:val="0040629A"/>
    <w:rsid w:val="0040658E"/>
    <w:rsid w:val="004065F5"/>
    <w:rsid w:val="0040670E"/>
    <w:rsid w:val="00406747"/>
    <w:rsid w:val="004068B2"/>
    <w:rsid w:val="004070C4"/>
    <w:rsid w:val="00407256"/>
    <w:rsid w:val="0040738E"/>
    <w:rsid w:val="00407564"/>
    <w:rsid w:val="0040764B"/>
    <w:rsid w:val="004079E2"/>
    <w:rsid w:val="00407D71"/>
    <w:rsid w:val="004101A2"/>
    <w:rsid w:val="004104EA"/>
    <w:rsid w:val="004104F9"/>
    <w:rsid w:val="004107C9"/>
    <w:rsid w:val="004107F6"/>
    <w:rsid w:val="004107F8"/>
    <w:rsid w:val="00410C36"/>
    <w:rsid w:val="00410C78"/>
    <w:rsid w:val="00410FD2"/>
    <w:rsid w:val="004110A8"/>
    <w:rsid w:val="004116B5"/>
    <w:rsid w:val="00411F5B"/>
    <w:rsid w:val="0041202D"/>
    <w:rsid w:val="00412135"/>
    <w:rsid w:val="00412194"/>
    <w:rsid w:val="0041288E"/>
    <w:rsid w:val="00412A8A"/>
    <w:rsid w:val="00412AF2"/>
    <w:rsid w:val="00412DD9"/>
    <w:rsid w:val="00412E2C"/>
    <w:rsid w:val="004130C5"/>
    <w:rsid w:val="0041335F"/>
    <w:rsid w:val="00413456"/>
    <w:rsid w:val="004134C8"/>
    <w:rsid w:val="00413999"/>
    <w:rsid w:val="00413E60"/>
    <w:rsid w:val="00414100"/>
    <w:rsid w:val="0041425D"/>
    <w:rsid w:val="004147FA"/>
    <w:rsid w:val="0041494E"/>
    <w:rsid w:val="00414A71"/>
    <w:rsid w:val="00414B89"/>
    <w:rsid w:val="00414CA0"/>
    <w:rsid w:val="00414D7E"/>
    <w:rsid w:val="0041500B"/>
    <w:rsid w:val="004151EA"/>
    <w:rsid w:val="004155C2"/>
    <w:rsid w:val="004158A3"/>
    <w:rsid w:val="0041591E"/>
    <w:rsid w:val="00415DD7"/>
    <w:rsid w:val="00415E43"/>
    <w:rsid w:val="0041601B"/>
    <w:rsid w:val="004160F5"/>
    <w:rsid w:val="00416109"/>
    <w:rsid w:val="004162AF"/>
    <w:rsid w:val="004163CF"/>
    <w:rsid w:val="00416632"/>
    <w:rsid w:val="004169B5"/>
    <w:rsid w:val="00416DC8"/>
    <w:rsid w:val="00416E59"/>
    <w:rsid w:val="00417A7F"/>
    <w:rsid w:val="00417AEB"/>
    <w:rsid w:val="00417C1B"/>
    <w:rsid w:val="00417EE4"/>
    <w:rsid w:val="00420467"/>
    <w:rsid w:val="00420557"/>
    <w:rsid w:val="00420582"/>
    <w:rsid w:val="004205E0"/>
    <w:rsid w:val="0042073C"/>
    <w:rsid w:val="0042089C"/>
    <w:rsid w:val="004209BC"/>
    <w:rsid w:val="00420A45"/>
    <w:rsid w:val="00420C8A"/>
    <w:rsid w:val="00420FA1"/>
    <w:rsid w:val="0042168B"/>
    <w:rsid w:val="00421839"/>
    <w:rsid w:val="00422298"/>
    <w:rsid w:val="00422879"/>
    <w:rsid w:val="00422986"/>
    <w:rsid w:val="00423191"/>
    <w:rsid w:val="00423201"/>
    <w:rsid w:val="00423439"/>
    <w:rsid w:val="004238CC"/>
    <w:rsid w:val="0042392D"/>
    <w:rsid w:val="00423B36"/>
    <w:rsid w:val="00423C42"/>
    <w:rsid w:val="00423C4F"/>
    <w:rsid w:val="00423FF7"/>
    <w:rsid w:val="0042447A"/>
    <w:rsid w:val="004244EF"/>
    <w:rsid w:val="004245B9"/>
    <w:rsid w:val="00424722"/>
    <w:rsid w:val="00424892"/>
    <w:rsid w:val="00424AA8"/>
    <w:rsid w:val="00424AAA"/>
    <w:rsid w:val="00424C7B"/>
    <w:rsid w:val="00424DCF"/>
    <w:rsid w:val="0042526A"/>
    <w:rsid w:val="004253C2"/>
    <w:rsid w:val="00425482"/>
    <w:rsid w:val="00425891"/>
    <w:rsid w:val="00425A88"/>
    <w:rsid w:val="00425C77"/>
    <w:rsid w:val="00425ED7"/>
    <w:rsid w:val="00425FA6"/>
    <w:rsid w:val="0042609B"/>
    <w:rsid w:val="00426380"/>
    <w:rsid w:val="00426529"/>
    <w:rsid w:val="00426DA2"/>
    <w:rsid w:val="00426E06"/>
    <w:rsid w:val="00427157"/>
    <w:rsid w:val="00427390"/>
    <w:rsid w:val="00427868"/>
    <w:rsid w:val="004278A1"/>
    <w:rsid w:val="00427B71"/>
    <w:rsid w:val="00427FF9"/>
    <w:rsid w:val="004306C0"/>
    <w:rsid w:val="00430E72"/>
    <w:rsid w:val="00430FE5"/>
    <w:rsid w:val="004310A4"/>
    <w:rsid w:val="00431560"/>
    <w:rsid w:val="00431822"/>
    <w:rsid w:val="00431CDE"/>
    <w:rsid w:val="004324C7"/>
    <w:rsid w:val="004329AF"/>
    <w:rsid w:val="00432A16"/>
    <w:rsid w:val="00432A59"/>
    <w:rsid w:val="00432AE8"/>
    <w:rsid w:val="00432B5F"/>
    <w:rsid w:val="00432C7C"/>
    <w:rsid w:val="00433012"/>
    <w:rsid w:val="00433275"/>
    <w:rsid w:val="00433963"/>
    <w:rsid w:val="00433C4D"/>
    <w:rsid w:val="00433CA7"/>
    <w:rsid w:val="00433CED"/>
    <w:rsid w:val="00433E63"/>
    <w:rsid w:val="004344D4"/>
    <w:rsid w:val="00434558"/>
    <w:rsid w:val="00434888"/>
    <w:rsid w:val="00434AD4"/>
    <w:rsid w:val="00434C25"/>
    <w:rsid w:val="00434CDF"/>
    <w:rsid w:val="00434D47"/>
    <w:rsid w:val="00434F1F"/>
    <w:rsid w:val="0043513F"/>
    <w:rsid w:val="0043518F"/>
    <w:rsid w:val="00435343"/>
    <w:rsid w:val="0043592A"/>
    <w:rsid w:val="00435B4C"/>
    <w:rsid w:val="00435B96"/>
    <w:rsid w:val="00435C29"/>
    <w:rsid w:val="00435CCE"/>
    <w:rsid w:val="0043686D"/>
    <w:rsid w:val="00436C5D"/>
    <w:rsid w:val="00437013"/>
    <w:rsid w:val="004372F8"/>
    <w:rsid w:val="0043733E"/>
    <w:rsid w:val="00437D98"/>
    <w:rsid w:val="00437DDF"/>
    <w:rsid w:val="0044004D"/>
    <w:rsid w:val="00440246"/>
    <w:rsid w:val="00440272"/>
    <w:rsid w:val="0044057E"/>
    <w:rsid w:val="004406EC"/>
    <w:rsid w:val="00440934"/>
    <w:rsid w:val="00440BD7"/>
    <w:rsid w:val="00440EC6"/>
    <w:rsid w:val="004410F2"/>
    <w:rsid w:val="00441158"/>
    <w:rsid w:val="0044147D"/>
    <w:rsid w:val="00441B8D"/>
    <w:rsid w:val="00441BA9"/>
    <w:rsid w:val="00441BC4"/>
    <w:rsid w:val="00441D45"/>
    <w:rsid w:val="00442281"/>
    <w:rsid w:val="0044240F"/>
    <w:rsid w:val="0044244C"/>
    <w:rsid w:val="0044270B"/>
    <w:rsid w:val="004429B6"/>
    <w:rsid w:val="00442CBB"/>
    <w:rsid w:val="00442DAF"/>
    <w:rsid w:val="00442F56"/>
    <w:rsid w:val="00443121"/>
    <w:rsid w:val="00443178"/>
    <w:rsid w:val="00443356"/>
    <w:rsid w:val="00443398"/>
    <w:rsid w:val="004433DC"/>
    <w:rsid w:val="00443454"/>
    <w:rsid w:val="004435BC"/>
    <w:rsid w:val="00443680"/>
    <w:rsid w:val="00443CE0"/>
    <w:rsid w:val="00443F65"/>
    <w:rsid w:val="00444180"/>
    <w:rsid w:val="00444335"/>
    <w:rsid w:val="004445C6"/>
    <w:rsid w:val="00444A0A"/>
    <w:rsid w:val="00444BFB"/>
    <w:rsid w:val="00444F87"/>
    <w:rsid w:val="004451A8"/>
    <w:rsid w:val="004454F2"/>
    <w:rsid w:val="004458F1"/>
    <w:rsid w:val="0044594C"/>
    <w:rsid w:val="00445B9F"/>
    <w:rsid w:val="00445DDA"/>
    <w:rsid w:val="0044624B"/>
    <w:rsid w:val="0044644F"/>
    <w:rsid w:val="00446665"/>
    <w:rsid w:val="004468DF"/>
    <w:rsid w:val="00446900"/>
    <w:rsid w:val="00446954"/>
    <w:rsid w:val="004469B2"/>
    <w:rsid w:val="00447072"/>
    <w:rsid w:val="004476AA"/>
    <w:rsid w:val="0044790C"/>
    <w:rsid w:val="00447A19"/>
    <w:rsid w:val="00447ADF"/>
    <w:rsid w:val="00447B03"/>
    <w:rsid w:val="00447DD7"/>
    <w:rsid w:val="004504C6"/>
    <w:rsid w:val="00450560"/>
    <w:rsid w:val="004508F2"/>
    <w:rsid w:val="00450AEC"/>
    <w:rsid w:val="00450C27"/>
    <w:rsid w:val="00450C82"/>
    <w:rsid w:val="00450CD0"/>
    <w:rsid w:val="0045111B"/>
    <w:rsid w:val="00451406"/>
    <w:rsid w:val="004516FD"/>
    <w:rsid w:val="00451D43"/>
    <w:rsid w:val="00451F7F"/>
    <w:rsid w:val="00452035"/>
    <w:rsid w:val="00452269"/>
    <w:rsid w:val="0045228A"/>
    <w:rsid w:val="004525AC"/>
    <w:rsid w:val="00453092"/>
    <w:rsid w:val="00453726"/>
    <w:rsid w:val="00453A30"/>
    <w:rsid w:val="00453DFB"/>
    <w:rsid w:val="00453E0C"/>
    <w:rsid w:val="00453E8C"/>
    <w:rsid w:val="00454342"/>
    <w:rsid w:val="00454421"/>
    <w:rsid w:val="004544C8"/>
    <w:rsid w:val="004544D3"/>
    <w:rsid w:val="004546BE"/>
    <w:rsid w:val="00455BF0"/>
    <w:rsid w:val="0045609B"/>
    <w:rsid w:val="004567BA"/>
    <w:rsid w:val="00456831"/>
    <w:rsid w:val="00456AB7"/>
    <w:rsid w:val="00456F31"/>
    <w:rsid w:val="00457226"/>
    <w:rsid w:val="00457371"/>
    <w:rsid w:val="00457717"/>
    <w:rsid w:val="004578AB"/>
    <w:rsid w:val="00460277"/>
    <w:rsid w:val="004604FD"/>
    <w:rsid w:val="004607E3"/>
    <w:rsid w:val="00460851"/>
    <w:rsid w:val="00460881"/>
    <w:rsid w:val="004608F5"/>
    <w:rsid w:val="0046092C"/>
    <w:rsid w:val="0046096A"/>
    <w:rsid w:val="00460EB7"/>
    <w:rsid w:val="004616AB"/>
    <w:rsid w:val="00461750"/>
    <w:rsid w:val="004617AA"/>
    <w:rsid w:val="00461A14"/>
    <w:rsid w:val="00461EF9"/>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BAD"/>
    <w:rsid w:val="00463EC8"/>
    <w:rsid w:val="00464136"/>
    <w:rsid w:val="004641E9"/>
    <w:rsid w:val="00464AA2"/>
    <w:rsid w:val="00464AE4"/>
    <w:rsid w:val="00464C88"/>
    <w:rsid w:val="00464D90"/>
    <w:rsid w:val="004653AD"/>
    <w:rsid w:val="0046559F"/>
    <w:rsid w:val="004655BD"/>
    <w:rsid w:val="00465D29"/>
    <w:rsid w:val="00465F93"/>
    <w:rsid w:val="00465FFE"/>
    <w:rsid w:val="0046607F"/>
    <w:rsid w:val="00466314"/>
    <w:rsid w:val="00466844"/>
    <w:rsid w:val="00466912"/>
    <w:rsid w:val="00466C34"/>
    <w:rsid w:val="00466D4A"/>
    <w:rsid w:val="00466D91"/>
    <w:rsid w:val="00466E43"/>
    <w:rsid w:val="00466E74"/>
    <w:rsid w:val="004673A5"/>
    <w:rsid w:val="00467552"/>
    <w:rsid w:val="00467A26"/>
    <w:rsid w:val="00467F73"/>
    <w:rsid w:val="0047038B"/>
    <w:rsid w:val="00470529"/>
    <w:rsid w:val="004705CE"/>
    <w:rsid w:val="0047088B"/>
    <w:rsid w:val="004708BD"/>
    <w:rsid w:val="00470AD7"/>
    <w:rsid w:val="00470B2F"/>
    <w:rsid w:val="004714A1"/>
    <w:rsid w:val="00471521"/>
    <w:rsid w:val="004718DC"/>
    <w:rsid w:val="00471990"/>
    <w:rsid w:val="00471ECA"/>
    <w:rsid w:val="00471FA0"/>
    <w:rsid w:val="004720EA"/>
    <w:rsid w:val="00472159"/>
    <w:rsid w:val="004721C4"/>
    <w:rsid w:val="00472726"/>
    <w:rsid w:val="004727F8"/>
    <w:rsid w:val="00472967"/>
    <w:rsid w:val="00472CFC"/>
    <w:rsid w:val="00472E23"/>
    <w:rsid w:val="00472F15"/>
    <w:rsid w:val="0047303C"/>
    <w:rsid w:val="00473515"/>
    <w:rsid w:val="004735C6"/>
    <w:rsid w:val="004736CA"/>
    <w:rsid w:val="004736D4"/>
    <w:rsid w:val="004737B7"/>
    <w:rsid w:val="00473BE3"/>
    <w:rsid w:val="00473DB8"/>
    <w:rsid w:val="00474243"/>
    <w:rsid w:val="004744EA"/>
    <w:rsid w:val="00474701"/>
    <w:rsid w:val="00474748"/>
    <w:rsid w:val="00474751"/>
    <w:rsid w:val="00474CD6"/>
    <w:rsid w:val="00474F0E"/>
    <w:rsid w:val="004750E2"/>
    <w:rsid w:val="00475205"/>
    <w:rsid w:val="0047520E"/>
    <w:rsid w:val="0047526C"/>
    <w:rsid w:val="00475994"/>
    <w:rsid w:val="00475ACD"/>
    <w:rsid w:val="00475DA1"/>
    <w:rsid w:val="00475DC8"/>
    <w:rsid w:val="00475F98"/>
    <w:rsid w:val="0047601F"/>
    <w:rsid w:val="00476C8C"/>
    <w:rsid w:val="004770E1"/>
    <w:rsid w:val="00477435"/>
    <w:rsid w:val="00477D46"/>
    <w:rsid w:val="00477E54"/>
    <w:rsid w:val="00477FFC"/>
    <w:rsid w:val="00480330"/>
    <w:rsid w:val="00480838"/>
    <w:rsid w:val="00480E4B"/>
    <w:rsid w:val="0048110A"/>
    <w:rsid w:val="00481275"/>
    <w:rsid w:val="00481320"/>
    <w:rsid w:val="00481510"/>
    <w:rsid w:val="00481611"/>
    <w:rsid w:val="00481A2E"/>
    <w:rsid w:val="00481DA9"/>
    <w:rsid w:val="00482003"/>
    <w:rsid w:val="004820D1"/>
    <w:rsid w:val="0048220A"/>
    <w:rsid w:val="004824F7"/>
    <w:rsid w:val="00482E22"/>
    <w:rsid w:val="00483026"/>
    <w:rsid w:val="00483634"/>
    <w:rsid w:val="0048364B"/>
    <w:rsid w:val="00483694"/>
    <w:rsid w:val="00483956"/>
    <w:rsid w:val="00483D33"/>
    <w:rsid w:val="00483F01"/>
    <w:rsid w:val="00484269"/>
    <w:rsid w:val="00484282"/>
    <w:rsid w:val="004844AD"/>
    <w:rsid w:val="00484860"/>
    <w:rsid w:val="00484BC1"/>
    <w:rsid w:val="004850B5"/>
    <w:rsid w:val="00485560"/>
    <w:rsid w:val="004855A3"/>
    <w:rsid w:val="004858B7"/>
    <w:rsid w:val="00485BFB"/>
    <w:rsid w:val="00485E63"/>
    <w:rsid w:val="00485F0A"/>
    <w:rsid w:val="0048616E"/>
    <w:rsid w:val="00486229"/>
    <w:rsid w:val="004863A3"/>
    <w:rsid w:val="004863D6"/>
    <w:rsid w:val="004864A7"/>
    <w:rsid w:val="004868F0"/>
    <w:rsid w:val="00486992"/>
    <w:rsid w:val="00486A49"/>
    <w:rsid w:val="00486B0B"/>
    <w:rsid w:val="00486C94"/>
    <w:rsid w:val="0048741F"/>
    <w:rsid w:val="004875EE"/>
    <w:rsid w:val="0048788B"/>
    <w:rsid w:val="004879E8"/>
    <w:rsid w:val="00487BC1"/>
    <w:rsid w:val="00490260"/>
    <w:rsid w:val="0049027E"/>
    <w:rsid w:val="00490966"/>
    <w:rsid w:val="00490DEE"/>
    <w:rsid w:val="00491383"/>
    <w:rsid w:val="004913D8"/>
    <w:rsid w:val="00491B9F"/>
    <w:rsid w:val="00491E4A"/>
    <w:rsid w:val="00491F12"/>
    <w:rsid w:val="004920E0"/>
    <w:rsid w:val="00492245"/>
    <w:rsid w:val="004922D0"/>
    <w:rsid w:val="004923F9"/>
    <w:rsid w:val="00492662"/>
    <w:rsid w:val="004926C8"/>
    <w:rsid w:val="0049276C"/>
    <w:rsid w:val="00492806"/>
    <w:rsid w:val="00492A5A"/>
    <w:rsid w:val="00492E59"/>
    <w:rsid w:val="0049308B"/>
    <w:rsid w:val="004933D1"/>
    <w:rsid w:val="004937CA"/>
    <w:rsid w:val="004937D3"/>
    <w:rsid w:val="004939EB"/>
    <w:rsid w:val="00493A04"/>
    <w:rsid w:val="004944DF"/>
    <w:rsid w:val="00494783"/>
    <w:rsid w:val="00494842"/>
    <w:rsid w:val="00494896"/>
    <w:rsid w:val="004948E4"/>
    <w:rsid w:val="00494A11"/>
    <w:rsid w:val="00494E15"/>
    <w:rsid w:val="00494F73"/>
    <w:rsid w:val="00494F83"/>
    <w:rsid w:val="0049505F"/>
    <w:rsid w:val="004950F3"/>
    <w:rsid w:val="00495195"/>
    <w:rsid w:val="004951B3"/>
    <w:rsid w:val="0049557C"/>
    <w:rsid w:val="00495792"/>
    <w:rsid w:val="00495A85"/>
    <w:rsid w:val="00495BF6"/>
    <w:rsid w:val="00495C49"/>
    <w:rsid w:val="00495C53"/>
    <w:rsid w:val="00495C7A"/>
    <w:rsid w:val="00495E13"/>
    <w:rsid w:val="00495FD7"/>
    <w:rsid w:val="0049656E"/>
    <w:rsid w:val="004967BD"/>
    <w:rsid w:val="004967C0"/>
    <w:rsid w:val="00496B29"/>
    <w:rsid w:val="00496B60"/>
    <w:rsid w:val="00496C08"/>
    <w:rsid w:val="00496CC3"/>
    <w:rsid w:val="0049750F"/>
    <w:rsid w:val="00497601"/>
    <w:rsid w:val="00497B39"/>
    <w:rsid w:val="00497D5C"/>
    <w:rsid w:val="004A019C"/>
    <w:rsid w:val="004A01EF"/>
    <w:rsid w:val="004A0312"/>
    <w:rsid w:val="004A031D"/>
    <w:rsid w:val="004A0486"/>
    <w:rsid w:val="004A0693"/>
    <w:rsid w:val="004A07F5"/>
    <w:rsid w:val="004A0EBA"/>
    <w:rsid w:val="004A0F61"/>
    <w:rsid w:val="004A12B3"/>
    <w:rsid w:val="004A1508"/>
    <w:rsid w:val="004A1A46"/>
    <w:rsid w:val="004A1B51"/>
    <w:rsid w:val="004A1E4A"/>
    <w:rsid w:val="004A2515"/>
    <w:rsid w:val="004A2968"/>
    <w:rsid w:val="004A2B32"/>
    <w:rsid w:val="004A31AC"/>
    <w:rsid w:val="004A3457"/>
    <w:rsid w:val="004A3772"/>
    <w:rsid w:val="004A3ECC"/>
    <w:rsid w:val="004A4095"/>
    <w:rsid w:val="004A414B"/>
    <w:rsid w:val="004A48A2"/>
    <w:rsid w:val="004A49DE"/>
    <w:rsid w:val="004A4DE0"/>
    <w:rsid w:val="004A4EC0"/>
    <w:rsid w:val="004A4F0D"/>
    <w:rsid w:val="004A542B"/>
    <w:rsid w:val="004A5817"/>
    <w:rsid w:val="004A58B7"/>
    <w:rsid w:val="004A5E79"/>
    <w:rsid w:val="004A6093"/>
    <w:rsid w:val="004A644F"/>
    <w:rsid w:val="004A6AC0"/>
    <w:rsid w:val="004A6C07"/>
    <w:rsid w:val="004A6CDF"/>
    <w:rsid w:val="004A7118"/>
    <w:rsid w:val="004A7352"/>
    <w:rsid w:val="004A7358"/>
    <w:rsid w:val="004A744A"/>
    <w:rsid w:val="004A763D"/>
    <w:rsid w:val="004A7959"/>
    <w:rsid w:val="004A7B09"/>
    <w:rsid w:val="004A7C63"/>
    <w:rsid w:val="004B0160"/>
    <w:rsid w:val="004B02BC"/>
    <w:rsid w:val="004B03BD"/>
    <w:rsid w:val="004B03CE"/>
    <w:rsid w:val="004B0C40"/>
    <w:rsid w:val="004B0D2C"/>
    <w:rsid w:val="004B0DC4"/>
    <w:rsid w:val="004B0F16"/>
    <w:rsid w:val="004B1518"/>
    <w:rsid w:val="004B15B6"/>
    <w:rsid w:val="004B20B9"/>
    <w:rsid w:val="004B24FC"/>
    <w:rsid w:val="004B2692"/>
    <w:rsid w:val="004B2724"/>
    <w:rsid w:val="004B294A"/>
    <w:rsid w:val="004B2A6C"/>
    <w:rsid w:val="004B2C9E"/>
    <w:rsid w:val="004B2D14"/>
    <w:rsid w:val="004B2DAD"/>
    <w:rsid w:val="004B2DF5"/>
    <w:rsid w:val="004B2F25"/>
    <w:rsid w:val="004B321F"/>
    <w:rsid w:val="004B3289"/>
    <w:rsid w:val="004B3621"/>
    <w:rsid w:val="004B3A11"/>
    <w:rsid w:val="004B3D94"/>
    <w:rsid w:val="004B40A7"/>
    <w:rsid w:val="004B44BC"/>
    <w:rsid w:val="004B46D3"/>
    <w:rsid w:val="004B4862"/>
    <w:rsid w:val="004B4B76"/>
    <w:rsid w:val="004B4D4A"/>
    <w:rsid w:val="004B4EBE"/>
    <w:rsid w:val="004B5569"/>
    <w:rsid w:val="004B5756"/>
    <w:rsid w:val="004B5839"/>
    <w:rsid w:val="004B5A8D"/>
    <w:rsid w:val="004B5C11"/>
    <w:rsid w:val="004B5D06"/>
    <w:rsid w:val="004B5D13"/>
    <w:rsid w:val="004B5F85"/>
    <w:rsid w:val="004B6A0F"/>
    <w:rsid w:val="004B6CBD"/>
    <w:rsid w:val="004B709D"/>
    <w:rsid w:val="004B72D6"/>
    <w:rsid w:val="004B7718"/>
    <w:rsid w:val="004B7C08"/>
    <w:rsid w:val="004B7E5B"/>
    <w:rsid w:val="004C01BD"/>
    <w:rsid w:val="004C042C"/>
    <w:rsid w:val="004C04D0"/>
    <w:rsid w:val="004C059F"/>
    <w:rsid w:val="004C05B1"/>
    <w:rsid w:val="004C07AE"/>
    <w:rsid w:val="004C0815"/>
    <w:rsid w:val="004C0900"/>
    <w:rsid w:val="004C099A"/>
    <w:rsid w:val="004C0CB6"/>
    <w:rsid w:val="004C10E6"/>
    <w:rsid w:val="004C12A1"/>
    <w:rsid w:val="004C131C"/>
    <w:rsid w:val="004C1379"/>
    <w:rsid w:val="004C163C"/>
    <w:rsid w:val="004C1A2B"/>
    <w:rsid w:val="004C1B2B"/>
    <w:rsid w:val="004C1EF9"/>
    <w:rsid w:val="004C22A7"/>
    <w:rsid w:val="004C2C60"/>
    <w:rsid w:val="004C2D7E"/>
    <w:rsid w:val="004C2EBC"/>
    <w:rsid w:val="004C2F78"/>
    <w:rsid w:val="004C3665"/>
    <w:rsid w:val="004C389F"/>
    <w:rsid w:val="004C3C1D"/>
    <w:rsid w:val="004C3F5A"/>
    <w:rsid w:val="004C45B9"/>
    <w:rsid w:val="004C4715"/>
    <w:rsid w:val="004C4736"/>
    <w:rsid w:val="004C479D"/>
    <w:rsid w:val="004C4BC0"/>
    <w:rsid w:val="004C4F24"/>
    <w:rsid w:val="004C4F5B"/>
    <w:rsid w:val="004C52A9"/>
    <w:rsid w:val="004C5510"/>
    <w:rsid w:val="004C56A2"/>
    <w:rsid w:val="004C5CA9"/>
    <w:rsid w:val="004C6140"/>
    <w:rsid w:val="004C627F"/>
    <w:rsid w:val="004C62E0"/>
    <w:rsid w:val="004C652F"/>
    <w:rsid w:val="004C6D92"/>
    <w:rsid w:val="004C6E10"/>
    <w:rsid w:val="004C71E6"/>
    <w:rsid w:val="004C7570"/>
    <w:rsid w:val="004C767D"/>
    <w:rsid w:val="004C7A19"/>
    <w:rsid w:val="004C7C23"/>
    <w:rsid w:val="004C7D05"/>
    <w:rsid w:val="004D0232"/>
    <w:rsid w:val="004D0F43"/>
    <w:rsid w:val="004D0F4F"/>
    <w:rsid w:val="004D1714"/>
    <w:rsid w:val="004D1AE3"/>
    <w:rsid w:val="004D1C87"/>
    <w:rsid w:val="004D1E7A"/>
    <w:rsid w:val="004D21CA"/>
    <w:rsid w:val="004D225B"/>
    <w:rsid w:val="004D256B"/>
    <w:rsid w:val="004D2C81"/>
    <w:rsid w:val="004D2D38"/>
    <w:rsid w:val="004D2E9A"/>
    <w:rsid w:val="004D2F6B"/>
    <w:rsid w:val="004D30E0"/>
    <w:rsid w:val="004D34AF"/>
    <w:rsid w:val="004D384F"/>
    <w:rsid w:val="004D3D92"/>
    <w:rsid w:val="004D3DA8"/>
    <w:rsid w:val="004D431C"/>
    <w:rsid w:val="004D45C9"/>
    <w:rsid w:val="004D46B2"/>
    <w:rsid w:val="004D46F5"/>
    <w:rsid w:val="004D476C"/>
    <w:rsid w:val="004D4B9F"/>
    <w:rsid w:val="004D4E00"/>
    <w:rsid w:val="004D51A1"/>
    <w:rsid w:val="004D5536"/>
    <w:rsid w:val="004D56F0"/>
    <w:rsid w:val="004D5743"/>
    <w:rsid w:val="004D596C"/>
    <w:rsid w:val="004D5A7D"/>
    <w:rsid w:val="004D5B81"/>
    <w:rsid w:val="004D5FC4"/>
    <w:rsid w:val="004D60C7"/>
    <w:rsid w:val="004D64DC"/>
    <w:rsid w:val="004D663E"/>
    <w:rsid w:val="004D670D"/>
    <w:rsid w:val="004D6872"/>
    <w:rsid w:val="004D6A4E"/>
    <w:rsid w:val="004D6CF1"/>
    <w:rsid w:val="004D7073"/>
    <w:rsid w:val="004D75E0"/>
    <w:rsid w:val="004D7671"/>
    <w:rsid w:val="004D7B3E"/>
    <w:rsid w:val="004D7CB2"/>
    <w:rsid w:val="004E0138"/>
    <w:rsid w:val="004E0233"/>
    <w:rsid w:val="004E0426"/>
    <w:rsid w:val="004E05E9"/>
    <w:rsid w:val="004E0652"/>
    <w:rsid w:val="004E06BB"/>
    <w:rsid w:val="004E08DB"/>
    <w:rsid w:val="004E0A77"/>
    <w:rsid w:val="004E0BF8"/>
    <w:rsid w:val="004E0F33"/>
    <w:rsid w:val="004E129B"/>
    <w:rsid w:val="004E13F7"/>
    <w:rsid w:val="004E145A"/>
    <w:rsid w:val="004E1728"/>
    <w:rsid w:val="004E1933"/>
    <w:rsid w:val="004E1CAB"/>
    <w:rsid w:val="004E1E27"/>
    <w:rsid w:val="004E2248"/>
    <w:rsid w:val="004E24C5"/>
    <w:rsid w:val="004E2687"/>
    <w:rsid w:val="004E288A"/>
    <w:rsid w:val="004E2AA1"/>
    <w:rsid w:val="004E2D91"/>
    <w:rsid w:val="004E2D9C"/>
    <w:rsid w:val="004E3567"/>
    <w:rsid w:val="004E35F0"/>
    <w:rsid w:val="004E37AE"/>
    <w:rsid w:val="004E37F7"/>
    <w:rsid w:val="004E3CB2"/>
    <w:rsid w:val="004E40A7"/>
    <w:rsid w:val="004E464C"/>
    <w:rsid w:val="004E4947"/>
    <w:rsid w:val="004E4C20"/>
    <w:rsid w:val="004E4E84"/>
    <w:rsid w:val="004E4EE1"/>
    <w:rsid w:val="004E4F6F"/>
    <w:rsid w:val="004E535C"/>
    <w:rsid w:val="004E536C"/>
    <w:rsid w:val="004E579C"/>
    <w:rsid w:val="004E5982"/>
    <w:rsid w:val="004E5CBF"/>
    <w:rsid w:val="004E5EE9"/>
    <w:rsid w:val="004E6085"/>
    <w:rsid w:val="004E6582"/>
    <w:rsid w:val="004E6A28"/>
    <w:rsid w:val="004E6A79"/>
    <w:rsid w:val="004E6C35"/>
    <w:rsid w:val="004E6D6C"/>
    <w:rsid w:val="004E6D85"/>
    <w:rsid w:val="004E6E12"/>
    <w:rsid w:val="004E6E5D"/>
    <w:rsid w:val="004E6EBC"/>
    <w:rsid w:val="004E70E1"/>
    <w:rsid w:val="004E73B8"/>
    <w:rsid w:val="004E7792"/>
    <w:rsid w:val="004E7859"/>
    <w:rsid w:val="004E7B06"/>
    <w:rsid w:val="004E7F90"/>
    <w:rsid w:val="004E7FDB"/>
    <w:rsid w:val="004F007B"/>
    <w:rsid w:val="004F02E9"/>
    <w:rsid w:val="004F0499"/>
    <w:rsid w:val="004F0D3A"/>
    <w:rsid w:val="004F1098"/>
    <w:rsid w:val="004F12D3"/>
    <w:rsid w:val="004F1400"/>
    <w:rsid w:val="004F15C1"/>
    <w:rsid w:val="004F16E7"/>
    <w:rsid w:val="004F17B3"/>
    <w:rsid w:val="004F17EF"/>
    <w:rsid w:val="004F1870"/>
    <w:rsid w:val="004F188E"/>
    <w:rsid w:val="004F1B15"/>
    <w:rsid w:val="004F1E92"/>
    <w:rsid w:val="004F235A"/>
    <w:rsid w:val="004F256C"/>
    <w:rsid w:val="004F2911"/>
    <w:rsid w:val="004F2A2C"/>
    <w:rsid w:val="004F2CB8"/>
    <w:rsid w:val="004F2D8E"/>
    <w:rsid w:val="004F2EDB"/>
    <w:rsid w:val="004F31DB"/>
    <w:rsid w:val="004F3227"/>
    <w:rsid w:val="004F324D"/>
    <w:rsid w:val="004F3325"/>
    <w:rsid w:val="004F3B4E"/>
    <w:rsid w:val="004F3D68"/>
    <w:rsid w:val="004F4A1A"/>
    <w:rsid w:val="004F4E2C"/>
    <w:rsid w:val="004F5229"/>
    <w:rsid w:val="004F53AB"/>
    <w:rsid w:val="004F53D1"/>
    <w:rsid w:val="004F57ED"/>
    <w:rsid w:val="004F5A0A"/>
    <w:rsid w:val="004F5D46"/>
    <w:rsid w:val="004F60A1"/>
    <w:rsid w:val="004F60AB"/>
    <w:rsid w:val="004F6100"/>
    <w:rsid w:val="004F618B"/>
    <w:rsid w:val="004F62C3"/>
    <w:rsid w:val="004F6319"/>
    <w:rsid w:val="004F645F"/>
    <w:rsid w:val="004F64AF"/>
    <w:rsid w:val="004F65E1"/>
    <w:rsid w:val="004F66ED"/>
    <w:rsid w:val="004F700A"/>
    <w:rsid w:val="004F7079"/>
    <w:rsid w:val="004F7598"/>
    <w:rsid w:val="004F7946"/>
    <w:rsid w:val="004F7ADC"/>
    <w:rsid w:val="0050050D"/>
    <w:rsid w:val="00500610"/>
    <w:rsid w:val="005006B3"/>
    <w:rsid w:val="005006BA"/>
    <w:rsid w:val="0050084A"/>
    <w:rsid w:val="005011D9"/>
    <w:rsid w:val="005017C7"/>
    <w:rsid w:val="0050183C"/>
    <w:rsid w:val="00501B8C"/>
    <w:rsid w:val="00501CE3"/>
    <w:rsid w:val="00501EBD"/>
    <w:rsid w:val="0050203D"/>
    <w:rsid w:val="005023BC"/>
    <w:rsid w:val="00502468"/>
    <w:rsid w:val="005024B8"/>
    <w:rsid w:val="005025A2"/>
    <w:rsid w:val="0050264F"/>
    <w:rsid w:val="00502895"/>
    <w:rsid w:val="00502ACC"/>
    <w:rsid w:val="00502E7C"/>
    <w:rsid w:val="00502EE8"/>
    <w:rsid w:val="005032BD"/>
    <w:rsid w:val="0050336E"/>
    <w:rsid w:val="00503513"/>
    <w:rsid w:val="005035E3"/>
    <w:rsid w:val="00503907"/>
    <w:rsid w:val="005047A1"/>
    <w:rsid w:val="00504AF6"/>
    <w:rsid w:val="00504DBA"/>
    <w:rsid w:val="00504F90"/>
    <w:rsid w:val="0050527A"/>
    <w:rsid w:val="00505420"/>
    <w:rsid w:val="005056D6"/>
    <w:rsid w:val="0050589D"/>
    <w:rsid w:val="005059F8"/>
    <w:rsid w:val="00505B4F"/>
    <w:rsid w:val="00505BFA"/>
    <w:rsid w:val="00505F17"/>
    <w:rsid w:val="00505F5D"/>
    <w:rsid w:val="00506195"/>
    <w:rsid w:val="005063EA"/>
    <w:rsid w:val="005065C9"/>
    <w:rsid w:val="005068A4"/>
    <w:rsid w:val="00506A3B"/>
    <w:rsid w:val="00506BCD"/>
    <w:rsid w:val="00506EE0"/>
    <w:rsid w:val="005070E0"/>
    <w:rsid w:val="00507153"/>
    <w:rsid w:val="005071B8"/>
    <w:rsid w:val="005074C6"/>
    <w:rsid w:val="005076DF"/>
    <w:rsid w:val="0050781E"/>
    <w:rsid w:val="00507954"/>
    <w:rsid w:val="005079A2"/>
    <w:rsid w:val="00507C74"/>
    <w:rsid w:val="005103BA"/>
    <w:rsid w:val="0051043F"/>
    <w:rsid w:val="005105A3"/>
    <w:rsid w:val="00510678"/>
    <w:rsid w:val="00510781"/>
    <w:rsid w:val="005107D4"/>
    <w:rsid w:val="005108E5"/>
    <w:rsid w:val="00510A33"/>
    <w:rsid w:val="00510BA9"/>
    <w:rsid w:val="00510C87"/>
    <w:rsid w:val="00510CBA"/>
    <w:rsid w:val="00510DBF"/>
    <w:rsid w:val="00510DD6"/>
    <w:rsid w:val="00510F6B"/>
    <w:rsid w:val="0051103B"/>
    <w:rsid w:val="00511269"/>
    <w:rsid w:val="00511405"/>
    <w:rsid w:val="0051158E"/>
    <w:rsid w:val="00511BC8"/>
    <w:rsid w:val="00511CAB"/>
    <w:rsid w:val="0051202F"/>
    <w:rsid w:val="005124B2"/>
    <w:rsid w:val="00512A39"/>
    <w:rsid w:val="00512B02"/>
    <w:rsid w:val="00512BF2"/>
    <w:rsid w:val="00513992"/>
    <w:rsid w:val="00513A4C"/>
    <w:rsid w:val="00513BA7"/>
    <w:rsid w:val="00513C07"/>
    <w:rsid w:val="00513C30"/>
    <w:rsid w:val="00513D73"/>
    <w:rsid w:val="00513F02"/>
    <w:rsid w:val="005140D5"/>
    <w:rsid w:val="005142B1"/>
    <w:rsid w:val="005147C7"/>
    <w:rsid w:val="0051489F"/>
    <w:rsid w:val="00514966"/>
    <w:rsid w:val="00514C0A"/>
    <w:rsid w:val="00514EE4"/>
    <w:rsid w:val="00514F84"/>
    <w:rsid w:val="00514F97"/>
    <w:rsid w:val="00514FF6"/>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2D2"/>
    <w:rsid w:val="005174E1"/>
    <w:rsid w:val="00517506"/>
    <w:rsid w:val="0051754E"/>
    <w:rsid w:val="005177A3"/>
    <w:rsid w:val="00517814"/>
    <w:rsid w:val="00517C6A"/>
    <w:rsid w:val="00517D31"/>
    <w:rsid w:val="00517E88"/>
    <w:rsid w:val="00520247"/>
    <w:rsid w:val="005202A1"/>
    <w:rsid w:val="0052058B"/>
    <w:rsid w:val="00520762"/>
    <w:rsid w:val="0052076F"/>
    <w:rsid w:val="0052081B"/>
    <w:rsid w:val="005208A4"/>
    <w:rsid w:val="00520ADD"/>
    <w:rsid w:val="005215EF"/>
    <w:rsid w:val="00521702"/>
    <w:rsid w:val="005217E2"/>
    <w:rsid w:val="0052199C"/>
    <w:rsid w:val="005219ED"/>
    <w:rsid w:val="00521EE1"/>
    <w:rsid w:val="00522331"/>
    <w:rsid w:val="00522434"/>
    <w:rsid w:val="00522A6C"/>
    <w:rsid w:val="00522EC8"/>
    <w:rsid w:val="00523389"/>
    <w:rsid w:val="00523860"/>
    <w:rsid w:val="00523AA1"/>
    <w:rsid w:val="00523D33"/>
    <w:rsid w:val="00523EA4"/>
    <w:rsid w:val="00524088"/>
    <w:rsid w:val="00524288"/>
    <w:rsid w:val="0052438F"/>
    <w:rsid w:val="0052470A"/>
    <w:rsid w:val="005248ED"/>
    <w:rsid w:val="005249A2"/>
    <w:rsid w:val="00524BB9"/>
    <w:rsid w:val="005250DB"/>
    <w:rsid w:val="00525546"/>
    <w:rsid w:val="00525757"/>
    <w:rsid w:val="00525972"/>
    <w:rsid w:val="00525A48"/>
    <w:rsid w:val="00525A6F"/>
    <w:rsid w:val="00525AC8"/>
    <w:rsid w:val="00525DA9"/>
    <w:rsid w:val="00526117"/>
    <w:rsid w:val="00526178"/>
    <w:rsid w:val="005261CF"/>
    <w:rsid w:val="005262ED"/>
    <w:rsid w:val="005263D4"/>
    <w:rsid w:val="00526664"/>
    <w:rsid w:val="0052671C"/>
    <w:rsid w:val="0052686C"/>
    <w:rsid w:val="00526998"/>
    <w:rsid w:val="00526B0D"/>
    <w:rsid w:val="00526B20"/>
    <w:rsid w:val="00526B7D"/>
    <w:rsid w:val="00526C04"/>
    <w:rsid w:val="005274B4"/>
    <w:rsid w:val="00527929"/>
    <w:rsid w:val="00527B3F"/>
    <w:rsid w:val="00527C2D"/>
    <w:rsid w:val="00527DEE"/>
    <w:rsid w:val="00527E18"/>
    <w:rsid w:val="00527ED0"/>
    <w:rsid w:val="005300AE"/>
    <w:rsid w:val="00530405"/>
    <w:rsid w:val="00530609"/>
    <w:rsid w:val="005307B0"/>
    <w:rsid w:val="00530861"/>
    <w:rsid w:val="005308FC"/>
    <w:rsid w:val="0053091B"/>
    <w:rsid w:val="005309FB"/>
    <w:rsid w:val="00530A6C"/>
    <w:rsid w:val="00530BCF"/>
    <w:rsid w:val="00530FE9"/>
    <w:rsid w:val="00531157"/>
    <w:rsid w:val="00531177"/>
    <w:rsid w:val="005315DB"/>
    <w:rsid w:val="0053163E"/>
    <w:rsid w:val="005317AF"/>
    <w:rsid w:val="005318E0"/>
    <w:rsid w:val="005319DE"/>
    <w:rsid w:val="00531B7B"/>
    <w:rsid w:val="00531DE6"/>
    <w:rsid w:val="00531E81"/>
    <w:rsid w:val="0053208B"/>
    <w:rsid w:val="0053277C"/>
    <w:rsid w:val="005328EE"/>
    <w:rsid w:val="005329EB"/>
    <w:rsid w:val="00532AF8"/>
    <w:rsid w:val="00532D3D"/>
    <w:rsid w:val="00533076"/>
    <w:rsid w:val="00533124"/>
    <w:rsid w:val="00533335"/>
    <w:rsid w:val="005337BA"/>
    <w:rsid w:val="00533C6F"/>
    <w:rsid w:val="00533DAD"/>
    <w:rsid w:val="00533E19"/>
    <w:rsid w:val="00534449"/>
    <w:rsid w:val="0053473D"/>
    <w:rsid w:val="00534A69"/>
    <w:rsid w:val="00534ABB"/>
    <w:rsid w:val="00534E77"/>
    <w:rsid w:val="00534FF0"/>
    <w:rsid w:val="005351D1"/>
    <w:rsid w:val="00535295"/>
    <w:rsid w:val="005354C1"/>
    <w:rsid w:val="0053554A"/>
    <w:rsid w:val="00535B3B"/>
    <w:rsid w:val="00535D15"/>
    <w:rsid w:val="00536006"/>
    <w:rsid w:val="005361E0"/>
    <w:rsid w:val="005362B7"/>
    <w:rsid w:val="00536421"/>
    <w:rsid w:val="005364E0"/>
    <w:rsid w:val="00536720"/>
    <w:rsid w:val="005367AD"/>
    <w:rsid w:val="005368E4"/>
    <w:rsid w:val="00536AB4"/>
    <w:rsid w:val="00536BA8"/>
    <w:rsid w:val="00536F33"/>
    <w:rsid w:val="005370EA"/>
    <w:rsid w:val="0053736A"/>
    <w:rsid w:val="005375AA"/>
    <w:rsid w:val="005378A6"/>
    <w:rsid w:val="00537944"/>
    <w:rsid w:val="00540A44"/>
    <w:rsid w:val="00540D00"/>
    <w:rsid w:val="00540D51"/>
    <w:rsid w:val="0054124B"/>
    <w:rsid w:val="00541635"/>
    <w:rsid w:val="00541E6E"/>
    <w:rsid w:val="00541F2F"/>
    <w:rsid w:val="00541F8B"/>
    <w:rsid w:val="00542145"/>
    <w:rsid w:val="005428A5"/>
    <w:rsid w:val="0054294D"/>
    <w:rsid w:val="00542A66"/>
    <w:rsid w:val="00542AC8"/>
    <w:rsid w:val="00542C72"/>
    <w:rsid w:val="00542E2A"/>
    <w:rsid w:val="005430BA"/>
    <w:rsid w:val="00543159"/>
    <w:rsid w:val="00543648"/>
    <w:rsid w:val="00543848"/>
    <w:rsid w:val="00543E44"/>
    <w:rsid w:val="00543E72"/>
    <w:rsid w:val="00543F54"/>
    <w:rsid w:val="00544025"/>
    <w:rsid w:val="0054420E"/>
    <w:rsid w:val="0054437F"/>
    <w:rsid w:val="00544735"/>
    <w:rsid w:val="005447F1"/>
    <w:rsid w:val="00544A51"/>
    <w:rsid w:val="00544B71"/>
    <w:rsid w:val="00544E97"/>
    <w:rsid w:val="00544EA7"/>
    <w:rsid w:val="00545007"/>
    <w:rsid w:val="005452E6"/>
    <w:rsid w:val="00545345"/>
    <w:rsid w:val="00545365"/>
    <w:rsid w:val="00545841"/>
    <w:rsid w:val="00545976"/>
    <w:rsid w:val="00545A3E"/>
    <w:rsid w:val="00545ACA"/>
    <w:rsid w:val="00545B28"/>
    <w:rsid w:val="00545CDA"/>
    <w:rsid w:val="00545FE2"/>
    <w:rsid w:val="005460C0"/>
    <w:rsid w:val="0054616D"/>
    <w:rsid w:val="005462C8"/>
    <w:rsid w:val="00546730"/>
    <w:rsid w:val="00546EDE"/>
    <w:rsid w:val="00547042"/>
    <w:rsid w:val="005478B7"/>
    <w:rsid w:val="0054794A"/>
    <w:rsid w:val="0054797E"/>
    <w:rsid w:val="00547A6E"/>
    <w:rsid w:val="00547A84"/>
    <w:rsid w:val="00547BE0"/>
    <w:rsid w:val="0055023D"/>
    <w:rsid w:val="0055047D"/>
    <w:rsid w:val="00550741"/>
    <w:rsid w:val="00550764"/>
    <w:rsid w:val="00550C70"/>
    <w:rsid w:val="00550F55"/>
    <w:rsid w:val="00551468"/>
    <w:rsid w:val="0055175B"/>
    <w:rsid w:val="00551ADC"/>
    <w:rsid w:val="00551B00"/>
    <w:rsid w:val="0055202D"/>
    <w:rsid w:val="005524B0"/>
    <w:rsid w:val="00552517"/>
    <w:rsid w:val="0055263B"/>
    <w:rsid w:val="005526B2"/>
    <w:rsid w:val="00552810"/>
    <w:rsid w:val="00552F67"/>
    <w:rsid w:val="0055321B"/>
    <w:rsid w:val="00553367"/>
    <w:rsid w:val="005537A7"/>
    <w:rsid w:val="00553B86"/>
    <w:rsid w:val="00553DBD"/>
    <w:rsid w:val="00553FFB"/>
    <w:rsid w:val="00554081"/>
    <w:rsid w:val="0055411B"/>
    <w:rsid w:val="0055416E"/>
    <w:rsid w:val="0055433C"/>
    <w:rsid w:val="005544F3"/>
    <w:rsid w:val="005548A2"/>
    <w:rsid w:val="00554C4C"/>
    <w:rsid w:val="00554DA4"/>
    <w:rsid w:val="00554EE1"/>
    <w:rsid w:val="00554F70"/>
    <w:rsid w:val="00555076"/>
    <w:rsid w:val="00555205"/>
    <w:rsid w:val="00555256"/>
    <w:rsid w:val="005554C6"/>
    <w:rsid w:val="00555640"/>
    <w:rsid w:val="005557DE"/>
    <w:rsid w:val="00555BA7"/>
    <w:rsid w:val="00555BB6"/>
    <w:rsid w:val="00556033"/>
    <w:rsid w:val="005560CD"/>
    <w:rsid w:val="00556408"/>
    <w:rsid w:val="00556425"/>
    <w:rsid w:val="005568CF"/>
    <w:rsid w:val="005568F5"/>
    <w:rsid w:val="00556B41"/>
    <w:rsid w:val="0055705F"/>
    <w:rsid w:val="00557333"/>
    <w:rsid w:val="00557334"/>
    <w:rsid w:val="0055733E"/>
    <w:rsid w:val="00557844"/>
    <w:rsid w:val="00557E08"/>
    <w:rsid w:val="00557F88"/>
    <w:rsid w:val="00560463"/>
    <w:rsid w:val="0056101C"/>
    <w:rsid w:val="00561131"/>
    <w:rsid w:val="0056118C"/>
    <w:rsid w:val="00561282"/>
    <w:rsid w:val="005615B0"/>
    <w:rsid w:val="0056193F"/>
    <w:rsid w:val="00561A73"/>
    <w:rsid w:val="00561D51"/>
    <w:rsid w:val="00561E94"/>
    <w:rsid w:val="00562387"/>
    <w:rsid w:val="0056242E"/>
    <w:rsid w:val="00562672"/>
    <w:rsid w:val="005626DA"/>
    <w:rsid w:val="00562A6E"/>
    <w:rsid w:val="00562FE7"/>
    <w:rsid w:val="00563137"/>
    <w:rsid w:val="005631C4"/>
    <w:rsid w:val="00563937"/>
    <w:rsid w:val="00563DE1"/>
    <w:rsid w:val="0056448A"/>
    <w:rsid w:val="00564519"/>
    <w:rsid w:val="00564546"/>
    <w:rsid w:val="00564768"/>
    <w:rsid w:val="00564C32"/>
    <w:rsid w:val="00564D09"/>
    <w:rsid w:val="005655C4"/>
    <w:rsid w:val="005659B0"/>
    <w:rsid w:val="00565B29"/>
    <w:rsid w:val="00566019"/>
    <w:rsid w:val="005664C3"/>
    <w:rsid w:val="005665B4"/>
    <w:rsid w:val="005666AB"/>
    <w:rsid w:val="005666CF"/>
    <w:rsid w:val="0056682C"/>
    <w:rsid w:val="00566A32"/>
    <w:rsid w:val="00566D08"/>
    <w:rsid w:val="00566D13"/>
    <w:rsid w:val="0056703D"/>
    <w:rsid w:val="005676AE"/>
    <w:rsid w:val="00567701"/>
    <w:rsid w:val="005679C9"/>
    <w:rsid w:val="0057028E"/>
    <w:rsid w:val="005703F5"/>
    <w:rsid w:val="005705B5"/>
    <w:rsid w:val="00570645"/>
    <w:rsid w:val="0057083C"/>
    <w:rsid w:val="00570B94"/>
    <w:rsid w:val="00570ECB"/>
    <w:rsid w:val="00571194"/>
    <w:rsid w:val="00571686"/>
    <w:rsid w:val="005716C8"/>
    <w:rsid w:val="00571A7A"/>
    <w:rsid w:val="00571D22"/>
    <w:rsid w:val="00572060"/>
    <w:rsid w:val="0057222C"/>
    <w:rsid w:val="00572281"/>
    <w:rsid w:val="005722A1"/>
    <w:rsid w:val="005723AC"/>
    <w:rsid w:val="00572590"/>
    <w:rsid w:val="005725FC"/>
    <w:rsid w:val="00572637"/>
    <w:rsid w:val="00572779"/>
    <w:rsid w:val="005727C1"/>
    <w:rsid w:val="005727CC"/>
    <w:rsid w:val="0057295F"/>
    <w:rsid w:val="00572AD3"/>
    <w:rsid w:val="0057300C"/>
    <w:rsid w:val="00573270"/>
    <w:rsid w:val="00573481"/>
    <w:rsid w:val="005735EA"/>
    <w:rsid w:val="00573954"/>
    <w:rsid w:val="00573CB3"/>
    <w:rsid w:val="00573D2E"/>
    <w:rsid w:val="00573DB8"/>
    <w:rsid w:val="00573DD6"/>
    <w:rsid w:val="00574038"/>
    <w:rsid w:val="00574608"/>
    <w:rsid w:val="00574769"/>
    <w:rsid w:val="0057477D"/>
    <w:rsid w:val="005747B8"/>
    <w:rsid w:val="00574B8E"/>
    <w:rsid w:val="00574CBE"/>
    <w:rsid w:val="00574D00"/>
    <w:rsid w:val="00575048"/>
    <w:rsid w:val="005752F6"/>
    <w:rsid w:val="0057548A"/>
    <w:rsid w:val="00575A51"/>
    <w:rsid w:val="00575ABA"/>
    <w:rsid w:val="00575BBB"/>
    <w:rsid w:val="00575C35"/>
    <w:rsid w:val="00575C56"/>
    <w:rsid w:val="00575CBE"/>
    <w:rsid w:val="005761F5"/>
    <w:rsid w:val="0057635B"/>
    <w:rsid w:val="005767FA"/>
    <w:rsid w:val="0057686C"/>
    <w:rsid w:val="00576906"/>
    <w:rsid w:val="00576950"/>
    <w:rsid w:val="00577BE1"/>
    <w:rsid w:val="00577C41"/>
    <w:rsid w:val="00577ECE"/>
    <w:rsid w:val="00577FCF"/>
    <w:rsid w:val="00580221"/>
    <w:rsid w:val="00580804"/>
    <w:rsid w:val="00580859"/>
    <w:rsid w:val="005809BA"/>
    <w:rsid w:val="00580AE5"/>
    <w:rsid w:val="00580CA9"/>
    <w:rsid w:val="00580D95"/>
    <w:rsid w:val="00580F28"/>
    <w:rsid w:val="00581078"/>
    <w:rsid w:val="00581082"/>
    <w:rsid w:val="00581098"/>
    <w:rsid w:val="005813D9"/>
    <w:rsid w:val="005816E4"/>
    <w:rsid w:val="005819AF"/>
    <w:rsid w:val="00582266"/>
    <w:rsid w:val="005825AC"/>
    <w:rsid w:val="005826A5"/>
    <w:rsid w:val="0058271A"/>
    <w:rsid w:val="00582C59"/>
    <w:rsid w:val="005832FF"/>
    <w:rsid w:val="005839E1"/>
    <w:rsid w:val="00583A8E"/>
    <w:rsid w:val="00583EFE"/>
    <w:rsid w:val="00583F91"/>
    <w:rsid w:val="0058458C"/>
    <w:rsid w:val="00584632"/>
    <w:rsid w:val="00584A59"/>
    <w:rsid w:val="00584AF5"/>
    <w:rsid w:val="00584BE5"/>
    <w:rsid w:val="00584BEB"/>
    <w:rsid w:val="00584DE6"/>
    <w:rsid w:val="00584F72"/>
    <w:rsid w:val="005851AD"/>
    <w:rsid w:val="00585428"/>
    <w:rsid w:val="0058592D"/>
    <w:rsid w:val="005861F1"/>
    <w:rsid w:val="0058622B"/>
    <w:rsid w:val="00586604"/>
    <w:rsid w:val="005867AF"/>
    <w:rsid w:val="00586CA1"/>
    <w:rsid w:val="005874F4"/>
    <w:rsid w:val="00587620"/>
    <w:rsid w:val="00587692"/>
    <w:rsid w:val="00587A7E"/>
    <w:rsid w:val="00587B31"/>
    <w:rsid w:val="00587CF7"/>
    <w:rsid w:val="00590069"/>
    <w:rsid w:val="00590320"/>
    <w:rsid w:val="00590423"/>
    <w:rsid w:val="00590B7E"/>
    <w:rsid w:val="00590D37"/>
    <w:rsid w:val="00590E44"/>
    <w:rsid w:val="00590FD6"/>
    <w:rsid w:val="00591065"/>
    <w:rsid w:val="0059134F"/>
    <w:rsid w:val="00591563"/>
    <w:rsid w:val="00591CBC"/>
    <w:rsid w:val="005920DE"/>
    <w:rsid w:val="00592416"/>
    <w:rsid w:val="0059298D"/>
    <w:rsid w:val="00592B54"/>
    <w:rsid w:val="00593F68"/>
    <w:rsid w:val="00593FB5"/>
    <w:rsid w:val="00594158"/>
    <w:rsid w:val="005946FB"/>
    <w:rsid w:val="0059473F"/>
    <w:rsid w:val="00594BD4"/>
    <w:rsid w:val="00594E8D"/>
    <w:rsid w:val="00595467"/>
    <w:rsid w:val="00595561"/>
    <w:rsid w:val="00595577"/>
    <w:rsid w:val="0059626E"/>
    <w:rsid w:val="0059658D"/>
    <w:rsid w:val="005965E7"/>
    <w:rsid w:val="00596CA7"/>
    <w:rsid w:val="00596FE2"/>
    <w:rsid w:val="005971C1"/>
    <w:rsid w:val="00597217"/>
    <w:rsid w:val="005972E9"/>
    <w:rsid w:val="00597364"/>
    <w:rsid w:val="0059748D"/>
    <w:rsid w:val="005977DB"/>
    <w:rsid w:val="005978CA"/>
    <w:rsid w:val="00597936"/>
    <w:rsid w:val="005979B1"/>
    <w:rsid w:val="00597E11"/>
    <w:rsid w:val="005A00C4"/>
    <w:rsid w:val="005A0257"/>
    <w:rsid w:val="005A02EB"/>
    <w:rsid w:val="005A0717"/>
    <w:rsid w:val="005A0858"/>
    <w:rsid w:val="005A0BA0"/>
    <w:rsid w:val="005A0D2C"/>
    <w:rsid w:val="005A115A"/>
    <w:rsid w:val="005A12DA"/>
    <w:rsid w:val="005A1F90"/>
    <w:rsid w:val="005A2554"/>
    <w:rsid w:val="005A285F"/>
    <w:rsid w:val="005A2B3D"/>
    <w:rsid w:val="005A2F98"/>
    <w:rsid w:val="005A3108"/>
    <w:rsid w:val="005A314E"/>
    <w:rsid w:val="005A31FF"/>
    <w:rsid w:val="005A3328"/>
    <w:rsid w:val="005A3477"/>
    <w:rsid w:val="005A38F8"/>
    <w:rsid w:val="005A3B31"/>
    <w:rsid w:val="005A3C15"/>
    <w:rsid w:val="005A3C5E"/>
    <w:rsid w:val="005A3C90"/>
    <w:rsid w:val="005A3DF8"/>
    <w:rsid w:val="005A4361"/>
    <w:rsid w:val="005A48CE"/>
    <w:rsid w:val="005A48F5"/>
    <w:rsid w:val="005A4A08"/>
    <w:rsid w:val="005A4BCD"/>
    <w:rsid w:val="005A4EF6"/>
    <w:rsid w:val="005A4F25"/>
    <w:rsid w:val="005A5495"/>
    <w:rsid w:val="005A576C"/>
    <w:rsid w:val="005A5B9B"/>
    <w:rsid w:val="005A5CE5"/>
    <w:rsid w:val="005A6154"/>
    <w:rsid w:val="005A6435"/>
    <w:rsid w:val="005A6453"/>
    <w:rsid w:val="005A6514"/>
    <w:rsid w:val="005A659A"/>
    <w:rsid w:val="005A65EF"/>
    <w:rsid w:val="005A7051"/>
    <w:rsid w:val="005A7B0D"/>
    <w:rsid w:val="005B0109"/>
    <w:rsid w:val="005B0C6E"/>
    <w:rsid w:val="005B1006"/>
    <w:rsid w:val="005B113B"/>
    <w:rsid w:val="005B122E"/>
    <w:rsid w:val="005B12DF"/>
    <w:rsid w:val="005B14D3"/>
    <w:rsid w:val="005B17E8"/>
    <w:rsid w:val="005B1993"/>
    <w:rsid w:val="005B1BDD"/>
    <w:rsid w:val="005B1CEC"/>
    <w:rsid w:val="005B1E34"/>
    <w:rsid w:val="005B2226"/>
    <w:rsid w:val="005B22B1"/>
    <w:rsid w:val="005B2C2C"/>
    <w:rsid w:val="005B3146"/>
    <w:rsid w:val="005B3195"/>
    <w:rsid w:val="005B3396"/>
    <w:rsid w:val="005B35D1"/>
    <w:rsid w:val="005B38A6"/>
    <w:rsid w:val="005B391C"/>
    <w:rsid w:val="005B3B17"/>
    <w:rsid w:val="005B3B6C"/>
    <w:rsid w:val="005B3BDF"/>
    <w:rsid w:val="005B41C4"/>
    <w:rsid w:val="005B4231"/>
    <w:rsid w:val="005B4379"/>
    <w:rsid w:val="005B451C"/>
    <w:rsid w:val="005B45E8"/>
    <w:rsid w:val="005B46A6"/>
    <w:rsid w:val="005B47C1"/>
    <w:rsid w:val="005B4836"/>
    <w:rsid w:val="005B49BB"/>
    <w:rsid w:val="005B4D69"/>
    <w:rsid w:val="005B517A"/>
    <w:rsid w:val="005B521F"/>
    <w:rsid w:val="005B536A"/>
    <w:rsid w:val="005B5662"/>
    <w:rsid w:val="005B598A"/>
    <w:rsid w:val="005B6044"/>
    <w:rsid w:val="005B611C"/>
    <w:rsid w:val="005B6676"/>
    <w:rsid w:val="005B683E"/>
    <w:rsid w:val="005B6920"/>
    <w:rsid w:val="005B6A9A"/>
    <w:rsid w:val="005B73CB"/>
    <w:rsid w:val="005B7615"/>
    <w:rsid w:val="005B7A5A"/>
    <w:rsid w:val="005B7BA6"/>
    <w:rsid w:val="005B7E33"/>
    <w:rsid w:val="005B7EBF"/>
    <w:rsid w:val="005C01CF"/>
    <w:rsid w:val="005C022B"/>
    <w:rsid w:val="005C024A"/>
    <w:rsid w:val="005C02A1"/>
    <w:rsid w:val="005C03C7"/>
    <w:rsid w:val="005C08C5"/>
    <w:rsid w:val="005C08E0"/>
    <w:rsid w:val="005C0901"/>
    <w:rsid w:val="005C0914"/>
    <w:rsid w:val="005C0992"/>
    <w:rsid w:val="005C0C96"/>
    <w:rsid w:val="005C0D0A"/>
    <w:rsid w:val="005C0D63"/>
    <w:rsid w:val="005C0F9C"/>
    <w:rsid w:val="005C109C"/>
    <w:rsid w:val="005C12C3"/>
    <w:rsid w:val="005C14E6"/>
    <w:rsid w:val="005C16AF"/>
    <w:rsid w:val="005C16D1"/>
    <w:rsid w:val="005C17C0"/>
    <w:rsid w:val="005C207F"/>
    <w:rsid w:val="005C209E"/>
    <w:rsid w:val="005C2186"/>
    <w:rsid w:val="005C2706"/>
    <w:rsid w:val="005C2938"/>
    <w:rsid w:val="005C3260"/>
    <w:rsid w:val="005C32EA"/>
    <w:rsid w:val="005C37DA"/>
    <w:rsid w:val="005C381B"/>
    <w:rsid w:val="005C39BD"/>
    <w:rsid w:val="005C3E90"/>
    <w:rsid w:val="005C4348"/>
    <w:rsid w:val="005C4543"/>
    <w:rsid w:val="005C48E4"/>
    <w:rsid w:val="005C4C0A"/>
    <w:rsid w:val="005C4D17"/>
    <w:rsid w:val="005C4D9F"/>
    <w:rsid w:val="005C4E31"/>
    <w:rsid w:val="005C4F94"/>
    <w:rsid w:val="005C50F4"/>
    <w:rsid w:val="005C5224"/>
    <w:rsid w:val="005C5638"/>
    <w:rsid w:val="005C581E"/>
    <w:rsid w:val="005C5A2C"/>
    <w:rsid w:val="005C5EEC"/>
    <w:rsid w:val="005C627F"/>
    <w:rsid w:val="005C6379"/>
    <w:rsid w:val="005C655B"/>
    <w:rsid w:val="005C6904"/>
    <w:rsid w:val="005C6AE0"/>
    <w:rsid w:val="005C6D93"/>
    <w:rsid w:val="005C6D94"/>
    <w:rsid w:val="005C6DB7"/>
    <w:rsid w:val="005C7140"/>
    <w:rsid w:val="005C72B2"/>
    <w:rsid w:val="005C75F2"/>
    <w:rsid w:val="005C77FB"/>
    <w:rsid w:val="005C7D2C"/>
    <w:rsid w:val="005C7E4E"/>
    <w:rsid w:val="005D0056"/>
    <w:rsid w:val="005D0825"/>
    <w:rsid w:val="005D0A90"/>
    <w:rsid w:val="005D0B89"/>
    <w:rsid w:val="005D0E50"/>
    <w:rsid w:val="005D172B"/>
    <w:rsid w:val="005D1778"/>
    <w:rsid w:val="005D1DF7"/>
    <w:rsid w:val="005D1E7C"/>
    <w:rsid w:val="005D1F48"/>
    <w:rsid w:val="005D2023"/>
    <w:rsid w:val="005D23BF"/>
    <w:rsid w:val="005D28AA"/>
    <w:rsid w:val="005D28E0"/>
    <w:rsid w:val="005D2B09"/>
    <w:rsid w:val="005D2CB6"/>
    <w:rsid w:val="005D2FC9"/>
    <w:rsid w:val="005D31AB"/>
    <w:rsid w:val="005D397F"/>
    <w:rsid w:val="005D3AAC"/>
    <w:rsid w:val="005D3D48"/>
    <w:rsid w:val="005D3E01"/>
    <w:rsid w:val="005D3E5D"/>
    <w:rsid w:val="005D3FDB"/>
    <w:rsid w:val="005D4354"/>
    <w:rsid w:val="005D4441"/>
    <w:rsid w:val="005D46E2"/>
    <w:rsid w:val="005D47CB"/>
    <w:rsid w:val="005D4CED"/>
    <w:rsid w:val="005D4D19"/>
    <w:rsid w:val="005D4EB7"/>
    <w:rsid w:val="005D50B1"/>
    <w:rsid w:val="005D50F2"/>
    <w:rsid w:val="005D5514"/>
    <w:rsid w:val="005D5553"/>
    <w:rsid w:val="005D560A"/>
    <w:rsid w:val="005D5BDC"/>
    <w:rsid w:val="005D5DDB"/>
    <w:rsid w:val="005D60BA"/>
    <w:rsid w:val="005D6364"/>
    <w:rsid w:val="005D642B"/>
    <w:rsid w:val="005D6696"/>
    <w:rsid w:val="005D6905"/>
    <w:rsid w:val="005D6BD1"/>
    <w:rsid w:val="005D6BDF"/>
    <w:rsid w:val="005D6E03"/>
    <w:rsid w:val="005D7184"/>
    <w:rsid w:val="005D7350"/>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2306"/>
    <w:rsid w:val="005E26F5"/>
    <w:rsid w:val="005E275E"/>
    <w:rsid w:val="005E2835"/>
    <w:rsid w:val="005E29F0"/>
    <w:rsid w:val="005E2DEF"/>
    <w:rsid w:val="005E31AE"/>
    <w:rsid w:val="005E32E4"/>
    <w:rsid w:val="005E37CF"/>
    <w:rsid w:val="005E37FD"/>
    <w:rsid w:val="005E3A23"/>
    <w:rsid w:val="005E3AE1"/>
    <w:rsid w:val="005E3B1C"/>
    <w:rsid w:val="005E3C39"/>
    <w:rsid w:val="005E3D23"/>
    <w:rsid w:val="005E3D7D"/>
    <w:rsid w:val="005E44EA"/>
    <w:rsid w:val="005E450C"/>
    <w:rsid w:val="005E4822"/>
    <w:rsid w:val="005E4872"/>
    <w:rsid w:val="005E4884"/>
    <w:rsid w:val="005E495D"/>
    <w:rsid w:val="005E4CCC"/>
    <w:rsid w:val="005E4DD4"/>
    <w:rsid w:val="005E4E15"/>
    <w:rsid w:val="005E51B0"/>
    <w:rsid w:val="005E51D4"/>
    <w:rsid w:val="005E521E"/>
    <w:rsid w:val="005E5504"/>
    <w:rsid w:val="005E5E67"/>
    <w:rsid w:val="005E6031"/>
    <w:rsid w:val="005E6304"/>
    <w:rsid w:val="005E6379"/>
    <w:rsid w:val="005E6592"/>
    <w:rsid w:val="005E6658"/>
    <w:rsid w:val="005E6A9E"/>
    <w:rsid w:val="005E75A5"/>
    <w:rsid w:val="005E7733"/>
    <w:rsid w:val="005E78B1"/>
    <w:rsid w:val="005E7C6F"/>
    <w:rsid w:val="005E7C7B"/>
    <w:rsid w:val="005E7CFD"/>
    <w:rsid w:val="005E7D03"/>
    <w:rsid w:val="005E7F05"/>
    <w:rsid w:val="005E7F6C"/>
    <w:rsid w:val="005F0202"/>
    <w:rsid w:val="005F03A3"/>
    <w:rsid w:val="005F05E6"/>
    <w:rsid w:val="005F0672"/>
    <w:rsid w:val="005F070A"/>
    <w:rsid w:val="005F08D0"/>
    <w:rsid w:val="005F0941"/>
    <w:rsid w:val="005F0B89"/>
    <w:rsid w:val="005F0C85"/>
    <w:rsid w:val="005F0C9E"/>
    <w:rsid w:val="005F0DC5"/>
    <w:rsid w:val="005F1183"/>
    <w:rsid w:val="005F11D1"/>
    <w:rsid w:val="005F17E9"/>
    <w:rsid w:val="005F1A52"/>
    <w:rsid w:val="005F1AB1"/>
    <w:rsid w:val="005F1AC1"/>
    <w:rsid w:val="005F1BE1"/>
    <w:rsid w:val="005F1FF2"/>
    <w:rsid w:val="005F20CD"/>
    <w:rsid w:val="005F2389"/>
    <w:rsid w:val="005F2427"/>
    <w:rsid w:val="005F2447"/>
    <w:rsid w:val="005F2479"/>
    <w:rsid w:val="005F257C"/>
    <w:rsid w:val="005F282A"/>
    <w:rsid w:val="005F28C3"/>
    <w:rsid w:val="005F2B6F"/>
    <w:rsid w:val="005F2E27"/>
    <w:rsid w:val="005F3383"/>
    <w:rsid w:val="005F3479"/>
    <w:rsid w:val="005F3D45"/>
    <w:rsid w:val="005F40CA"/>
    <w:rsid w:val="005F43B7"/>
    <w:rsid w:val="005F446D"/>
    <w:rsid w:val="005F4CD0"/>
    <w:rsid w:val="005F4DDE"/>
    <w:rsid w:val="005F51F2"/>
    <w:rsid w:val="005F5BE5"/>
    <w:rsid w:val="005F5D73"/>
    <w:rsid w:val="005F5D86"/>
    <w:rsid w:val="005F5F2B"/>
    <w:rsid w:val="005F5F4C"/>
    <w:rsid w:val="005F615F"/>
    <w:rsid w:val="005F62A7"/>
    <w:rsid w:val="005F6428"/>
    <w:rsid w:val="005F6550"/>
    <w:rsid w:val="005F7044"/>
    <w:rsid w:val="005F716D"/>
    <w:rsid w:val="005F788E"/>
    <w:rsid w:val="005F78D6"/>
    <w:rsid w:val="005F7E24"/>
    <w:rsid w:val="00600273"/>
    <w:rsid w:val="006003A6"/>
    <w:rsid w:val="006006F3"/>
    <w:rsid w:val="00600D7D"/>
    <w:rsid w:val="00600E86"/>
    <w:rsid w:val="00601201"/>
    <w:rsid w:val="0060123A"/>
    <w:rsid w:val="00601692"/>
    <w:rsid w:val="006016BF"/>
    <w:rsid w:val="006017E1"/>
    <w:rsid w:val="0060182B"/>
    <w:rsid w:val="00601935"/>
    <w:rsid w:val="00601AF2"/>
    <w:rsid w:val="00601BC5"/>
    <w:rsid w:val="00601BE4"/>
    <w:rsid w:val="00601E4B"/>
    <w:rsid w:val="00601FFA"/>
    <w:rsid w:val="00602124"/>
    <w:rsid w:val="00602445"/>
    <w:rsid w:val="00602488"/>
    <w:rsid w:val="00602615"/>
    <w:rsid w:val="00602853"/>
    <w:rsid w:val="0060289B"/>
    <w:rsid w:val="00602939"/>
    <w:rsid w:val="00602E40"/>
    <w:rsid w:val="00603209"/>
    <w:rsid w:val="006033BF"/>
    <w:rsid w:val="006036E8"/>
    <w:rsid w:val="00603785"/>
    <w:rsid w:val="006037A8"/>
    <w:rsid w:val="00603873"/>
    <w:rsid w:val="00603A5E"/>
    <w:rsid w:val="00603A82"/>
    <w:rsid w:val="00603AB4"/>
    <w:rsid w:val="00603C7E"/>
    <w:rsid w:val="006040AD"/>
    <w:rsid w:val="006040D5"/>
    <w:rsid w:val="00604249"/>
    <w:rsid w:val="006043ED"/>
    <w:rsid w:val="006047DE"/>
    <w:rsid w:val="00604A93"/>
    <w:rsid w:val="00604B85"/>
    <w:rsid w:val="00604F38"/>
    <w:rsid w:val="00604FA9"/>
    <w:rsid w:val="00605406"/>
    <w:rsid w:val="00605744"/>
    <w:rsid w:val="0060576D"/>
    <w:rsid w:val="006057F4"/>
    <w:rsid w:val="0060597E"/>
    <w:rsid w:val="00605B01"/>
    <w:rsid w:val="00605B82"/>
    <w:rsid w:val="00605D29"/>
    <w:rsid w:val="0060658E"/>
    <w:rsid w:val="006067D7"/>
    <w:rsid w:val="00606809"/>
    <w:rsid w:val="006068EB"/>
    <w:rsid w:val="00606ABF"/>
    <w:rsid w:val="00606B34"/>
    <w:rsid w:val="00606C4A"/>
    <w:rsid w:val="00606CB6"/>
    <w:rsid w:val="00606CB9"/>
    <w:rsid w:val="00606DEB"/>
    <w:rsid w:val="006070C1"/>
    <w:rsid w:val="006072C7"/>
    <w:rsid w:val="006072CC"/>
    <w:rsid w:val="006072D2"/>
    <w:rsid w:val="0060754F"/>
    <w:rsid w:val="006078D0"/>
    <w:rsid w:val="006078D6"/>
    <w:rsid w:val="00607966"/>
    <w:rsid w:val="00607A44"/>
    <w:rsid w:val="00607A50"/>
    <w:rsid w:val="00607F47"/>
    <w:rsid w:val="0061028A"/>
    <w:rsid w:val="00610483"/>
    <w:rsid w:val="00610D78"/>
    <w:rsid w:val="006116A3"/>
    <w:rsid w:val="00611EDE"/>
    <w:rsid w:val="00611F60"/>
    <w:rsid w:val="00612208"/>
    <w:rsid w:val="006124B7"/>
    <w:rsid w:val="00612A13"/>
    <w:rsid w:val="00612AC1"/>
    <w:rsid w:val="00612E19"/>
    <w:rsid w:val="00612ED0"/>
    <w:rsid w:val="00613057"/>
    <w:rsid w:val="006130A7"/>
    <w:rsid w:val="00613191"/>
    <w:rsid w:val="0061328E"/>
    <w:rsid w:val="00613461"/>
    <w:rsid w:val="00613498"/>
    <w:rsid w:val="0061352C"/>
    <w:rsid w:val="006137CE"/>
    <w:rsid w:val="00613AF5"/>
    <w:rsid w:val="006142FF"/>
    <w:rsid w:val="00614561"/>
    <w:rsid w:val="006147AD"/>
    <w:rsid w:val="00615263"/>
    <w:rsid w:val="006152D7"/>
    <w:rsid w:val="006153D2"/>
    <w:rsid w:val="00615EB5"/>
    <w:rsid w:val="00615EED"/>
    <w:rsid w:val="00615FCC"/>
    <w:rsid w:val="00616378"/>
    <w:rsid w:val="0061652A"/>
    <w:rsid w:val="00616548"/>
    <w:rsid w:val="0061660F"/>
    <w:rsid w:val="0061697F"/>
    <w:rsid w:val="00616A5B"/>
    <w:rsid w:val="00616ABD"/>
    <w:rsid w:val="0061700E"/>
    <w:rsid w:val="006172CE"/>
    <w:rsid w:val="0061733E"/>
    <w:rsid w:val="00617446"/>
    <w:rsid w:val="006175DC"/>
    <w:rsid w:val="0061761C"/>
    <w:rsid w:val="006176B3"/>
    <w:rsid w:val="006179DB"/>
    <w:rsid w:val="00617B33"/>
    <w:rsid w:val="00617B78"/>
    <w:rsid w:val="00617CAF"/>
    <w:rsid w:val="00617D50"/>
    <w:rsid w:val="00617D6F"/>
    <w:rsid w:val="0062040D"/>
    <w:rsid w:val="0062046F"/>
    <w:rsid w:val="006206D9"/>
    <w:rsid w:val="006206F1"/>
    <w:rsid w:val="00620819"/>
    <w:rsid w:val="0062084E"/>
    <w:rsid w:val="00620905"/>
    <w:rsid w:val="0062096F"/>
    <w:rsid w:val="00620EE1"/>
    <w:rsid w:val="006210DA"/>
    <w:rsid w:val="0062159C"/>
    <w:rsid w:val="00621732"/>
    <w:rsid w:val="00621C4B"/>
    <w:rsid w:val="00621E11"/>
    <w:rsid w:val="006220EF"/>
    <w:rsid w:val="006223EB"/>
    <w:rsid w:val="00622BFB"/>
    <w:rsid w:val="00622DB3"/>
    <w:rsid w:val="00623255"/>
    <w:rsid w:val="00623297"/>
    <w:rsid w:val="00623A3B"/>
    <w:rsid w:val="00623B34"/>
    <w:rsid w:val="00623BB7"/>
    <w:rsid w:val="00624430"/>
    <w:rsid w:val="0062479A"/>
    <w:rsid w:val="006248FD"/>
    <w:rsid w:val="00624DF0"/>
    <w:rsid w:val="00624F5E"/>
    <w:rsid w:val="00625099"/>
    <w:rsid w:val="006251D0"/>
    <w:rsid w:val="00625368"/>
    <w:rsid w:val="00625889"/>
    <w:rsid w:val="006262AF"/>
    <w:rsid w:val="0062631E"/>
    <w:rsid w:val="006264CC"/>
    <w:rsid w:val="006268C5"/>
    <w:rsid w:val="00626AB2"/>
    <w:rsid w:val="00626AE9"/>
    <w:rsid w:val="00626B99"/>
    <w:rsid w:val="00626C91"/>
    <w:rsid w:val="00626D42"/>
    <w:rsid w:val="00626E95"/>
    <w:rsid w:val="00626F1D"/>
    <w:rsid w:val="00627008"/>
    <w:rsid w:val="00627086"/>
    <w:rsid w:val="00627497"/>
    <w:rsid w:val="0062774A"/>
    <w:rsid w:val="006278D4"/>
    <w:rsid w:val="00627BCE"/>
    <w:rsid w:val="00627BE4"/>
    <w:rsid w:val="00627F0F"/>
    <w:rsid w:val="00630039"/>
    <w:rsid w:val="00630043"/>
    <w:rsid w:val="00630208"/>
    <w:rsid w:val="0063039E"/>
    <w:rsid w:val="00630A6C"/>
    <w:rsid w:val="00630BE1"/>
    <w:rsid w:val="00630F3B"/>
    <w:rsid w:val="006312F7"/>
    <w:rsid w:val="0063194E"/>
    <w:rsid w:val="00631BB5"/>
    <w:rsid w:val="00631DA7"/>
    <w:rsid w:val="00631E2A"/>
    <w:rsid w:val="00631E60"/>
    <w:rsid w:val="0063230A"/>
    <w:rsid w:val="006324BF"/>
    <w:rsid w:val="0063251F"/>
    <w:rsid w:val="006325C2"/>
    <w:rsid w:val="0063262D"/>
    <w:rsid w:val="006329A6"/>
    <w:rsid w:val="00632A54"/>
    <w:rsid w:val="00632B40"/>
    <w:rsid w:val="00632C70"/>
    <w:rsid w:val="00632D8B"/>
    <w:rsid w:val="006331AE"/>
    <w:rsid w:val="006334A6"/>
    <w:rsid w:val="00633783"/>
    <w:rsid w:val="006339B5"/>
    <w:rsid w:val="00633AA9"/>
    <w:rsid w:val="00633B1C"/>
    <w:rsid w:val="00633C0A"/>
    <w:rsid w:val="00634167"/>
    <w:rsid w:val="00634389"/>
    <w:rsid w:val="00634487"/>
    <w:rsid w:val="006344EE"/>
    <w:rsid w:val="00634580"/>
    <w:rsid w:val="006346F1"/>
    <w:rsid w:val="006350C7"/>
    <w:rsid w:val="006351F5"/>
    <w:rsid w:val="006355F0"/>
    <w:rsid w:val="0063581E"/>
    <w:rsid w:val="006359F0"/>
    <w:rsid w:val="00635B89"/>
    <w:rsid w:val="00635C3B"/>
    <w:rsid w:val="00635D69"/>
    <w:rsid w:val="00635F13"/>
    <w:rsid w:val="006360E8"/>
    <w:rsid w:val="00636225"/>
    <w:rsid w:val="0063624E"/>
    <w:rsid w:val="006365BE"/>
    <w:rsid w:val="00636776"/>
    <w:rsid w:val="006367A1"/>
    <w:rsid w:val="00636801"/>
    <w:rsid w:val="00636AB7"/>
    <w:rsid w:val="00636B22"/>
    <w:rsid w:val="00636CF0"/>
    <w:rsid w:val="00637197"/>
    <w:rsid w:val="0063744B"/>
    <w:rsid w:val="006374D8"/>
    <w:rsid w:val="0063758B"/>
    <w:rsid w:val="00637A04"/>
    <w:rsid w:val="00637B7F"/>
    <w:rsid w:val="00637C79"/>
    <w:rsid w:val="00637F94"/>
    <w:rsid w:val="0064000F"/>
    <w:rsid w:val="00640183"/>
    <w:rsid w:val="006405F6"/>
    <w:rsid w:val="00640818"/>
    <w:rsid w:val="006408D4"/>
    <w:rsid w:val="00640F6C"/>
    <w:rsid w:val="00640F9D"/>
    <w:rsid w:val="0064124C"/>
    <w:rsid w:val="0064159F"/>
    <w:rsid w:val="00641772"/>
    <w:rsid w:val="006417CE"/>
    <w:rsid w:val="006418DD"/>
    <w:rsid w:val="006419C7"/>
    <w:rsid w:val="006420AD"/>
    <w:rsid w:val="006425A3"/>
    <w:rsid w:val="006428C3"/>
    <w:rsid w:val="00642979"/>
    <w:rsid w:val="00642DF5"/>
    <w:rsid w:val="00642E27"/>
    <w:rsid w:val="00642FA3"/>
    <w:rsid w:val="006436F7"/>
    <w:rsid w:val="0064381A"/>
    <w:rsid w:val="006439ED"/>
    <w:rsid w:val="0064441B"/>
    <w:rsid w:val="00644B49"/>
    <w:rsid w:val="0064532D"/>
    <w:rsid w:val="0064539E"/>
    <w:rsid w:val="006458B0"/>
    <w:rsid w:val="006458DF"/>
    <w:rsid w:val="00645AB9"/>
    <w:rsid w:val="006460B9"/>
    <w:rsid w:val="006460D3"/>
    <w:rsid w:val="00646451"/>
    <w:rsid w:val="00646706"/>
    <w:rsid w:val="006467CE"/>
    <w:rsid w:val="006469F9"/>
    <w:rsid w:val="00646ED8"/>
    <w:rsid w:val="006470B7"/>
    <w:rsid w:val="0064749E"/>
    <w:rsid w:val="006477B5"/>
    <w:rsid w:val="00647ADC"/>
    <w:rsid w:val="00647E75"/>
    <w:rsid w:val="0065055D"/>
    <w:rsid w:val="006506EB"/>
    <w:rsid w:val="00650CA9"/>
    <w:rsid w:val="00650CC3"/>
    <w:rsid w:val="006511C7"/>
    <w:rsid w:val="0065129E"/>
    <w:rsid w:val="00651514"/>
    <w:rsid w:val="00651819"/>
    <w:rsid w:val="00651884"/>
    <w:rsid w:val="00651949"/>
    <w:rsid w:val="00651C0E"/>
    <w:rsid w:val="00651D9C"/>
    <w:rsid w:val="00651E0D"/>
    <w:rsid w:val="0065269F"/>
    <w:rsid w:val="00652831"/>
    <w:rsid w:val="006529A5"/>
    <w:rsid w:val="00652BA0"/>
    <w:rsid w:val="00652C8D"/>
    <w:rsid w:val="0065306F"/>
    <w:rsid w:val="0065344B"/>
    <w:rsid w:val="00653484"/>
    <w:rsid w:val="0065350A"/>
    <w:rsid w:val="00653600"/>
    <w:rsid w:val="006536EF"/>
    <w:rsid w:val="00653792"/>
    <w:rsid w:val="006537ED"/>
    <w:rsid w:val="00653ADB"/>
    <w:rsid w:val="0065409F"/>
    <w:rsid w:val="006542CE"/>
    <w:rsid w:val="00654545"/>
    <w:rsid w:val="006548CC"/>
    <w:rsid w:val="00654A22"/>
    <w:rsid w:val="00654D51"/>
    <w:rsid w:val="00654FAD"/>
    <w:rsid w:val="006551A8"/>
    <w:rsid w:val="00655628"/>
    <w:rsid w:val="00655A62"/>
    <w:rsid w:val="00655A9C"/>
    <w:rsid w:val="00656131"/>
    <w:rsid w:val="006568B3"/>
    <w:rsid w:val="00656DA3"/>
    <w:rsid w:val="00656DB0"/>
    <w:rsid w:val="00656EA7"/>
    <w:rsid w:val="00656F8F"/>
    <w:rsid w:val="0065712A"/>
    <w:rsid w:val="00657137"/>
    <w:rsid w:val="00657286"/>
    <w:rsid w:val="006577F4"/>
    <w:rsid w:val="0065782B"/>
    <w:rsid w:val="00657853"/>
    <w:rsid w:val="0065785D"/>
    <w:rsid w:val="0065792D"/>
    <w:rsid w:val="00657D7C"/>
    <w:rsid w:val="00657E5C"/>
    <w:rsid w:val="00660097"/>
    <w:rsid w:val="00660155"/>
    <w:rsid w:val="00660235"/>
    <w:rsid w:val="0066041F"/>
    <w:rsid w:val="006604E1"/>
    <w:rsid w:val="006607C2"/>
    <w:rsid w:val="00660983"/>
    <w:rsid w:val="00660A05"/>
    <w:rsid w:val="006610C7"/>
    <w:rsid w:val="006610C8"/>
    <w:rsid w:val="006611BE"/>
    <w:rsid w:val="00661255"/>
    <w:rsid w:val="006617C4"/>
    <w:rsid w:val="0066191D"/>
    <w:rsid w:val="00661AC4"/>
    <w:rsid w:val="0066237E"/>
    <w:rsid w:val="00662D6C"/>
    <w:rsid w:val="00662F67"/>
    <w:rsid w:val="006630E1"/>
    <w:rsid w:val="0066389E"/>
    <w:rsid w:val="00663CA6"/>
    <w:rsid w:val="00663EAB"/>
    <w:rsid w:val="00663FCA"/>
    <w:rsid w:val="006640ED"/>
    <w:rsid w:val="00664140"/>
    <w:rsid w:val="00664481"/>
    <w:rsid w:val="0066458B"/>
    <w:rsid w:val="0066478A"/>
    <w:rsid w:val="00664B51"/>
    <w:rsid w:val="00664C28"/>
    <w:rsid w:val="00664CB5"/>
    <w:rsid w:val="006650BF"/>
    <w:rsid w:val="00665366"/>
    <w:rsid w:val="0066536E"/>
    <w:rsid w:val="006657ED"/>
    <w:rsid w:val="00665910"/>
    <w:rsid w:val="00665ABC"/>
    <w:rsid w:val="00665ED5"/>
    <w:rsid w:val="006660F5"/>
    <w:rsid w:val="0066619D"/>
    <w:rsid w:val="00666349"/>
    <w:rsid w:val="006664A2"/>
    <w:rsid w:val="0066695E"/>
    <w:rsid w:val="00666AD9"/>
    <w:rsid w:val="00666C19"/>
    <w:rsid w:val="00666F04"/>
    <w:rsid w:val="00666FF6"/>
    <w:rsid w:val="006670AD"/>
    <w:rsid w:val="00667296"/>
    <w:rsid w:val="0066770E"/>
    <w:rsid w:val="0066784E"/>
    <w:rsid w:val="006678AD"/>
    <w:rsid w:val="00667D73"/>
    <w:rsid w:val="00667DB8"/>
    <w:rsid w:val="00667EA5"/>
    <w:rsid w:val="00667FE3"/>
    <w:rsid w:val="00670005"/>
    <w:rsid w:val="00670046"/>
    <w:rsid w:val="006702A7"/>
    <w:rsid w:val="0067048E"/>
    <w:rsid w:val="0067052E"/>
    <w:rsid w:val="006705CC"/>
    <w:rsid w:val="00670CAB"/>
    <w:rsid w:val="006712F0"/>
    <w:rsid w:val="006713A1"/>
    <w:rsid w:val="006715EC"/>
    <w:rsid w:val="006718E8"/>
    <w:rsid w:val="00671BE3"/>
    <w:rsid w:val="00671D33"/>
    <w:rsid w:val="00672312"/>
    <w:rsid w:val="0067244E"/>
    <w:rsid w:val="00672554"/>
    <w:rsid w:val="006726D5"/>
    <w:rsid w:val="00672CBE"/>
    <w:rsid w:val="00672DA0"/>
    <w:rsid w:val="0067301B"/>
    <w:rsid w:val="0067315E"/>
    <w:rsid w:val="0067328F"/>
    <w:rsid w:val="006733C6"/>
    <w:rsid w:val="00673458"/>
    <w:rsid w:val="00673459"/>
    <w:rsid w:val="006735B9"/>
    <w:rsid w:val="00673754"/>
    <w:rsid w:val="006739DF"/>
    <w:rsid w:val="00673D1B"/>
    <w:rsid w:val="00674035"/>
    <w:rsid w:val="0067404F"/>
    <w:rsid w:val="006742D1"/>
    <w:rsid w:val="0067475B"/>
    <w:rsid w:val="0067479E"/>
    <w:rsid w:val="006748F1"/>
    <w:rsid w:val="00674B2F"/>
    <w:rsid w:val="00674BC5"/>
    <w:rsid w:val="00674BC8"/>
    <w:rsid w:val="00674F40"/>
    <w:rsid w:val="00675229"/>
    <w:rsid w:val="0067549A"/>
    <w:rsid w:val="0067586E"/>
    <w:rsid w:val="00675928"/>
    <w:rsid w:val="00675D36"/>
    <w:rsid w:val="00675E48"/>
    <w:rsid w:val="00675E7B"/>
    <w:rsid w:val="00676169"/>
    <w:rsid w:val="00676199"/>
    <w:rsid w:val="006761AF"/>
    <w:rsid w:val="00676457"/>
    <w:rsid w:val="006766F1"/>
    <w:rsid w:val="00676790"/>
    <w:rsid w:val="00676944"/>
    <w:rsid w:val="00676A3A"/>
    <w:rsid w:val="00676ABD"/>
    <w:rsid w:val="00676DAA"/>
    <w:rsid w:val="00676EFB"/>
    <w:rsid w:val="006775FF"/>
    <w:rsid w:val="006777A2"/>
    <w:rsid w:val="00677898"/>
    <w:rsid w:val="00677B18"/>
    <w:rsid w:val="00677CEA"/>
    <w:rsid w:val="00677ED5"/>
    <w:rsid w:val="00680288"/>
    <w:rsid w:val="006802EC"/>
    <w:rsid w:val="0068031E"/>
    <w:rsid w:val="00680809"/>
    <w:rsid w:val="00680A0B"/>
    <w:rsid w:val="00680A51"/>
    <w:rsid w:val="00680F70"/>
    <w:rsid w:val="00681000"/>
    <w:rsid w:val="006810E5"/>
    <w:rsid w:val="0068125C"/>
    <w:rsid w:val="006812FA"/>
    <w:rsid w:val="0068166B"/>
    <w:rsid w:val="00681B98"/>
    <w:rsid w:val="00681C12"/>
    <w:rsid w:val="00681C37"/>
    <w:rsid w:val="00681D64"/>
    <w:rsid w:val="00681D75"/>
    <w:rsid w:val="00681E43"/>
    <w:rsid w:val="0068230B"/>
    <w:rsid w:val="00682B77"/>
    <w:rsid w:val="00682DCB"/>
    <w:rsid w:val="00682F95"/>
    <w:rsid w:val="006830F5"/>
    <w:rsid w:val="0068354C"/>
    <w:rsid w:val="0068399E"/>
    <w:rsid w:val="00683B6D"/>
    <w:rsid w:val="00683BFA"/>
    <w:rsid w:val="00683C2A"/>
    <w:rsid w:val="00684076"/>
    <w:rsid w:val="00684462"/>
    <w:rsid w:val="00684B5E"/>
    <w:rsid w:val="00684C1D"/>
    <w:rsid w:val="00684D98"/>
    <w:rsid w:val="0068549F"/>
    <w:rsid w:val="006855C8"/>
    <w:rsid w:val="00685936"/>
    <w:rsid w:val="00685D0A"/>
    <w:rsid w:val="00685D9C"/>
    <w:rsid w:val="0068617D"/>
    <w:rsid w:val="006861C0"/>
    <w:rsid w:val="00686219"/>
    <w:rsid w:val="0068636B"/>
    <w:rsid w:val="006863EF"/>
    <w:rsid w:val="006865D7"/>
    <w:rsid w:val="00686723"/>
    <w:rsid w:val="006867AF"/>
    <w:rsid w:val="00686D71"/>
    <w:rsid w:val="00686FF5"/>
    <w:rsid w:val="00687017"/>
    <w:rsid w:val="006872E6"/>
    <w:rsid w:val="00687487"/>
    <w:rsid w:val="00687535"/>
    <w:rsid w:val="0068798A"/>
    <w:rsid w:val="00687D61"/>
    <w:rsid w:val="00687E00"/>
    <w:rsid w:val="00687EF3"/>
    <w:rsid w:val="00687F56"/>
    <w:rsid w:val="00690106"/>
    <w:rsid w:val="00690605"/>
    <w:rsid w:val="0069060C"/>
    <w:rsid w:val="00690651"/>
    <w:rsid w:val="00690936"/>
    <w:rsid w:val="00690966"/>
    <w:rsid w:val="00690A6A"/>
    <w:rsid w:val="00690C6B"/>
    <w:rsid w:val="00690FC6"/>
    <w:rsid w:val="006911A8"/>
    <w:rsid w:val="006916CF"/>
    <w:rsid w:val="00691732"/>
    <w:rsid w:val="00691802"/>
    <w:rsid w:val="00691926"/>
    <w:rsid w:val="00691D93"/>
    <w:rsid w:val="00691EC9"/>
    <w:rsid w:val="00691F18"/>
    <w:rsid w:val="00691F92"/>
    <w:rsid w:val="00692560"/>
    <w:rsid w:val="0069297C"/>
    <w:rsid w:val="00692C27"/>
    <w:rsid w:val="00692C8B"/>
    <w:rsid w:val="00693583"/>
    <w:rsid w:val="006937CC"/>
    <w:rsid w:val="00693B08"/>
    <w:rsid w:val="00693DED"/>
    <w:rsid w:val="0069428E"/>
    <w:rsid w:val="00694475"/>
    <w:rsid w:val="006948C3"/>
    <w:rsid w:val="00694C76"/>
    <w:rsid w:val="00694D5E"/>
    <w:rsid w:val="00694E2B"/>
    <w:rsid w:val="00694E70"/>
    <w:rsid w:val="006951B2"/>
    <w:rsid w:val="0069541E"/>
    <w:rsid w:val="00695469"/>
    <w:rsid w:val="00695605"/>
    <w:rsid w:val="006956A6"/>
    <w:rsid w:val="00695A2B"/>
    <w:rsid w:val="00695CE6"/>
    <w:rsid w:val="00695FAA"/>
    <w:rsid w:val="006963FB"/>
    <w:rsid w:val="00696606"/>
    <w:rsid w:val="00696724"/>
    <w:rsid w:val="006974EE"/>
    <w:rsid w:val="006977F6"/>
    <w:rsid w:val="006978C8"/>
    <w:rsid w:val="006978CD"/>
    <w:rsid w:val="00697AD0"/>
    <w:rsid w:val="006A04CD"/>
    <w:rsid w:val="006A056E"/>
    <w:rsid w:val="006A0BED"/>
    <w:rsid w:val="006A10E0"/>
    <w:rsid w:val="006A1217"/>
    <w:rsid w:val="006A1230"/>
    <w:rsid w:val="006A1840"/>
    <w:rsid w:val="006A1946"/>
    <w:rsid w:val="006A1B4E"/>
    <w:rsid w:val="006A1CCF"/>
    <w:rsid w:val="006A1DED"/>
    <w:rsid w:val="006A1F3A"/>
    <w:rsid w:val="006A207F"/>
    <w:rsid w:val="006A2310"/>
    <w:rsid w:val="006A259F"/>
    <w:rsid w:val="006A264A"/>
    <w:rsid w:val="006A2A19"/>
    <w:rsid w:val="006A2BD1"/>
    <w:rsid w:val="006A2CBB"/>
    <w:rsid w:val="006A2DD8"/>
    <w:rsid w:val="006A2E0C"/>
    <w:rsid w:val="006A3076"/>
    <w:rsid w:val="006A3391"/>
    <w:rsid w:val="006A35E6"/>
    <w:rsid w:val="006A3663"/>
    <w:rsid w:val="006A3798"/>
    <w:rsid w:val="006A387D"/>
    <w:rsid w:val="006A3D58"/>
    <w:rsid w:val="006A3DF2"/>
    <w:rsid w:val="006A4101"/>
    <w:rsid w:val="006A433F"/>
    <w:rsid w:val="006A4355"/>
    <w:rsid w:val="006A45BB"/>
    <w:rsid w:val="006A497F"/>
    <w:rsid w:val="006A4B84"/>
    <w:rsid w:val="006A4CE4"/>
    <w:rsid w:val="006A4E17"/>
    <w:rsid w:val="006A5393"/>
    <w:rsid w:val="006A55AF"/>
    <w:rsid w:val="006A59A3"/>
    <w:rsid w:val="006A5A1E"/>
    <w:rsid w:val="006A5AAB"/>
    <w:rsid w:val="006A5B50"/>
    <w:rsid w:val="006A5DFB"/>
    <w:rsid w:val="006A5F9D"/>
    <w:rsid w:val="006A6164"/>
    <w:rsid w:val="006A61E8"/>
    <w:rsid w:val="006A6212"/>
    <w:rsid w:val="006A62D6"/>
    <w:rsid w:val="006A6573"/>
    <w:rsid w:val="006A660F"/>
    <w:rsid w:val="006A67FD"/>
    <w:rsid w:val="006A69F1"/>
    <w:rsid w:val="006A6A59"/>
    <w:rsid w:val="006A701F"/>
    <w:rsid w:val="006A75D4"/>
    <w:rsid w:val="006A7655"/>
    <w:rsid w:val="006A7BA6"/>
    <w:rsid w:val="006A7D00"/>
    <w:rsid w:val="006A7D82"/>
    <w:rsid w:val="006B0177"/>
    <w:rsid w:val="006B0256"/>
    <w:rsid w:val="006B02D4"/>
    <w:rsid w:val="006B065E"/>
    <w:rsid w:val="006B093C"/>
    <w:rsid w:val="006B0A0B"/>
    <w:rsid w:val="006B0B86"/>
    <w:rsid w:val="006B0C5B"/>
    <w:rsid w:val="006B0F2C"/>
    <w:rsid w:val="006B1271"/>
    <w:rsid w:val="006B1346"/>
    <w:rsid w:val="006B1448"/>
    <w:rsid w:val="006B150A"/>
    <w:rsid w:val="006B15BE"/>
    <w:rsid w:val="006B1647"/>
    <w:rsid w:val="006B1C3F"/>
    <w:rsid w:val="006B23BC"/>
    <w:rsid w:val="006B2419"/>
    <w:rsid w:val="006B2590"/>
    <w:rsid w:val="006B27ED"/>
    <w:rsid w:val="006B2951"/>
    <w:rsid w:val="006B2BAA"/>
    <w:rsid w:val="006B3009"/>
    <w:rsid w:val="006B32F0"/>
    <w:rsid w:val="006B3903"/>
    <w:rsid w:val="006B40D7"/>
    <w:rsid w:val="006B418B"/>
    <w:rsid w:val="006B41C6"/>
    <w:rsid w:val="006B421E"/>
    <w:rsid w:val="006B4405"/>
    <w:rsid w:val="006B4435"/>
    <w:rsid w:val="006B448D"/>
    <w:rsid w:val="006B463F"/>
    <w:rsid w:val="006B4978"/>
    <w:rsid w:val="006B4EF3"/>
    <w:rsid w:val="006B4FCF"/>
    <w:rsid w:val="006B517A"/>
    <w:rsid w:val="006B5289"/>
    <w:rsid w:val="006B54BB"/>
    <w:rsid w:val="006B54BD"/>
    <w:rsid w:val="006B57D6"/>
    <w:rsid w:val="006B58E1"/>
    <w:rsid w:val="006B60DE"/>
    <w:rsid w:val="006B60FA"/>
    <w:rsid w:val="006B6244"/>
    <w:rsid w:val="006B672D"/>
    <w:rsid w:val="006B6837"/>
    <w:rsid w:val="006B6989"/>
    <w:rsid w:val="006B6A84"/>
    <w:rsid w:val="006B6E06"/>
    <w:rsid w:val="006B6F64"/>
    <w:rsid w:val="006B71F3"/>
    <w:rsid w:val="006B7288"/>
    <w:rsid w:val="006B73D1"/>
    <w:rsid w:val="006B75B7"/>
    <w:rsid w:val="006B76C3"/>
    <w:rsid w:val="006B785E"/>
    <w:rsid w:val="006B7C33"/>
    <w:rsid w:val="006B7D3A"/>
    <w:rsid w:val="006B7F79"/>
    <w:rsid w:val="006C00F8"/>
    <w:rsid w:val="006C02C6"/>
    <w:rsid w:val="006C0412"/>
    <w:rsid w:val="006C0780"/>
    <w:rsid w:val="006C0EB2"/>
    <w:rsid w:val="006C0EBF"/>
    <w:rsid w:val="006C0FF2"/>
    <w:rsid w:val="006C1008"/>
    <w:rsid w:val="006C1134"/>
    <w:rsid w:val="006C138E"/>
    <w:rsid w:val="006C14BE"/>
    <w:rsid w:val="006C18DB"/>
    <w:rsid w:val="006C1CCD"/>
    <w:rsid w:val="006C211E"/>
    <w:rsid w:val="006C226F"/>
    <w:rsid w:val="006C242D"/>
    <w:rsid w:val="006C271A"/>
    <w:rsid w:val="006C2982"/>
    <w:rsid w:val="006C2A11"/>
    <w:rsid w:val="006C2BC6"/>
    <w:rsid w:val="006C2BD5"/>
    <w:rsid w:val="006C2D6E"/>
    <w:rsid w:val="006C2F2D"/>
    <w:rsid w:val="006C3217"/>
    <w:rsid w:val="006C34C4"/>
    <w:rsid w:val="006C35A6"/>
    <w:rsid w:val="006C3A16"/>
    <w:rsid w:val="006C3AA3"/>
    <w:rsid w:val="006C3FE3"/>
    <w:rsid w:val="006C41A3"/>
    <w:rsid w:val="006C49B9"/>
    <w:rsid w:val="006C49DD"/>
    <w:rsid w:val="006C4A1D"/>
    <w:rsid w:val="006C4D33"/>
    <w:rsid w:val="006C4FE9"/>
    <w:rsid w:val="006C5049"/>
    <w:rsid w:val="006C5342"/>
    <w:rsid w:val="006C5503"/>
    <w:rsid w:val="006C59AD"/>
    <w:rsid w:val="006C5BB8"/>
    <w:rsid w:val="006C5E31"/>
    <w:rsid w:val="006C5EEF"/>
    <w:rsid w:val="006C61C6"/>
    <w:rsid w:val="006C64C7"/>
    <w:rsid w:val="006C65B9"/>
    <w:rsid w:val="006C7209"/>
    <w:rsid w:val="006C7283"/>
    <w:rsid w:val="006C72DE"/>
    <w:rsid w:val="006C7347"/>
    <w:rsid w:val="006C7B4D"/>
    <w:rsid w:val="006C7D8B"/>
    <w:rsid w:val="006D0225"/>
    <w:rsid w:val="006D0B06"/>
    <w:rsid w:val="006D10D9"/>
    <w:rsid w:val="006D1125"/>
    <w:rsid w:val="006D12D7"/>
    <w:rsid w:val="006D1589"/>
    <w:rsid w:val="006D15CF"/>
    <w:rsid w:val="006D168E"/>
    <w:rsid w:val="006D1E9A"/>
    <w:rsid w:val="006D2674"/>
    <w:rsid w:val="006D2733"/>
    <w:rsid w:val="006D2794"/>
    <w:rsid w:val="006D2973"/>
    <w:rsid w:val="006D2A3A"/>
    <w:rsid w:val="006D2F7C"/>
    <w:rsid w:val="006D2FFE"/>
    <w:rsid w:val="006D3186"/>
    <w:rsid w:val="006D3534"/>
    <w:rsid w:val="006D37EC"/>
    <w:rsid w:val="006D3A7B"/>
    <w:rsid w:val="006D3B50"/>
    <w:rsid w:val="006D402D"/>
    <w:rsid w:val="006D4209"/>
    <w:rsid w:val="006D42C6"/>
    <w:rsid w:val="006D4324"/>
    <w:rsid w:val="006D443F"/>
    <w:rsid w:val="006D448C"/>
    <w:rsid w:val="006D456C"/>
    <w:rsid w:val="006D460A"/>
    <w:rsid w:val="006D471C"/>
    <w:rsid w:val="006D4CA2"/>
    <w:rsid w:val="006D5105"/>
    <w:rsid w:val="006D5134"/>
    <w:rsid w:val="006D52F5"/>
    <w:rsid w:val="006D574C"/>
    <w:rsid w:val="006D5992"/>
    <w:rsid w:val="006D59AB"/>
    <w:rsid w:val="006D5A3D"/>
    <w:rsid w:val="006D5B6C"/>
    <w:rsid w:val="006D5D45"/>
    <w:rsid w:val="006D5D82"/>
    <w:rsid w:val="006D5E51"/>
    <w:rsid w:val="006D6061"/>
    <w:rsid w:val="006D60E6"/>
    <w:rsid w:val="006D62C5"/>
    <w:rsid w:val="006D6444"/>
    <w:rsid w:val="006D6C2E"/>
    <w:rsid w:val="006D6CF9"/>
    <w:rsid w:val="006D6D48"/>
    <w:rsid w:val="006D6F41"/>
    <w:rsid w:val="006D6FEE"/>
    <w:rsid w:val="006D72CE"/>
    <w:rsid w:val="006D79A8"/>
    <w:rsid w:val="006D7DD5"/>
    <w:rsid w:val="006D7E39"/>
    <w:rsid w:val="006E019C"/>
    <w:rsid w:val="006E0232"/>
    <w:rsid w:val="006E0275"/>
    <w:rsid w:val="006E0419"/>
    <w:rsid w:val="006E0815"/>
    <w:rsid w:val="006E094E"/>
    <w:rsid w:val="006E0968"/>
    <w:rsid w:val="006E09BE"/>
    <w:rsid w:val="006E0B9A"/>
    <w:rsid w:val="006E0CA3"/>
    <w:rsid w:val="006E1429"/>
    <w:rsid w:val="006E1875"/>
    <w:rsid w:val="006E1941"/>
    <w:rsid w:val="006E1A62"/>
    <w:rsid w:val="006E1B4C"/>
    <w:rsid w:val="006E1C35"/>
    <w:rsid w:val="006E1F12"/>
    <w:rsid w:val="006E204B"/>
    <w:rsid w:val="006E2251"/>
    <w:rsid w:val="006E297D"/>
    <w:rsid w:val="006E2B5F"/>
    <w:rsid w:val="006E2C01"/>
    <w:rsid w:val="006E2EF5"/>
    <w:rsid w:val="006E2FDF"/>
    <w:rsid w:val="006E3014"/>
    <w:rsid w:val="006E31A7"/>
    <w:rsid w:val="006E31CE"/>
    <w:rsid w:val="006E35DA"/>
    <w:rsid w:val="006E3698"/>
    <w:rsid w:val="006E3945"/>
    <w:rsid w:val="006E3A21"/>
    <w:rsid w:val="006E3ADD"/>
    <w:rsid w:val="006E3F9D"/>
    <w:rsid w:val="006E4037"/>
    <w:rsid w:val="006E42A7"/>
    <w:rsid w:val="006E4324"/>
    <w:rsid w:val="006E492A"/>
    <w:rsid w:val="006E494B"/>
    <w:rsid w:val="006E495B"/>
    <w:rsid w:val="006E5A0D"/>
    <w:rsid w:val="006E5EC2"/>
    <w:rsid w:val="006E6056"/>
    <w:rsid w:val="006E606F"/>
    <w:rsid w:val="006E69D9"/>
    <w:rsid w:val="006E6AA2"/>
    <w:rsid w:val="006E6BD1"/>
    <w:rsid w:val="006E6DA7"/>
    <w:rsid w:val="006E6E78"/>
    <w:rsid w:val="006E7465"/>
    <w:rsid w:val="006E7651"/>
    <w:rsid w:val="006E788A"/>
    <w:rsid w:val="006E79A0"/>
    <w:rsid w:val="006E7C5A"/>
    <w:rsid w:val="006F0273"/>
    <w:rsid w:val="006F057D"/>
    <w:rsid w:val="006F0BDB"/>
    <w:rsid w:val="006F1075"/>
    <w:rsid w:val="006F12BE"/>
    <w:rsid w:val="006F13A7"/>
    <w:rsid w:val="006F1531"/>
    <w:rsid w:val="006F1AD4"/>
    <w:rsid w:val="006F2111"/>
    <w:rsid w:val="006F229F"/>
    <w:rsid w:val="006F237E"/>
    <w:rsid w:val="006F23E7"/>
    <w:rsid w:val="006F24C9"/>
    <w:rsid w:val="006F27A1"/>
    <w:rsid w:val="006F27B1"/>
    <w:rsid w:val="006F29AC"/>
    <w:rsid w:val="006F2C7C"/>
    <w:rsid w:val="006F3293"/>
    <w:rsid w:val="006F356E"/>
    <w:rsid w:val="006F36B9"/>
    <w:rsid w:val="006F3937"/>
    <w:rsid w:val="006F3C5E"/>
    <w:rsid w:val="006F3EBA"/>
    <w:rsid w:val="006F4C67"/>
    <w:rsid w:val="006F4CF1"/>
    <w:rsid w:val="006F558F"/>
    <w:rsid w:val="006F6422"/>
    <w:rsid w:val="006F644F"/>
    <w:rsid w:val="006F67E8"/>
    <w:rsid w:val="006F7005"/>
    <w:rsid w:val="006F7712"/>
    <w:rsid w:val="006F781E"/>
    <w:rsid w:val="006F7848"/>
    <w:rsid w:val="006F78AA"/>
    <w:rsid w:val="006F78F6"/>
    <w:rsid w:val="006F7979"/>
    <w:rsid w:val="006F7B2E"/>
    <w:rsid w:val="00700013"/>
    <w:rsid w:val="0070040D"/>
    <w:rsid w:val="007004D6"/>
    <w:rsid w:val="007008B6"/>
    <w:rsid w:val="007009A4"/>
    <w:rsid w:val="00700D18"/>
    <w:rsid w:val="0070132D"/>
    <w:rsid w:val="00701571"/>
    <w:rsid w:val="0070174D"/>
    <w:rsid w:val="00701868"/>
    <w:rsid w:val="00701C59"/>
    <w:rsid w:val="00701DAA"/>
    <w:rsid w:val="0070231F"/>
    <w:rsid w:val="00702440"/>
    <w:rsid w:val="00702500"/>
    <w:rsid w:val="0070266F"/>
    <w:rsid w:val="007028FB"/>
    <w:rsid w:val="00702BE0"/>
    <w:rsid w:val="00702C1E"/>
    <w:rsid w:val="00702DCD"/>
    <w:rsid w:val="00702ED8"/>
    <w:rsid w:val="0070303F"/>
    <w:rsid w:val="00703103"/>
    <w:rsid w:val="007032E8"/>
    <w:rsid w:val="00703904"/>
    <w:rsid w:val="00703AF4"/>
    <w:rsid w:val="00703E78"/>
    <w:rsid w:val="007040BA"/>
    <w:rsid w:val="00704210"/>
    <w:rsid w:val="007045CF"/>
    <w:rsid w:val="007049D1"/>
    <w:rsid w:val="00704E8F"/>
    <w:rsid w:val="00704EEE"/>
    <w:rsid w:val="0070506F"/>
    <w:rsid w:val="00705446"/>
    <w:rsid w:val="00705605"/>
    <w:rsid w:val="007056B3"/>
    <w:rsid w:val="0070594B"/>
    <w:rsid w:val="00705B55"/>
    <w:rsid w:val="0070603C"/>
    <w:rsid w:val="007060D2"/>
    <w:rsid w:val="007064C6"/>
    <w:rsid w:val="00706588"/>
    <w:rsid w:val="00706B12"/>
    <w:rsid w:val="00706BDD"/>
    <w:rsid w:val="00707774"/>
    <w:rsid w:val="00707794"/>
    <w:rsid w:val="007077DB"/>
    <w:rsid w:val="00707877"/>
    <w:rsid w:val="0070796C"/>
    <w:rsid w:val="00707AD8"/>
    <w:rsid w:val="00707D5F"/>
    <w:rsid w:val="00707EB2"/>
    <w:rsid w:val="007107D5"/>
    <w:rsid w:val="00710AE6"/>
    <w:rsid w:val="00710B1C"/>
    <w:rsid w:val="00710BA2"/>
    <w:rsid w:val="00710E1E"/>
    <w:rsid w:val="0071131F"/>
    <w:rsid w:val="0071161C"/>
    <w:rsid w:val="007117FB"/>
    <w:rsid w:val="00711ACB"/>
    <w:rsid w:val="00711B21"/>
    <w:rsid w:val="00711EC1"/>
    <w:rsid w:val="00711F66"/>
    <w:rsid w:val="007120A6"/>
    <w:rsid w:val="0071211E"/>
    <w:rsid w:val="007123BF"/>
    <w:rsid w:val="007124C7"/>
    <w:rsid w:val="0071268C"/>
    <w:rsid w:val="0071271A"/>
    <w:rsid w:val="0071278E"/>
    <w:rsid w:val="007129B6"/>
    <w:rsid w:val="00712C1E"/>
    <w:rsid w:val="00712D5F"/>
    <w:rsid w:val="00712DF6"/>
    <w:rsid w:val="00712F7E"/>
    <w:rsid w:val="00712FB9"/>
    <w:rsid w:val="007130BA"/>
    <w:rsid w:val="007131BC"/>
    <w:rsid w:val="007131D6"/>
    <w:rsid w:val="00713339"/>
    <w:rsid w:val="00713407"/>
    <w:rsid w:val="00713508"/>
    <w:rsid w:val="00713EC4"/>
    <w:rsid w:val="0071467D"/>
    <w:rsid w:val="007146EA"/>
    <w:rsid w:val="00714C63"/>
    <w:rsid w:val="00714DE4"/>
    <w:rsid w:val="00715B20"/>
    <w:rsid w:val="00715D4E"/>
    <w:rsid w:val="00715E3A"/>
    <w:rsid w:val="0071628E"/>
    <w:rsid w:val="007162A4"/>
    <w:rsid w:val="00716568"/>
    <w:rsid w:val="0071673A"/>
    <w:rsid w:val="00716920"/>
    <w:rsid w:val="00716A3A"/>
    <w:rsid w:val="00716BA2"/>
    <w:rsid w:val="00716C3A"/>
    <w:rsid w:val="00716D55"/>
    <w:rsid w:val="00716EE7"/>
    <w:rsid w:val="007172CA"/>
    <w:rsid w:val="007174C0"/>
    <w:rsid w:val="00717602"/>
    <w:rsid w:val="00717B90"/>
    <w:rsid w:val="00717BBD"/>
    <w:rsid w:val="00717DBF"/>
    <w:rsid w:val="00720511"/>
    <w:rsid w:val="007205A8"/>
    <w:rsid w:val="007205C0"/>
    <w:rsid w:val="00720636"/>
    <w:rsid w:val="0072069B"/>
    <w:rsid w:val="0072102C"/>
    <w:rsid w:val="007212A2"/>
    <w:rsid w:val="007213B0"/>
    <w:rsid w:val="0072147D"/>
    <w:rsid w:val="007214AC"/>
    <w:rsid w:val="00721503"/>
    <w:rsid w:val="007217BB"/>
    <w:rsid w:val="007218B2"/>
    <w:rsid w:val="00721980"/>
    <w:rsid w:val="00721CD6"/>
    <w:rsid w:val="007220E5"/>
    <w:rsid w:val="0072210F"/>
    <w:rsid w:val="007224FA"/>
    <w:rsid w:val="007227DD"/>
    <w:rsid w:val="00723024"/>
    <w:rsid w:val="00723182"/>
    <w:rsid w:val="00723193"/>
    <w:rsid w:val="00723274"/>
    <w:rsid w:val="007237AB"/>
    <w:rsid w:val="007238ED"/>
    <w:rsid w:val="00723A04"/>
    <w:rsid w:val="00723DCB"/>
    <w:rsid w:val="00724290"/>
    <w:rsid w:val="0072438D"/>
    <w:rsid w:val="007244CA"/>
    <w:rsid w:val="00724527"/>
    <w:rsid w:val="007246A4"/>
    <w:rsid w:val="00724783"/>
    <w:rsid w:val="007252EA"/>
    <w:rsid w:val="007253B4"/>
    <w:rsid w:val="007256C6"/>
    <w:rsid w:val="00725AAE"/>
    <w:rsid w:val="00725ABD"/>
    <w:rsid w:val="00725CDE"/>
    <w:rsid w:val="00725D55"/>
    <w:rsid w:val="00725FDD"/>
    <w:rsid w:val="0072602B"/>
    <w:rsid w:val="00726125"/>
    <w:rsid w:val="007263FB"/>
    <w:rsid w:val="007266CF"/>
    <w:rsid w:val="007268DB"/>
    <w:rsid w:val="007269DB"/>
    <w:rsid w:val="00726A67"/>
    <w:rsid w:val="00726AB2"/>
    <w:rsid w:val="00726AC7"/>
    <w:rsid w:val="00726D8A"/>
    <w:rsid w:val="00726EE2"/>
    <w:rsid w:val="00726F34"/>
    <w:rsid w:val="00727333"/>
    <w:rsid w:val="00727401"/>
    <w:rsid w:val="007275EB"/>
    <w:rsid w:val="00727887"/>
    <w:rsid w:val="0072793B"/>
    <w:rsid w:val="00727FB0"/>
    <w:rsid w:val="00730180"/>
    <w:rsid w:val="007301A4"/>
    <w:rsid w:val="007301AD"/>
    <w:rsid w:val="00730200"/>
    <w:rsid w:val="00730391"/>
    <w:rsid w:val="00730465"/>
    <w:rsid w:val="00730527"/>
    <w:rsid w:val="007305A2"/>
    <w:rsid w:val="00730C10"/>
    <w:rsid w:val="00730E3A"/>
    <w:rsid w:val="00730E67"/>
    <w:rsid w:val="00730EA1"/>
    <w:rsid w:val="00730F99"/>
    <w:rsid w:val="0073147D"/>
    <w:rsid w:val="007315C0"/>
    <w:rsid w:val="007317A6"/>
    <w:rsid w:val="00731AD8"/>
    <w:rsid w:val="00731AFF"/>
    <w:rsid w:val="00731D09"/>
    <w:rsid w:val="00731FFC"/>
    <w:rsid w:val="007320A0"/>
    <w:rsid w:val="00732143"/>
    <w:rsid w:val="00732419"/>
    <w:rsid w:val="00732998"/>
    <w:rsid w:val="00732A67"/>
    <w:rsid w:val="00732E32"/>
    <w:rsid w:val="00732FFD"/>
    <w:rsid w:val="00733233"/>
    <w:rsid w:val="00733390"/>
    <w:rsid w:val="00733702"/>
    <w:rsid w:val="00733790"/>
    <w:rsid w:val="0073396D"/>
    <w:rsid w:val="00733BEA"/>
    <w:rsid w:val="00733C29"/>
    <w:rsid w:val="00733C4A"/>
    <w:rsid w:val="00733D16"/>
    <w:rsid w:val="00733E78"/>
    <w:rsid w:val="00734194"/>
    <w:rsid w:val="0073441A"/>
    <w:rsid w:val="00734487"/>
    <w:rsid w:val="00734555"/>
    <w:rsid w:val="00734677"/>
    <w:rsid w:val="00734C87"/>
    <w:rsid w:val="00734F27"/>
    <w:rsid w:val="00735173"/>
    <w:rsid w:val="0073582E"/>
    <w:rsid w:val="007359E7"/>
    <w:rsid w:val="00735AFF"/>
    <w:rsid w:val="00735D9A"/>
    <w:rsid w:val="00736518"/>
    <w:rsid w:val="007365E8"/>
    <w:rsid w:val="007368B1"/>
    <w:rsid w:val="00736AC8"/>
    <w:rsid w:val="00736BF7"/>
    <w:rsid w:val="00736C27"/>
    <w:rsid w:val="00736C60"/>
    <w:rsid w:val="00736D88"/>
    <w:rsid w:val="00736E8E"/>
    <w:rsid w:val="00737188"/>
    <w:rsid w:val="007371EB"/>
    <w:rsid w:val="0073744A"/>
    <w:rsid w:val="007375DD"/>
    <w:rsid w:val="00737A6B"/>
    <w:rsid w:val="00737D95"/>
    <w:rsid w:val="00737F1C"/>
    <w:rsid w:val="0074007D"/>
    <w:rsid w:val="007403C6"/>
    <w:rsid w:val="007404F8"/>
    <w:rsid w:val="0074054D"/>
    <w:rsid w:val="00740766"/>
    <w:rsid w:val="00740C1F"/>
    <w:rsid w:val="0074126A"/>
    <w:rsid w:val="007415F2"/>
    <w:rsid w:val="0074167C"/>
    <w:rsid w:val="00741C06"/>
    <w:rsid w:val="00741D16"/>
    <w:rsid w:val="00741DC5"/>
    <w:rsid w:val="00741E96"/>
    <w:rsid w:val="00741F97"/>
    <w:rsid w:val="00742114"/>
    <w:rsid w:val="007427B3"/>
    <w:rsid w:val="00742C6B"/>
    <w:rsid w:val="00742D77"/>
    <w:rsid w:val="00742EFD"/>
    <w:rsid w:val="0074303E"/>
    <w:rsid w:val="00743291"/>
    <w:rsid w:val="0074340E"/>
    <w:rsid w:val="00743703"/>
    <w:rsid w:val="007439A9"/>
    <w:rsid w:val="007439B4"/>
    <w:rsid w:val="00743A59"/>
    <w:rsid w:val="00743B3E"/>
    <w:rsid w:val="00743DA8"/>
    <w:rsid w:val="00743DEB"/>
    <w:rsid w:val="00743DFF"/>
    <w:rsid w:val="00743E0A"/>
    <w:rsid w:val="00743E66"/>
    <w:rsid w:val="00743F9D"/>
    <w:rsid w:val="0074413B"/>
    <w:rsid w:val="0074426F"/>
    <w:rsid w:val="007446BD"/>
    <w:rsid w:val="00744849"/>
    <w:rsid w:val="00744F37"/>
    <w:rsid w:val="00745401"/>
    <w:rsid w:val="00745449"/>
    <w:rsid w:val="00745488"/>
    <w:rsid w:val="0074554C"/>
    <w:rsid w:val="00745A2F"/>
    <w:rsid w:val="00745A51"/>
    <w:rsid w:val="00745AC5"/>
    <w:rsid w:val="00745B09"/>
    <w:rsid w:val="00745B23"/>
    <w:rsid w:val="00745D46"/>
    <w:rsid w:val="00745FDB"/>
    <w:rsid w:val="0074603A"/>
    <w:rsid w:val="00746274"/>
    <w:rsid w:val="00746A28"/>
    <w:rsid w:val="00746A4B"/>
    <w:rsid w:val="00746B1E"/>
    <w:rsid w:val="00746EA4"/>
    <w:rsid w:val="007472BB"/>
    <w:rsid w:val="007475C0"/>
    <w:rsid w:val="007476AB"/>
    <w:rsid w:val="007477F5"/>
    <w:rsid w:val="00747A5D"/>
    <w:rsid w:val="00747A8F"/>
    <w:rsid w:val="00747CD6"/>
    <w:rsid w:val="00747D7E"/>
    <w:rsid w:val="00747E93"/>
    <w:rsid w:val="007504D0"/>
    <w:rsid w:val="00750A31"/>
    <w:rsid w:val="00750C30"/>
    <w:rsid w:val="00750C6D"/>
    <w:rsid w:val="00751030"/>
    <w:rsid w:val="007511D9"/>
    <w:rsid w:val="00751419"/>
    <w:rsid w:val="00751719"/>
    <w:rsid w:val="00751A03"/>
    <w:rsid w:val="00751F57"/>
    <w:rsid w:val="00752951"/>
    <w:rsid w:val="00752ACA"/>
    <w:rsid w:val="00752B22"/>
    <w:rsid w:val="00752B35"/>
    <w:rsid w:val="0075347C"/>
    <w:rsid w:val="007534F6"/>
    <w:rsid w:val="00753866"/>
    <w:rsid w:val="00753B74"/>
    <w:rsid w:val="00753F3C"/>
    <w:rsid w:val="0075480C"/>
    <w:rsid w:val="00754876"/>
    <w:rsid w:val="00754BE8"/>
    <w:rsid w:val="00754CFA"/>
    <w:rsid w:val="00754D04"/>
    <w:rsid w:val="00755140"/>
    <w:rsid w:val="007551E7"/>
    <w:rsid w:val="00755398"/>
    <w:rsid w:val="00755882"/>
    <w:rsid w:val="00755BA9"/>
    <w:rsid w:val="00755E83"/>
    <w:rsid w:val="00755FEE"/>
    <w:rsid w:val="007563FE"/>
    <w:rsid w:val="00756E2D"/>
    <w:rsid w:val="00757016"/>
    <w:rsid w:val="0075711A"/>
    <w:rsid w:val="00757384"/>
    <w:rsid w:val="00757448"/>
    <w:rsid w:val="007575A1"/>
    <w:rsid w:val="00757B81"/>
    <w:rsid w:val="00757C85"/>
    <w:rsid w:val="00757F56"/>
    <w:rsid w:val="00760446"/>
    <w:rsid w:val="007604E5"/>
    <w:rsid w:val="00760914"/>
    <w:rsid w:val="00760A9B"/>
    <w:rsid w:val="00760D6F"/>
    <w:rsid w:val="00760EB9"/>
    <w:rsid w:val="00761589"/>
    <w:rsid w:val="00761BCD"/>
    <w:rsid w:val="00761FEB"/>
    <w:rsid w:val="00762762"/>
    <w:rsid w:val="00762791"/>
    <w:rsid w:val="00762B46"/>
    <w:rsid w:val="00762C2F"/>
    <w:rsid w:val="00762DE2"/>
    <w:rsid w:val="00763376"/>
    <w:rsid w:val="00763479"/>
    <w:rsid w:val="00764001"/>
    <w:rsid w:val="00764492"/>
    <w:rsid w:val="0076481F"/>
    <w:rsid w:val="00764B3E"/>
    <w:rsid w:val="00764E9D"/>
    <w:rsid w:val="0076575C"/>
    <w:rsid w:val="00765772"/>
    <w:rsid w:val="007657A7"/>
    <w:rsid w:val="007657BF"/>
    <w:rsid w:val="007658BD"/>
    <w:rsid w:val="00765CD4"/>
    <w:rsid w:val="00765F5F"/>
    <w:rsid w:val="007661D3"/>
    <w:rsid w:val="00766541"/>
    <w:rsid w:val="007666EA"/>
    <w:rsid w:val="00766700"/>
    <w:rsid w:val="00766DA5"/>
    <w:rsid w:val="00766F16"/>
    <w:rsid w:val="00766F1D"/>
    <w:rsid w:val="0076738D"/>
    <w:rsid w:val="00767CC8"/>
    <w:rsid w:val="00770838"/>
    <w:rsid w:val="007708B5"/>
    <w:rsid w:val="0077095B"/>
    <w:rsid w:val="007709E1"/>
    <w:rsid w:val="00770AA3"/>
    <w:rsid w:val="00770AF7"/>
    <w:rsid w:val="00770CD8"/>
    <w:rsid w:val="00770F21"/>
    <w:rsid w:val="0077124F"/>
    <w:rsid w:val="007715E0"/>
    <w:rsid w:val="00771749"/>
    <w:rsid w:val="00771776"/>
    <w:rsid w:val="00771B86"/>
    <w:rsid w:val="00771DA9"/>
    <w:rsid w:val="00771E2F"/>
    <w:rsid w:val="00771F92"/>
    <w:rsid w:val="00772141"/>
    <w:rsid w:val="00772B34"/>
    <w:rsid w:val="00772B66"/>
    <w:rsid w:val="00772DA3"/>
    <w:rsid w:val="00772EF4"/>
    <w:rsid w:val="00772FE8"/>
    <w:rsid w:val="00773150"/>
    <w:rsid w:val="00773AE4"/>
    <w:rsid w:val="00773CBB"/>
    <w:rsid w:val="00773E11"/>
    <w:rsid w:val="007747D3"/>
    <w:rsid w:val="00774825"/>
    <w:rsid w:val="0077488E"/>
    <w:rsid w:val="00774B4F"/>
    <w:rsid w:val="00774E16"/>
    <w:rsid w:val="00774E99"/>
    <w:rsid w:val="00774F77"/>
    <w:rsid w:val="00774F78"/>
    <w:rsid w:val="007750B6"/>
    <w:rsid w:val="00775200"/>
    <w:rsid w:val="00775484"/>
    <w:rsid w:val="007754BD"/>
    <w:rsid w:val="007755FA"/>
    <w:rsid w:val="00775B01"/>
    <w:rsid w:val="00775C82"/>
    <w:rsid w:val="00775D77"/>
    <w:rsid w:val="00775D90"/>
    <w:rsid w:val="00775F15"/>
    <w:rsid w:val="00776219"/>
    <w:rsid w:val="007764E7"/>
    <w:rsid w:val="00776757"/>
    <w:rsid w:val="007769DA"/>
    <w:rsid w:val="00776B8F"/>
    <w:rsid w:val="00776DA4"/>
    <w:rsid w:val="00776DC5"/>
    <w:rsid w:val="0077707D"/>
    <w:rsid w:val="00777110"/>
    <w:rsid w:val="007775FE"/>
    <w:rsid w:val="00777606"/>
    <w:rsid w:val="00777695"/>
    <w:rsid w:val="0077777A"/>
    <w:rsid w:val="007778DE"/>
    <w:rsid w:val="007779BE"/>
    <w:rsid w:val="00777F2D"/>
    <w:rsid w:val="0078039A"/>
    <w:rsid w:val="00780592"/>
    <w:rsid w:val="00780882"/>
    <w:rsid w:val="00780A57"/>
    <w:rsid w:val="00780BF9"/>
    <w:rsid w:val="00780EB7"/>
    <w:rsid w:val="00780FD7"/>
    <w:rsid w:val="00781066"/>
    <w:rsid w:val="00781077"/>
    <w:rsid w:val="0078125D"/>
    <w:rsid w:val="007813BA"/>
    <w:rsid w:val="00781587"/>
    <w:rsid w:val="007817C2"/>
    <w:rsid w:val="007818E4"/>
    <w:rsid w:val="007819E4"/>
    <w:rsid w:val="00781A42"/>
    <w:rsid w:val="00781EEA"/>
    <w:rsid w:val="00781FB3"/>
    <w:rsid w:val="007824D8"/>
    <w:rsid w:val="0078253C"/>
    <w:rsid w:val="00782639"/>
    <w:rsid w:val="00782A5D"/>
    <w:rsid w:val="00782B1B"/>
    <w:rsid w:val="00782B8A"/>
    <w:rsid w:val="00782DC5"/>
    <w:rsid w:val="00783165"/>
    <w:rsid w:val="00783300"/>
    <w:rsid w:val="00783357"/>
    <w:rsid w:val="0078336E"/>
    <w:rsid w:val="0078342B"/>
    <w:rsid w:val="00783AD4"/>
    <w:rsid w:val="00783D32"/>
    <w:rsid w:val="00783D91"/>
    <w:rsid w:val="00783EA2"/>
    <w:rsid w:val="0078402E"/>
    <w:rsid w:val="007840A7"/>
    <w:rsid w:val="007846EE"/>
    <w:rsid w:val="007848C4"/>
    <w:rsid w:val="00784C66"/>
    <w:rsid w:val="00784E4E"/>
    <w:rsid w:val="007851D3"/>
    <w:rsid w:val="0078548F"/>
    <w:rsid w:val="0078562F"/>
    <w:rsid w:val="007856CC"/>
    <w:rsid w:val="00785A13"/>
    <w:rsid w:val="00785A71"/>
    <w:rsid w:val="00785B15"/>
    <w:rsid w:val="00785D21"/>
    <w:rsid w:val="00785F73"/>
    <w:rsid w:val="00785F94"/>
    <w:rsid w:val="00785FF1"/>
    <w:rsid w:val="0078646B"/>
    <w:rsid w:val="0078681B"/>
    <w:rsid w:val="00786B99"/>
    <w:rsid w:val="00786DBC"/>
    <w:rsid w:val="0078704C"/>
    <w:rsid w:val="0078706A"/>
    <w:rsid w:val="007872B5"/>
    <w:rsid w:val="007872FC"/>
    <w:rsid w:val="0078755A"/>
    <w:rsid w:val="00787B08"/>
    <w:rsid w:val="00787C71"/>
    <w:rsid w:val="00787D81"/>
    <w:rsid w:val="00787E3A"/>
    <w:rsid w:val="00787F39"/>
    <w:rsid w:val="00790340"/>
    <w:rsid w:val="00790790"/>
    <w:rsid w:val="00790ADE"/>
    <w:rsid w:val="00791248"/>
    <w:rsid w:val="00791744"/>
    <w:rsid w:val="007919D9"/>
    <w:rsid w:val="00791C77"/>
    <w:rsid w:val="00791F02"/>
    <w:rsid w:val="0079231E"/>
    <w:rsid w:val="00792511"/>
    <w:rsid w:val="0079252B"/>
    <w:rsid w:val="007926F9"/>
    <w:rsid w:val="00792726"/>
    <w:rsid w:val="00792986"/>
    <w:rsid w:val="0079298A"/>
    <w:rsid w:val="00792A56"/>
    <w:rsid w:val="00792B45"/>
    <w:rsid w:val="00792BA4"/>
    <w:rsid w:val="00792C7E"/>
    <w:rsid w:val="00792D86"/>
    <w:rsid w:val="00792E59"/>
    <w:rsid w:val="00792E73"/>
    <w:rsid w:val="007930E5"/>
    <w:rsid w:val="00793240"/>
    <w:rsid w:val="0079337D"/>
    <w:rsid w:val="007933C4"/>
    <w:rsid w:val="007937B9"/>
    <w:rsid w:val="0079385F"/>
    <w:rsid w:val="007939F5"/>
    <w:rsid w:val="007941D3"/>
    <w:rsid w:val="007943B0"/>
    <w:rsid w:val="007948D5"/>
    <w:rsid w:val="007949C1"/>
    <w:rsid w:val="00795189"/>
    <w:rsid w:val="0079523B"/>
    <w:rsid w:val="00795528"/>
    <w:rsid w:val="0079583F"/>
    <w:rsid w:val="00795961"/>
    <w:rsid w:val="007959E2"/>
    <w:rsid w:val="00795A0E"/>
    <w:rsid w:val="00795BF0"/>
    <w:rsid w:val="00795E95"/>
    <w:rsid w:val="00795F67"/>
    <w:rsid w:val="00796027"/>
    <w:rsid w:val="0079613B"/>
    <w:rsid w:val="007962D1"/>
    <w:rsid w:val="007964B2"/>
    <w:rsid w:val="00796A1A"/>
    <w:rsid w:val="00796CBA"/>
    <w:rsid w:val="00797212"/>
    <w:rsid w:val="00797434"/>
    <w:rsid w:val="00797504"/>
    <w:rsid w:val="0079757D"/>
    <w:rsid w:val="00797B0C"/>
    <w:rsid w:val="00797C82"/>
    <w:rsid w:val="00797F0D"/>
    <w:rsid w:val="007A0AEB"/>
    <w:rsid w:val="007A0CED"/>
    <w:rsid w:val="007A0E8D"/>
    <w:rsid w:val="007A10B6"/>
    <w:rsid w:val="007A15EE"/>
    <w:rsid w:val="007A172D"/>
    <w:rsid w:val="007A17AF"/>
    <w:rsid w:val="007A1EC0"/>
    <w:rsid w:val="007A207B"/>
    <w:rsid w:val="007A21DD"/>
    <w:rsid w:val="007A25E3"/>
    <w:rsid w:val="007A2779"/>
    <w:rsid w:val="007A2B1C"/>
    <w:rsid w:val="007A2CDD"/>
    <w:rsid w:val="007A32F4"/>
    <w:rsid w:val="007A33B6"/>
    <w:rsid w:val="007A341F"/>
    <w:rsid w:val="007A3536"/>
    <w:rsid w:val="007A354B"/>
    <w:rsid w:val="007A37B1"/>
    <w:rsid w:val="007A39FF"/>
    <w:rsid w:val="007A3C6F"/>
    <w:rsid w:val="007A4009"/>
    <w:rsid w:val="007A413E"/>
    <w:rsid w:val="007A4164"/>
    <w:rsid w:val="007A4175"/>
    <w:rsid w:val="007A4358"/>
    <w:rsid w:val="007A4768"/>
    <w:rsid w:val="007A477A"/>
    <w:rsid w:val="007A4996"/>
    <w:rsid w:val="007A4A0F"/>
    <w:rsid w:val="007A4B0C"/>
    <w:rsid w:val="007A542F"/>
    <w:rsid w:val="007A5810"/>
    <w:rsid w:val="007A5AE4"/>
    <w:rsid w:val="007A5CD7"/>
    <w:rsid w:val="007A5F15"/>
    <w:rsid w:val="007A6179"/>
    <w:rsid w:val="007A6329"/>
    <w:rsid w:val="007A6626"/>
    <w:rsid w:val="007A674F"/>
    <w:rsid w:val="007A67E5"/>
    <w:rsid w:val="007A6877"/>
    <w:rsid w:val="007A6933"/>
    <w:rsid w:val="007A6934"/>
    <w:rsid w:val="007A6DB6"/>
    <w:rsid w:val="007A71EE"/>
    <w:rsid w:val="007A7452"/>
    <w:rsid w:val="007A7633"/>
    <w:rsid w:val="007A77D3"/>
    <w:rsid w:val="007A7C3D"/>
    <w:rsid w:val="007A7E0F"/>
    <w:rsid w:val="007A7F2F"/>
    <w:rsid w:val="007B013A"/>
    <w:rsid w:val="007B0216"/>
    <w:rsid w:val="007B02C1"/>
    <w:rsid w:val="007B0BDB"/>
    <w:rsid w:val="007B0DB4"/>
    <w:rsid w:val="007B116E"/>
    <w:rsid w:val="007B1330"/>
    <w:rsid w:val="007B15ED"/>
    <w:rsid w:val="007B1AEE"/>
    <w:rsid w:val="007B1E09"/>
    <w:rsid w:val="007B1EA1"/>
    <w:rsid w:val="007B1F3E"/>
    <w:rsid w:val="007B20E3"/>
    <w:rsid w:val="007B210C"/>
    <w:rsid w:val="007B225A"/>
    <w:rsid w:val="007B260E"/>
    <w:rsid w:val="007B2B00"/>
    <w:rsid w:val="007B2C74"/>
    <w:rsid w:val="007B2E4B"/>
    <w:rsid w:val="007B2F7B"/>
    <w:rsid w:val="007B2FEB"/>
    <w:rsid w:val="007B32CC"/>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53E"/>
    <w:rsid w:val="007B56D9"/>
    <w:rsid w:val="007B5F9E"/>
    <w:rsid w:val="007B609C"/>
    <w:rsid w:val="007B6A29"/>
    <w:rsid w:val="007B6B5B"/>
    <w:rsid w:val="007B6FD6"/>
    <w:rsid w:val="007B7055"/>
    <w:rsid w:val="007B706C"/>
    <w:rsid w:val="007B740B"/>
    <w:rsid w:val="007B759D"/>
    <w:rsid w:val="007B77EC"/>
    <w:rsid w:val="007B7868"/>
    <w:rsid w:val="007B7B20"/>
    <w:rsid w:val="007B7BB7"/>
    <w:rsid w:val="007B7BBD"/>
    <w:rsid w:val="007B7BF4"/>
    <w:rsid w:val="007B7E01"/>
    <w:rsid w:val="007B7E54"/>
    <w:rsid w:val="007B7F45"/>
    <w:rsid w:val="007C005F"/>
    <w:rsid w:val="007C00F3"/>
    <w:rsid w:val="007C05A4"/>
    <w:rsid w:val="007C077B"/>
    <w:rsid w:val="007C0B3A"/>
    <w:rsid w:val="007C1157"/>
    <w:rsid w:val="007C1A27"/>
    <w:rsid w:val="007C1BD3"/>
    <w:rsid w:val="007C1C00"/>
    <w:rsid w:val="007C1E4A"/>
    <w:rsid w:val="007C1EBE"/>
    <w:rsid w:val="007C1EEF"/>
    <w:rsid w:val="007C2010"/>
    <w:rsid w:val="007C20F6"/>
    <w:rsid w:val="007C22CC"/>
    <w:rsid w:val="007C2821"/>
    <w:rsid w:val="007C2897"/>
    <w:rsid w:val="007C290A"/>
    <w:rsid w:val="007C3295"/>
    <w:rsid w:val="007C359C"/>
    <w:rsid w:val="007C35A8"/>
    <w:rsid w:val="007C3600"/>
    <w:rsid w:val="007C38BF"/>
    <w:rsid w:val="007C38E3"/>
    <w:rsid w:val="007C3EAE"/>
    <w:rsid w:val="007C3ED4"/>
    <w:rsid w:val="007C3FCD"/>
    <w:rsid w:val="007C4121"/>
    <w:rsid w:val="007C4302"/>
    <w:rsid w:val="007C4445"/>
    <w:rsid w:val="007C4571"/>
    <w:rsid w:val="007C473F"/>
    <w:rsid w:val="007C4B63"/>
    <w:rsid w:val="007C4E3B"/>
    <w:rsid w:val="007C513F"/>
    <w:rsid w:val="007C519B"/>
    <w:rsid w:val="007C52A4"/>
    <w:rsid w:val="007C5747"/>
    <w:rsid w:val="007C59A8"/>
    <w:rsid w:val="007C5B38"/>
    <w:rsid w:val="007C5C54"/>
    <w:rsid w:val="007C5CB4"/>
    <w:rsid w:val="007C62DC"/>
    <w:rsid w:val="007C64AB"/>
    <w:rsid w:val="007C64F7"/>
    <w:rsid w:val="007C6B8B"/>
    <w:rsid w:val="007C6D35"/>
    <w:rsid w:val="007C6DEF"/>
    <w:rsid w:val="007C6FCB"/>
    <w:rsid w:val="007C7481"/>
    <w:rsid w:val="007C7494"/>
    <w:rsid w:val="007C7619"/>
    <w:rsid w:val="007C7ED6"/>
    <w:rsid w:val="007C7F34"/>
    <w:rsid w:val="007D028B"/>
    <w:rsid w:val="007D0914"/>
    <w:rsid w:val="007D0A74"/>
    <w:rsid w:val="007D0C36"/>
    <w:rsid w:val="007D0CF3"/>
    <w:rsid w:val="007D13F5"/>
    <w:rsid w:val="007D2262"/>
    <w:rsid w:val="007D22EF"/>
    <w:rsid w:val="007D25F1"/>
    <w:rsid w:val="007D2696"/>
    <w:rsid w:val="007D2CA3"/>
    <w:rsid w:val="007D2F31"/>
    <w:rsid w:val="007D3068"/>
    <w:rsid w:val="007D32BF"/>
    <w:rsid w:val="007D3336"/>
    <w:rsid w:val="007D34A8"/>
    <w:rsid w:val="007D3A05"/>
    <w:rsid w:val="007D4547"/>
    <w:rsid w:val="007D4876"/>
    <w:rsid w:val="007D4881"/>
    <w:rsid w:val="007D497D"/>
    <w:rsid w:val="007D4D4C"/>
    <w:rsid w:val="007D517F"/>
    <w:rsid w:val="007D55CB"/>
    <w:rsid w:val="007D597C"/>
    <w:rsid w:val="007D5A43"/>
    <w:rsid w:val="007D5A8E"/>
    <w:rsid w:val="007D63E5"/>
    <w:rsid w:val="007D653C"/>
    <w:rsid w:val="007D65CF"/>
    <w:rsid w:val="007D65FB"/>
    <w:rsid w:val="007D6722"/>
    <w:rsid w:val="007D68E4"/>
    <w:rsid w:val="007D6E08"/>
    <w:rsid w:val="007D762A"/>
    <w:rsid w:val="007D7669"/>
    <w:rsid w:val="007D76B7"/>
    <w:rsid w:val="007D7AFB"/>
    <w:rsid w:val="007D7C57"/>
    <w:rsid w:val="007D7CCC"/>
    <w:rsid w:val="007D7CFD"/>
    <w:rsid w:val="007D7FC0"/>
    <w:rsid w:val="007E0016"/>
    <w:rsid w:val="007E0280"/>
    <w:rsid w:val="007E04DD"/>
    <w:rsid w:val="007E06D5"/>
    <w:rsid w:val="007E08E8"/>
    <w:rsid w:val="007E14FB"/>
    <w:rsid w:val="007E1871"/>
    <w:rsid w:val="007E2031"/>
    <w:rsid w:val="007E21EA"/>
    <w:rsid w:val="007E237D"/>
    <w:rsid w:val="007E246D"/>
    <w:rsid w:val="007E2518"/>
    <w:rsid w:val="007E2696"/>
    <w:rsid w:val="007E2A14"/>
    <w:rsid w:val="007E309F"/>
    <w:rsid w:val="007E38D9"/>
    <w:rsid w:val="007E39A4"/>
    <w:rsid w:val="007E39B4"/>
    <w:rsid w:val="007E3BC0"/>
    <w:rsid w:val="007E3BD9"/>
    <w:rsid w:val="007E3D4B"/>
    <w:rsid w:val="007E3DA8"/>
    <w:rsid w:val="007E3EFC"/>
    <w:rsid w:val="007E40A6"/>
    <w:rsid w:val="007E40CF"/>
    <w:rsid w:val="007E4173"/>
    <w:rsid w:val="007E4963"/>
    <w:rsid w:val="007E54D5"/>
    <w:rsid w:val="007E5957"/>
    <w:rsid w:val="007E5B2B"/>
    <w:rsid w:val="007E5DEA"/>
    <w:rsid w:val="007E5E74"/>
    <w:rsid w:val="007E60B9"/>
    <w:rsid w:val="007E61C8"/>
    <w:rsid w:val="007E624C"/>
    <w:rsid w:val="007E6482"/>
    <w:rsid w:val="007E6630"/>
    <w:rsid w:val="007E66E9"/>
    <w:rsid w:val="007E6BF3"/>
    <w:rsid w:val="007E6DF6"/>
    <w:rsid w:val="007E6E85"/>
    <w:rsid w:val="007E71F9"/>
    <w:rsid w:val="007E77B4"/>
    <w:rsid w:val="007E7A84"/>
    <w:rsid w:val="007E7A98"/>
    <w:rsid w:val="007E7B7F"/>
    <w:rsid w:val="007E7C96"/>
    <w:rsid w:val="007E7D33"/>
    <w:rsid w:val="007F0332"/>
    <w:rsid w:val="007F05B3"/>
    <w:rsid w:val="007F05EB"/>
    <w:rsid w:val="007F06F0"/>
    <w:rsid w:val="007F07B7"/>
    <w:rsid w:val="007F0A1E"/>
    <w:rsid w:val="007F0C10"/>
    <w:rsid w:val="007F0FD6"/>
    <w:rsid w:val="007F0FDD"/>
    <w:rsid w:val="007F0FE6"/>
    <w:rsid w:val="007F1361"/>
    <w:rsid w:val="007F159D"/>
    <w:rsid w:val="007F15E6"/>
    <w:rsid w:val="007F161A"/>
    <w:rsid w:val="007F1759"/>
    <w:rsid w:val="007F180D"/>
    <w:rsid w:val="007F1B1C"/>
    <w:rsid w:val="007F1C78"/>
    <w:rsid w:val="007F2189"/>
    <w:rsid w:val="007F24A2"/>
    <w:rsid w:val="007F29A6"/>
    <w:rsid w:val="007F2A65"/>
    <w:rsid w:val="007F340E"/>
    <w:rsid w:val="007F3AE7"/>
    <w:rsid w:val="007F3DD9"/>
    <w:rsid w:val="007F3F16"/>
    <w:rsid w:val="007F4130"/>
    <w:rsid w:val="007F47FD"/>
    <w:rsid w:val="007F4868"/>
    <w:rsid w:val="007F5187"/>
    <w:rsid w:val="007F528E"/>
    <w:rsid w:val="007F5414"/>
    <w:rsid w:val="007F542F"/>
    <w:rsid w:val="007F5641"/>
    <w:rsid w:val="007F56B7"/>
    <w:rsid w:val="007F5A63"/>
    <w:rsid w:val="007F5A70"/>
    <w:rsid w:val="007F5D0B"/>
    <w:rsid w:val="007F5D1A"/>
    <w:rsid w:val="007F5E95"/>
    <w:rsid w:val="007F6135"/>
    <w:rsid w:val="007F61D5"/>
    <w:rsid w:val="007F6311"/>
    <w:rsid w:val="007F63DE"/>
    <w:rsid w:val="007F64AC"/>
    <w:rsid w:val="007F6570"/>
    <w:rsid w:val="007F65F4"/>
    <w:rsid w:val="007F68DA"/>
    <w:rsid w:val="007F6BD6"/>
    <w:rsid w:val="007F6BE4"/>
    <w:rsid w:val="007F6CEA"/>
    <w:rsid w:val="007F6D61"/>
    <w:rsid w:val="007F6F4D"/>
    <w:rsid w:val="007F7472"/>
    <w:rsid w:val="007F791D"/>
    <w:rsid w:val="007F793D"/>
    <w:rsid w:val="007F7D84"/>
    <w:rsid w:val="007F7E50"/>
    <w:rsid w:val="00800022"/>
    <w:rsid w:val="00800313"/>
    <w:rsid w:val="0080066E"/>
    <w:rsid w:val="008006DB"/>
    <w:rsid w:val="008007A1"/>
    <w:rsid w:val="00800A3B"/>
    <w:rsid w:val="00800BEC"/>
    <w:rsid w:val="00800E34"/>
    <w:rsid w:val="008010B7"/>
    <w:rsid w:val="00801486"/>
    <w:rsid w:val="008018F4"/>
    <w:rsid w:val="00801916"/>
    <w:rsid w:val="00801A4C"/>
    <w:rsid w:val="00801CA7"/>
    <w:rsid w:val="00801F27"/>
    <w:rsid w:val="00802437"/>
    <w:rsid w:val="0080250A"/>
    <w:rsid w:val="00802845"/>
    <w:rsid w:val="008028B7"/>
    <w:rsid w:val="00802BB3"/>
    <w:rsid w:val="008030D1"/>
    <w:rsid w:val="00803210"/>
    <w:rsid w:val="008036EB"/>
    <w:rsid w:val="008046ED"/>
    <w:rsid w:val="008049AE"/>
    <w:rsid w:val="008049CD"/>
    <w:rsid w:val="00804A46"/>
    <w:rsid w:val="00804E8A"/>
    <w:rsid w:val="00804F01"/>
    <w:rsid w:val="008050EF"/>
    <w:rsid w:val="008056CC"/>
    <w:rsid w:val="008056EF"/>
    <w:rsid w:val="00805747"/>
    <w:rsid w:val="00805CA3"/>
    <w:rsid w:val="00805D71"/>
    <w:rsid w:val="00805D95"/>
    <w:rsid w:val="00805F50"/>
    <w:rsid w:val="008060D1"/>
    <w:rsid w:val="0080614F"/>
    <w:rsid w:val="008064FF"/>
    <w:rsid w:val="00806590"/>
    <w:rsid w:val="00806601"/>
    <w:rsid w:val="00806678"/>
    <w:rsid w:val="008069BE"/>
    <w:rsid w:val="00806A86"/>
    <w:rsid w:val="00806A8F"/>
    <w:rsid w:val="00806D07"/>
    <w:rsid w:val="00806E3B"/>
    <w:rsid w:val="00806E87"/>
    <w:rsid w:val="00806EFD"/>
    <w:rsid w:val="00807025"/>
    <w:rsid w:val="008071CD"/>
    <w:rsid w:val="0080780F"/>
    <w:rsid w:val="00807E1B"/>
    <w:rsid w:val="00810321"/>
    <w:rsid w:val="008106A6"/>
    <w:rsid w:val="00810869"/>
    <w:rsid w:val="0081098A"/>
    <w:rsid w:val="00810C64"/>
    <w:rsid w:val="00810FAF"/>
    <w:rsid w:val="0081109B"/>
    <w:rsid w:val="0081136A"/>
    <w:rsid w:val="008114FD"/>
    <w:rsid w:val="00811541"/>
    <w:rsid w:val="00811678"/>
    <w:rsid w:val="008116DC"/>
    <w:rsid w:val="00811820"/>
    <w:rsid w:val="00811CAC"/>
    <w:rsid w:val="00811ED3"/>
    <w:rsid w:val="00811F1F"/>
    <w:rsid w:val="008120D0"/>
    <w:rsid w:val="0081223B"/>
    <w:rsid w:val="0081227B"/>
    <w:rsid w:val="008123B3"/>
    <w:rsid w:val="0081302F"/>
    <w:rsid w:val="00813060"/>
    <w:rsid w:val="008131E0"/>
    <w:rsid w:val="00813663"/>
    <w:rsid w:val="0081367C"/>
    <w:rsid w:val="0081380A"/>
    <w:rsid w:val="008138B2"/>
    <w:rsid w:val="008138B5"/>
    <w:rsid w:val="00813B23"/>
    <w:rsid w:val="00813B56"/>
    <w:rsid w:val="00813CBC"/>
    <w:rsid w:val="00813F5F"/>
    <w:rsid w:val="00814660"/>
    <w:rsid w:val="00815222"/>
    <w:rsid w:val="008154E1"/>
    <w:rsid w:val="0081555E"/>
    <w:rsid w:val="00815678"/>
    <w:rsid w:val="0081596F"/>
    <w:rsid w:val="00815B57"/>
    <w:rsid w:val="00815EC6"/>
    <w:rsid w:val="008160C3"/>
    <w:rsid w:val="008163FC"/>
    <w:rsid w:val="00816432"/>
    <w:rsid w:val="00816576"/>
    <w:rsid w:val="008166DD"/>
    <w:rsid w:val="0081688E"/>
    <w:rsid w:val="00816922"/>
    <w:rsid w:val="00816ABA"/>
    <w:rsid w:val="00816C0A"/>
    <w:rsid w:val="0081727A"/>
    <w:rsid w:val="0081736E"/>
    <w:rsid w:val="00817432"/>
    <w:rsid w:val="0081773C"/>
    <w:rsid w:val="008177A6"/>
    <w:rsid w:val="00817A1F"/>
    <w:rsid w:val="00817AAF"/>
    <w:rsid w:val="00817C4B"/>
    <w:rsid w:val="00817DDE"/>
    <w:rsid w:val="00817E44"/>
    <w:rsid w:val="008200EF"/>
    <w:rsid w:val="0082019D"/>
    <w:rsid w:val="0082021E"/>
    <w:rsid w:val="008202D1"/>
    <w:rsid w:val="008205D5"/>
    <w:rsid w:val="00820713"/>
    <w:rsid w:val="00820998"/>
    <w:rsid w:val="00820EB5"/>
    <w:rsid w:val="008211E7"/>
    <w:rsid w:val="00821354"/>
    <w:rsid w:val="008220FB"/>
    <w:rsid w:val="0082212B"/>
    <w:rsid w:val="00822160"/>
    <w:rsid w:val="0082225F"/>
    <w:rsid w:val="00822301"/>
    <w:rsid w:val="00822635"/>
    <w:rsid w:val="00822742"/>
    <w:rsid w:val="008227A5"/>
    <w:rsid w:val="00822B2F"/>
    <w:rsid w:val="00822E98"/>
    <w:rsid w:val="00822FCB"/>
    <w:rsid w:val="008233DC"/>
    <w:rsid w:val="00823843"/>
    <w:rsid w:val="008238FA"/>
    <w:rsid w:val="0082396B"/>
    <w:rsid w:val="008239DE"/>
    <w:rsid w:val="00823E1A"/>
    <w:rsid w:val="00823FC1"/>
    <w:rsid w:val="00824D4B"/>
    <w:rsid w:val="00824E11"/>
    <w:rsid w:val="00825015"/>
    <w:rsid w:val="00825082"/>
    <w:rsid w:val="00825A1E"/>
    <w:rsid w:val="00825A4B"/>
    <w:rsid w:val="00825C00"/>
    <w:rsid w:val="00825FF9"/>
    <w:rsid w:val="008263BD"/>
    <w:rsid w:val="008265CE"/>
    <w:rsid w:val="0082671D"/>
    <w:rsid w:val="0082691C"/>
    <w:rsid w:val="008269D3"/>
    <w:rsid w:val="00826A74"/>
    <w:rsid w:val="00826B7C"/>
    <w:rsid w:val="008270C9"/>
    <w:rsid w:val="008271B3"/>
    <w:rsid w:val="00827310"/>
    <w:rsid w:val="0082779E"/>
    <w:rsid w:val="00827A30"/>
    <w:rsid w:val="00827A85"/>
    <w:rsid w:val="00827AA6"/>
    <w:rsid w:val="00827AB8"/>
    <w:rsid w:val="00827B3F"/>
    <w:rsid w:val="00827D9F"/>
    <w:rsid w:val="00827DC9"/>
    <w:rsid w:val="00827DD2"/>
    <w:rsid w:val="00827E23"/>
    <w:rsid w:val="00827F6E"/>
    <w:rsid w:val="00827FDF"/>
    <w:rsid w:val="008300A5"/>
    <w:rsid w:val="00830231"/>
    <w:rsid w:val="0083037B"/>
    <w:rsid w:val="00830910"/>
    <w:rsid w:val="00830A3B"/>
    <w:rsid w:val="00830F65"/>
    <w:rsid w:val="008310B1"/>
    <w:rsid w:val="008317EA"/>
    <w:rsid w:val="008319CA"/>
    <w:rsid w:val="00831EBE"/>
    <w:rsid w:val="00831F50"/>
    <w:rsid w:val="008326AF"/>
    <w:rsid w:val="00832852"/>
    <w:rsid w:val="00832A0A"/>
    <w:rsid w:val="00832BDF"/>
    <w:rsid w:val="00832D94"/>
    <w:rsid w:val="00833067"/>
    <w:rsid w:val="008333A0"/>
    <w:rsid w:val="00833646"/>
    <w:rsid w:val="008336FB"/>
    <w:rsid w:val="0083378B"/>
    <w:rsid w:val="008337B4"/>
    <w:rsid w:val="00833834"/>
    <w:rsid w:val="00833BDE"/>
    <w:rsid w:val="00833D5B"/>
    <w:rsid w:val="00833D62"/>
    <w:rsid w:val="00833DE0"/>
    <w:rsid w:val="0083417E"/>
    <w:rsid w:val="00834361"/>
    <w:rsid w:val="008343DD"/>
    <w:rsid w:val="008347BE"/>
    <w:rsid w:val="008350A7"/>
    <w:rsid w:val="008351D9"/>
    <w:rsid w:val="00835372"/>
    <w:rsid w:val="008354C0"/>
    <w:rsid w:val="008355FE"/>
    <w:rsid w:val="008362B8"/>
    <w:rsid w:val="008364AE"/>
    <w:rsid w:val="008367CC"/>
    <w:rsid w:val="00836A63"/>
    <w:rsid w:val="00836B29"/>
    <w:rsid w:val="00836EAF"/>
    <w:rsid w:val="008370A2"/>
    <w:rsid w:val="008379E2"/>
    <w:rsid w:val="00837B55"/>
    <w:rsid w:val="00837CD1"/>
    <w:rsid w:val="0084005C"/>
    <w:rsid w:val="008401C8"/>
    <w:rsid w:val="008404C6"/>
    <w:rsid w:val="00840886"/>
    <w:rsid w:val="00840914"/>
    <w:rsid w:val="0084107D"/>
    <w:rsid w:val="0084139A"/>
    <w:rsid w:val="00841A5D"/>
    <w:rsid w:val="00841A81"/>
    <w:rsid w:val="00841BEE"/>
    <w:rsid w:val="00841C86"/>
    <w:rsid w:val="00841DDB"/>
    <w:rsid w:val="00841FB3"/>
    <w:rsid w:val="00842003"/>
    <w:rsid w:val="0084222E"/>
    <w:rsid w:val="008423FF"/>
    <w:rsid w:val="00842406"/>
    <w:rsid w:val="00842592"/>
    <w:rsid w:val="008428BB"/>
    <w:rsid w:val="00842ED3"/>
    <w:rsid w:val="008432C9"/>
    <w:rsid w:val="0084362F"/>
    <w:rsid w:val="00843B6D"/>
    <w:rsid w:val="00843CF1"/>
    <w:rsid w:val="00843F8A"/>
    <w:rsid w:val="008441B6"/>
    <w:rsid w:val="00844627"/>
    <w:rsid w:val="00844700"/>
    <w:rsid w:val="00844A9E"/>
    <w:rsid w:val="00844B08"/>
    <w:rsid w:val="00844B50"/>
    <w:rsid w:val="00844C4F"/>
    <w:rsid w:val="00844F05"/>
    <w:rsid w:val="00844FC0"/>
    <w:rsid w:val="00845277"/>
    <w:rsid w:val="0084537A"/>
    <w:rsid w:val="0084542F"/>
    <w:rsid w:val="008459CB"/>
    <w:rsid w:val="00845A1B"/>
    <w:rsid w:val="00845E14"/>
    <w:rsid w:val="00845F7D"/>
    <w:rsid w:val="008467E5"/>
    <w:rsid w:val="0084694D"/>
    <w:rsid w:val="00846B0F"/>
    <w:rsid w:val="00846DA2"/>
    <w:rsid w:val="00846DD6"/>
    <w:rsid w:val="008470A1"/>
    <w:rsid w:val="008470F7"/>
    <w:rsid w:val="00847223"/>
    <w:rsid w:val="00847503"/>
    <w:rsid w:val="008475E8"/>
    <w:rsid w:val="00847827"/>
    <w:rsid w:val="00847936"/>
    <w:rsid w:val="00847F77"/>
    <w:rsid w:val="00847F7A"/>
    <w:rsid w:val="00850067"/>
    <w:rsid w:val="00850360"/>
    <w:rsid w:val="00850566"/>
    <w:rsid w:val="008505C9"/>
    <w:rsid w:val="00850666"/>
    <w:rsid w:val="0085082C"/>
    <w:rsid w:val="00850E17"/>
    <w:rsid w:val="00851193"/>
    <w:rsid w:val="00851E66"/>
    <w:rsid w:val="008527D3"/>
    <w:rsid w:val="00852829"/>
    <w:rsid w:val="0085296F"/>
    <w:rsid w:val="00852B7C"/>
    <w:rsid w:val="0085307E"/>
    <w:rsid w:val="008532F4"/>
    <w:rsid w:val="00853491"/>
    <w:rsid w:val="008534A4"/>
    <w:rsid w:val="008534D5"/>
    <w:rsid w:val="008538B5"/>
    <w:rsid w:val="00853944"/>
    <w:rsid w:val="00853A68"/>
    <w:rsid w:val="00853FAE"/>
    <w:rsid w:val="008541A8"/>
    <w:rsid w:val="008541FE"/>
    <w:rsid w:val="00854238"/>
    <w:rsid w:val="00854331"/>
    <w:rsid w:val="00854722"/>
    <w:rsid w:val="0085496D"/>
    <w:rsid w:val="0085497A"/>
    <w:rsid w:val="00854C53"/>
    <w:rsid w:val="00854FD7"/>
    <w:rsid w:val="00855008"/>
    <w:rsid w:val="008551A3"/>
    <w:rsid w:val="0085524D"/>
    <w:rsid w:val="00855413"/>
    <w:rsid w:val="008554A9"/>
    <w:rsid w:val="008558CF"/>
    <w:rsid w:val="00855D9E"/>
    <w:rsid w:val="00856106"/>
    <w:rsid w:val="00856445"/>
    <w:rsid w:val="00856A11"/>
    <w:rsid w:val="00856A20"/>
    <w:rsid w:val="00856A76"/>
    <w:rsid w:val="00856F01"/>
    <w:rsid w:val="00856F85"/>
    <w:rsid w:val="008571ED"/>
    <w:rsid w:val="008572C6"/>
    <w:rsid w:val="0085733E"/>
    <w:rsid w:val="008574BA"/>
    <w:rsid w:val="00857A3B"/>
    <w:rsid w:val="00857F9C"/>
    <w:rsid w:val="008601EA"/>
    <w:rsid w:val="00860221"/>
    <w:rsid w:val="008608EA"/>
    <w:rsid w:val="00860F44"/>
    <w:rsid w:val="00860FA8"/>
    <w:rsid w:val="008610C1"/>
    <w:rsid w:val="008611F6"/>
    <w:rsid w:val="00861398"/>
    <w:rsid w:val="00861A9A"/>
    <w:rsid w:val="00861BA9"/>
    <w:rsid w:val="008622D0"/>
    <w:rsid w:val="00862516"/>
    <w:rsid w:val="00862625"/>
    <w:rsid w:val="0086275F"/>
    <w:rsid w:val="008627F9"/>
    <w:rsid w:val="00862BCD"/>
    <w:rsid w:val="00862BD2"/>
    <w:rsid w:val="00862D2F"/>
    <w:rsid w:val="00862F31"/>
    <w:rsid w:val="008630CC"/>
    <w:rsid w:val="00863435"/>
    <w:rsid w:val="0086367A"/>
    <w:rsid w:val="00863737"/>
    <w:rsid w:val="00863CBC"/>
    <w:rsid w:val="00864172"/>
    <w:rsid w:val="00864630"/>
    <w:rsid w:val="00864943"/>
    <w:rsid w:val="00864ACD"/>
    <w:rsid w:val="00864C67"/>
    <w:rsid w:val="00864D20"/>
    <w:rsid w:val="008651DC"/>
    <w:rsid w:val="00865448"/>
    <w:rsid w:val="0086566C"/>
    <w:rsid w:val="008657F8"/>
    <w:rsid w:val="00865995"/>
    <w:rsid w:val="00865BCC"/>
    <w:rsid w:val="00865C36"/>
    <w:rsid w:val="00866192"/>
    <w:rsid w:val="008665DC"/>
    <w:rsid w:val="00866883"/>
    <w:rsid w:val="008672DF"/>
    <w:rsid w:val="008674FC"/>
    <w:rsid w:val="0086777E"/>
    <w:rsid w:val="00867791"/>
    <w:rsid w:val="00867A84"/>
    <w:rsid w:val="0087005A"/>
    <w:rsid w:val="008700F6"/>
    <w:rsid w:val="00870280"/>
    <w:rsid w:val="008703B2"/>
    <w:rsid w:val="00870782"/>
    <w:rsid w:val="008707AB"/>
    <w:rsid w:val="00870816"/>
    <w:rsid w:val="00870AA6"/>
    <w:rsid w:val="00870AE8"/>
    <w:rsid w:val="00870B16"/>
    <w:rsid w:val="008719BC"/>
    <w:rsid w:val="008723CF"/>
    <w:rsid w:val="008726BD"/>
    <w:rsid w:val="008727DA"/>
    <w:rsid w:val="00872BC1"/>
    <w:rsid w:val="00872F15"/>
    <w:rsid w:val="00872F5C"/>
    <w:rsid w:val="00872F5D"/>
    <w:rsid w:val="00873080"/>
    <w:rsid w:val="0087349F"/>
    <w:rsid w:val="008737D6"/>
    <w:rsid w:val="00873DAF"/>
    <w:rsid w:val="00874448"/>
    <w:rsid w:val="00874613"/>
    <w:rsid w:val="00874D5D"/>
    <w:rsid w:val="00874DD3"/>
    <w:rsid w:val="00875391"/>
    <w:rsid w:val="0087584E"/>
    <w:rsid w:val="008758E2"/>
    <w:rsid w:val="00875992"/>
    <w:rsid w:val="00875B6F"/>
    <w:rsid w:val="00875D71"/>
    <w:rsid w:val="00875F11"/>
    <w:rsid w:val="00875F48"/>
    <w:rsid w:val="0087618F"/>
    <w:rsid w:val="008763D0"/>
    <w:rsid w:val="00876643"/>
    <w:rsid w:val="008766F6"/>
    <w:rsid w:val="00876C4D"/>
    <w:rsid w:val="00876C62"/>
    <w:rsid w:val="00877552"/>
    <w:rsid w:val="00877AB1"/>
    <w:rsid w:val="00880000"/>
    <w:rsid w:val="008800D5"/>
    <w:rsid w:val="0088037F"/>
    <w:rsid w:val="008807C4"/>
    <w:rsid w:val="00880889"/>
    <w:rsid w:val="00880AC9"/>
    <w:rsid w:val="00880DD5"/>
    <w:rsid w:val="00881003"/>
    <w:rsid w:val="008810F4"/>
    <w:rsid w:val="008813E3"/>
    <w:rsid w:val="008816F4"/>
    <w:rsid w:val="008817B5"/>
    <w:rsid w:val="00881A51"/>
    <w:rsid w:val="00881AC2"/>
    <w:rsid w:val="00881ADF"/>
    <w:rsid w:val="00881B06"/>
    <w:rsid w:val="00881D1D"/>
    <w:rsid w:val="00882440"/>
    <w:rsid w:val="00882A07"/>
    <w:rsid w:val="00882C91"/>
    <w:rsid w:val="00882CDC"/>
    <w:rsid w:val="00882E9E"/>
    <w:rsid w:val="00883866"/>
    <w:rsid w:val="0088396F"/>
    <w:rsid w:val="00883D3C"/>
    <w:rsid w:val="00884445"/>
    <w:rsid w:val="00884C7F"/>
    <w:rsid w:val="00884EC8"/>
    <w:rsid w:val="00885A62"/>
    <w:rsid w:val="00885B25"/>
    <w:rsid w:val="00885CA0"/>
    <w:rsid w:val="00885E0B"/>
    <w:rsid w:val="00885F07"/>
    <w:rsid w:val="00885FD4"/>
    <w:rsid w:val="008866D5"/>
    <w:rsid w:val="00886971"/>
    <w:rsid w:val="00886B86"/>
    <w:rsid w:val="00886FB2"/>
    <w:rsid w:val="00887114"/>
    <w:rsid w:val="00887281"/>
    <w:rsid w:val="008873CB"/>
    <w:rsid w:val="00887562"/>
    <w:rsid w:val="008875AD"/>
    <w:rsid w:val="0088775A"/>
    <w:rsid w:val="00890222"/>
    <w:rsid w:val="00890497"/>
    <w:rsid w:val="008905C8"/>
    <w:rsid w:val="008906C5"/>
    <w:rsid w:val="008909F1"/>
    <w:rsid w:val="00890DF1"/>
    <w:rsid w:val="00891392"/>
    <w:rsid w:val="00891457"/>
    <w:rsid w:val="0089186A"/>
    <w:rsid w:val="00891A29"/>
    <w:rsid w:val="00891E0C"/>
    <w:rsid w:val="008920D1"/>
    <w:rsid w:val="008922DB"/>
    <w:rsid w:val="0089254A"/>
    <w:rsid w:val="00892650"/>
    <w:rsid w:val="008926A6"/>
    <w:rsid w:val="008927D9"/>
    <w:rsid w:val="00892994"/>
    <w:rsid w:val="00892C6A"/>
    <w:rsid w:val="00892EA0"/>
    <w:rsid w:val="00892ED0"/>
    <w:rsid w:val="008934C1"/>
    <w:rsid w:val="00893DEC"/>
    <w:rsid w:val="0089440D"/>
    <w:rsid w:val="008947E7"/>
    <w:rsid w:val="008948B7"/>
    <w:rsid w:val="00894C74"/>
    <w:rsid w:val="008951FE"/>
    <w:rsid w:val="00895BCC"/>
    <w:rsid w:val="00895C03"/>
    <w:rsid w:val="00895D5D"/>
    <w:rsid w:val="00895EFF"/>
    <w:rsid w:val="00895F0C"/>
    <w:rsid w:val="008960A6"/>
    <w:rsid w:val="008960FA"/>
    <w:rsid w:val="00896152"/>
    <w:rsid w:val="008962B8"/>
    <w:rsid w:val="008965AA"/>
    <w:rsid w:val="0089697B"/>
    <w:rsid w:val="008969BD"/>
    <w:rsid w:val="00896BD3"/>
    <w:rsid w:val="00896ECD"/>
    <w:rsid w:val="00897676"/>
    <w:rsid w:val="00897871"/>
    <w:rsid w:val="00897E0B"/>
    <w:rsid w:val="008A0365"/>
    <w:rsid w:val="008A0452"/>
    <w:rsid w:val="008A04CC"/>
    <w:rsid w:val="008A06AA"/>
    <w:rsid w:val="008A07DD"/>
    <w:rsid w:val="008A0A64"/>
    <w:rsid w:val="008A0AA1"/>
    <w:rsid w:val="008A0B82"/>
    <w:rsid w:val="008A0C65"/>
    <w:rsid w:val="008A0DA1"/>
    <w:rsid w:val="008A0FBB"/>
    <w:rsid w:val="008A1742"/>
    <w:rsid w:val="008A1DA3"/>
    <w:rsid w:val="008A1F9D"/>
    <w:rsid w:val="008A2176"/>
    <w:rsid w:val="008A21E6"/>
    <w:rsid w:val="008A229E"/>
    <w:rsid w:val="008A249A"/>
    <w:rsid w:val="008A25A1"/>
    <w:rsid w:val="008A2623"/>
    <w:rsid w:val="008A27E3"/>
    <w:rsid w:val="008A2CBC"/>
    <w:rsid w:val="008A2DF0"/>
    <w:rsid w:val="008A2DF3"/>
    <w:rsid w:val="008A2EAA"/>
    <w:rsid w:val="008A30EA"/>
    <w:rsid w:val="008A30F8"/>
    <w:rsid w:val="008A326A"/>
    <w:rsid w:val="008A3410"/>
    <w:rsid w:val="008A3599"/>
    <w:rsid w:val="008A36D7"/>
    <w:rsid w:val="008A3984"/>
    <w:rsid w:val="008A3F66"/>
    <w:rsid w:val="008A4572"/>
    <w:rsid w:val="008A4712"/>
    <w:rsid w:val="008A4AEE"/>
    <w:rsid w:val="008A4CB2"/>
    <w:rsid w:val="008A4D53"/>
    <w:rsid w:val="008A4FA9"/>
    <w:rsid w:val="008A509C"/>
    <w:rsid w:val="008A52EB"/>
    <w:rsid w:val="008A54E8"/>
    <w:rsid w:val="008A54F2"/>
    <w:rsid w:val="008A58E0"/>
    <w:rsid w:val="008A59AD"/>
    <w:rsid w:val="008A5C48"/>
    <w:rsid w:val="008A5CDB"/>
    <w:rsid w:val="008A5E0D"/>
    <w:rsid w:val="008A5EB8"/>
    <w:rsid w:val="008A605E"/>
    <w:rsid w:val="008A6200"/>
    <w:rsid w:val="008A658B"/>
    <w:rsid w:val="008A67CF"/>
    <w:rsid w:val="008A6856"/>
    <w:rsid w:val="008A6862"/>
    <w:rsid w:val="008A6BDA"/>
    <w:rsid w:val="008A6C86"/>
    <w:rsid w:val="008A6D7D"/>
    <w:rsid w:val="008A6E14"/>
    <w:rsid w:val="008A6ECD"/>
    <w:rsid w:val="008A778B"/>
    <w:rsid w:val="008A77FB"/>
    <w:rsid w:val="008A7DC2"/>
    <w:rsid w:val="008A7F9B"/>
    <w:rsid w:val="008B00F6"/>
    <w:rsid w:val="008B0301"/>
    <w:rsid w:val="008B06ED"/>
    <w:rsid w:val="008B078B"/>
    <w:rsid w:val="008B07F6"/>
    <w:rsid w:val="008B0883"/>
    <w:rsid w:val="008B0959"/>
    <w:rsid w:val="008B09B0"/>
    <w:rsid w:val="008B0C60"/>
    <w:rsid w:val="008B0D7C"/>
    <w:rsid w:val="008B10A9"/>
    <w:rsid w:val="008B1455"/>
    <w:rsid w:val="008B14BB"/>
    <w:rsid w:val="008B1746"/>
    <w:rsid w:val="008B19A5"/>
    <w:rsid w:val="008B1CC3"/>
    <w:rsid w:val="008B211D"/>
    <w:rsid w:val="008B2194"/>
    <w:rsid w:val="008B2988"/>
    <w:rsid w:val="008B2BF9"/>
    <w:rsid w:val="008B2C20"/>
    <w:rsid w:val="008B2C93"/>
    <w:rsid w:val="008B3039"/>
    <w:rsid w:val="008B3242"/>
    <w:rsid w:val="008B3387"/>
    <w:rsid w:val="008B357F"/>
    <w:rsid w:val="008B366F"/>
    <w:rsid w:val="008B3720"/>
    <w:rsid w:val="008B3AD2"/>
    <w:rsid w:val="008B3E15"/>
    <w:rsid w:val="008B411E"/>
    <w:rsid w:val="008B435E"/>
    <w:rsid w:val="008B4946"/>
    <w:rsid w:val="008B4972"/>
    <w:rsid w:val="008B49ED"/>
    <w:rsid w:val="008B4A6E"/>
    <w:rsid w:val="008B4E13"/>
    <w:rsid w:val="008B514A"/>
    <w:rsid w:val="008B51F5"/>
    <w:rsid w:val="008B553B"/>
    <w:rsid w:val="008B567C"/>
    <w:rsid w:val="008B568C"/>
    <w:rsid w:val="008B5940"/>
    <w:rsid w:val="008B5D0D"/>
    <w:rsid w:val="008B5D5D"/>
    <w:rsid w:val="008B5EA3"/>
    <w:rsid w:val="008B5FA4"/>
    <w:rsid w:val="008B60AE"/>
    <w:rsid w:val="008B60DE"/>
    <w:rsid w:val="008B63D3"/>
    <w:rsid w:val="008B6568"/>
    <w:rsid w:val="008B679A"/>
    <w:rsid w:val="008B6854"/>
    <w:rsid w:val="008B6948"/>
    <w:rsid w:val="008B6E06"/>
    <w:rsid w:val="008B6F81"/>
    <w:rsid w:val="008B73EA"/>
    <w:rsid w:val="008B745C"/>
    <w:rsid w:val="008B79C9"/>
    <w:rsid w:val="008B7E66"/>
    <w:rsid w:val="008B7F3E"/>
    <w:rsid w:val="008C0305"/>
    <w:rsid w:val="008C0357"/>
    <w:rsid w:val="008C0386"/>
    <w:rsid w:val="008C04CF"/>
    <w:rsid w:val="008C06B9"/>
    <w:rsid w:val="008C0867"/>
    <w:rsid w:val="008C0AD8"/>
    <w:rsid w:val="008C0C4A"/>
    <w:rsid w:val="008C0C4E"/>
    <w:rsid w:val="008C0D52"/>
    <w:rsid w:val="008C0DA4"/>
    <w:rsid w:val="008C0DBC"/>
    <w:rsid w:val="008C1022"/>
    <w:rsid w:val="008C1051"/>
    <w:rsid w:val="008C1156"/>
    <w:rsid w:val="008C12D2"/>
    <w:rsid w:val="008C13C7"/>
    <w:rsid w:val="008C194F"/>
    <w:rsid w:val="008C19D7"/>
    <w:rsid w:val="008C1B94"/>
    <w:rsid w:val="008C1BE0"/>
    <w:rsid w:val="008C1EA6"/>
    <w:rsid w:val="008C2800"/>
    <w:rsid w:val="008C2AE4"/>
    <w:rsid w:val="008C2DFC"/>
    <w:rsid w:val="008C2E36"/>
    <w:rsid w:val="008C337D"/>
    <w:rsid w:val="008C37F1"/>
    <w:rsid w:val="008C39FD"/>
    <w:rsid w:val="008C3D7E"/>
    <w:rsid w:val="008C3E4D"/>
    <w:rsid w:val="008C4361"/>
    <w:rsid w:val="008C43F9"/>
    <w:rsid w:val="008C4776"/>
    <w:rsid w:val="008C4A8B"/>
    <w:rsid w:val="008C4C26"/>
    <w:rsid w:val="008C4E13"/>
    <w:rsid w:val="008C4EB5"/>
    <w:rsid w:val="008C500C"/>
    <w:rsid w:val="008C5061"/>
    <w:rsid w:val="008C51F1"/>
    <w:rsid w:val="008C55C3"/>
    <w:rsid w:val="008C57D7"/>
    <w:rsid w:val="008C587C"/>
    <w:rsid w:val="008C5B33"/>
    <w:rsid w:val="008C5B3E"/>
    <w:rsid w:val="008C5E98"/>
    <w:rsid w:val="008C6063"/>
    <w:rsid w:val="008C6125"/>
    <w:rsid w:val="008C64E0"/>
    <w:rsid w:val="008C6759"/>
    <w:rsid w:val="008C6987"/>
    <w:rsid w:val="008C69E1"/>
    <w:rsid w:val="008C6A78"/>
    <w:rsid w:val="008C6ACE"/>
    <w:rsid w:val="008C6E1E"/>
    <w:rsid w:val="008C7219"/>
    <w:rsid w:val="008C72C7"/>
    <w:rsid w:val="008C761F"/>
    <w:rsid w:val="008C7641"/>
    <w:rsid w:val="008C794C"/>
    <w:rsid w:val="008D03DB"/>
    <w:rsid w:val="008D0703"/>
    <w:rsid w:val="008D0934"/>
    <w:rsid w:val="008D0A98"/>
    <w:rsid w:val="008D0C71"/>
    <w:rsid w:val="008D0EA1"/>
    <w:rsid w:val="008D1409"/>
    <w:rsid w:val="008D188D"/>
    <w:rsid w:val="008D18A3"/>
    <w:rsid w:val="008D1CF6"/>
    <w:rsid w:val="008D1F3C"/>
    <w:rsid w:val="008D22E4"/>
    <w:rsid w:val="008D2402"/>
    <w:rsid w:val="008D2426"/>
    <w:rsid w:val="008D2664"/>
    <w:rsid w:val="008D2683"/>
    <w:rsid w:val="008D2C33"/>
    <w:rsid w:val="008D2CF4"/>
    <w:rsid w:val="008D30AD"/>
    <w:rsid w:val="008D30CC"/>
    <w:rsid w:val="008D30D3"/>
    <w:rsid w:val="008D3847"/>
    <w:rsid w:val="008D3D43"/>
    <w:rsid w:val="008D4163"/>
    <w:rsid w:val="008D4A87"/>
    <w:rsid w:val="008D4D4B"/>
    <w:rsid w:val="008D4E03"/>
    <w:rsid w:val="008D51C6"/>
    <w:rsid w:val="008D5765"/>
    <w:rsid w:val="008D579E"/>
    <w:rsid w:val="008D58DE"/>
    <w:rsid w:val="008D5C61"/>
    <w:rsid w:val="008D5D83"/>
    <w:rsid w:val="008D5E2A"/>
    <w:rsid w:val="008D6010"/>
    <w:rsid w:val="008D6033"/>
    <w:rsid w:val="008D63F3"/>
    <w:rsid w:val="008D645E"/>
    <w:rsid w:val="008D68A9"/>
    <w:rsid w:val="008D6C70"/>
    <w:rsid w:val="008D6D84"/>
    <w:rsid w:val="008D739F"/>
    <w:rsid w:val="008D7416"/>
    <w:rsid w:val="008D7510"/>
    <w:rsid w:val="008D7666"/>
    <w:rsid w:val="008D7A4E"/>
    <w:rsid w:val="008D7F22"/>
    <w:rsid w:val="008E00B3"/>
    <w:rsid w:val="008E0547"/>
    <w:rsid w:val="008E0654"/>
    <w:rsid w:val="008E0AD9"/>
    <w:rsid w:val="008E0AE2"/>
    <w:rsid w:val="008E0F5F"/>
    <w:rsid w:val="008E0FD0"/>
    <w:rsid w:val="008E17DF"/>
    <w:rsid w:val="008E1B6C"/>
    <w:rsid w:val="008E1BE6"/>
    <w:rsid w:val="008E1C56"/>
    <w:rsid w:val="008E1F9E"/>
    <w:rsid w:val="008E2397"/>
    <w:rsid w:val="008E23C6"/>
    <w:rsid w:val="008E2430"/>
    <w:rsid w:val="008E2554"/>
    <w:rsid w:val="008E26F1"/>
    <w:rsid w:val="008E2842"/>
    <w:rsid w:val="008E2B49"/>
    <w:rsid w:val="008E2BE7"/>
    <w:rsid w:val="008E3100"/>
    <w:rsid w:val="008E36CF"/>
    <w:rsid w:val="008E3B98"/>
    <w:rsid w:val="008E3D12"/>
    <w:rsid w:val="008E3D89"/>
    <w:rsid w:val="008E3F8B"/>
    <w:rsid w:val="008E40E0"/>
    <w:rsid w:val="008E4698"/>
    <w:rsid w:val="008E474D"/>
    <w:rsid w:val="008E49D9"/>
    <w:rsid w:val="008E4A6B"/>
    <w:rsid w:val="008E4C9C"/>
    <w:rsid w:val="008E4D96"/>
    <w:rsid w:val="008E53A1"/>
    <w:rsid w:val="008E581D"/>
    <w:rsid w:val="008E5C21"/>
    <w:rsid w:val="008E5E1E"/>
    <w:rsid w:val="008E60DD"/>
    <w:rsid w:val="008E63C9"/>
    <w:rsid w:val="008E6409"/>
    <w:rsid w:val="008E6742"/>
    <w:rsid w:val="008E67C0"/>
    <w:rsid w:val="008E692D"/>
    <w:rsid w:val="008E6CF5"/>
    <w:rsid w:val="008E7164"/>
    <w:rsid w:val="008E7C19"/>
    <w:rsid w:val="008E7ECA"/>
    <w:rsid w:val="008E7EDF"/>
    <w:rsid w:val="008F01D0"/>
    <w:rsid w:val="008F01F1"/>
    <w:rsid w:val="008F0541"/>
    <w:rsid w:val="008F0729"/>
    <w:rsid w:val="008F07C2"/>
    <w:rsid w:val="008F0D8E"/>
    <w:rsid w:val="008F0E90"/>
    <w:rsid w:val="008F0FAE"/>
    <w:rsid w:val="008F0FC5"/>
    <w:rsid w:val="008F14FB"/>
    <w:rsid w:val="008F150C"/>
    <w:rsid w:val="008F15F9"/>
    <w:rsid w:val="008F163E"/>
    <w:rsid w:val="008F1AD6"/>
    <w:rsid w:val="008F1D1F"/>
    <w:rsid w:val="008F1DC5"/>
    <w:rsid w:val="008F1E9E"/>
    <w:rsid w:val="008F1EF2"/>
    <w:rsid w:val="008F2178"/>
    <w:rsid w:val="008F21CC"/>
    <w:rsid w:val="008F236C"/>
    <w:rsid w:val="008F265F"/>
    <w:rsid w:val="008F28A4"/>
    <w:rsid w:val="008F2CB2"/>
    <w:rsid w:val="008F2D2F"/>
    <w:rsid w:val="008F2DA1"/>
    <w:rsid w:val="008F2E41"/>
    <w:rsid w:val="008F2FFA"/>
    <w:rsid w:val="008F343A"/>
    <w:rsid w:val="008F355A"/>
    <w:rsid w:val="008F3C1D"/>
    <w:rsid w:val="008F409D"/>
    <w:rsid w:val="008F4426"/>
    <w:rsid w:val="008F4684"/>
    <w:rsid w:val="008F47AF"/>
    <w:rsid w:val="008F4912"/>
    <w:rsid w:val="008F4B95"/>
    <w:rsid w:val="008F4DF4"/>
    <w:rsid w:val="008F50F3"/>
    <w:rsid w:val="008F5180"/>
    <w:rsid w:val="008F5475"/>
    <w:rsid w:val="008F5513"/>
    <w:rsid w:val="008F55A0"/>
    <w:rsid w:val="008F5707"/>
    <w:rsid w:val="008F5FB1"/>
    <w:rsid w:val="008F6162"/>
    <w:rsid w:val="008F617D"/>
    <w:rsid w:val="008F6250"/>
    <w:rsid w:val="008F63A3"/>
    <w:rsid w:val="008F658C"/>
    <w:rsid w:val="008F6C00"/>
    <w:rsid w:val="008F6C3B"/>
    <w:rsid w:val="008F6D73"/>
    <w:rsid w:val="008F6E6B"/>
    <w:rsid w:val="008F7225"/>
    <w:rsid w:val="008F755D"/>
    <w:rsid w:val="008F7659"/>
    <w:rsid w:val="008F7742"/>
    <w:rsid w:val="008F78A5"/>
    <w:rsid w:val="008F7BE5"/>
    <w:rsid w:val="008F7E49"/>
    <w:rsid w:val="009000E9"/>
    <w:rsid w:val="0090010C"/>
    <w:rsid w:val="009001A6"/>
    <w:rsid w:val="009002B0"/>
    <w:rsid w:val="009005DA"/>
    <w:rsid w:val="0090068B"/>
    <w:rsid w:val="00900A6A"/>
    <w:rsid w:val="00900B4D"/>
    <w:rsid w:val="00900BFE"/>
    <w:rsid w:val="00900EEF"/>
    <w:rsid w:val="00901001"/>
    <w:rsid w:val="00901230"/>
    <w:rsid w:val="00901453"/>
    <w:rsid w:val="0090200D"/>
    <w:rsid w:val="00902014"/>
    <w:rsid w:val="0090212A"/>
    <w:rsid w:val="009021D0"/>
    <w:rsid w:val="009021DC"/>
    <w:rsid w:val="0090237B"/>
    <w:rsid w:val="00902A58"/>
    <w:rsid w:val="00902B86"/>
    <w:rsid w:val="00902D3C"/>
    <w:rsid w:val="009030DE"/>
    <w:rsid w:val="009031CE"/>
    <w:rsid w:val="00903522"/>
    <w:rsid w:val="0090358D"/>
    <w:rsid w:val="00903C18"/>
    <w:rsid w:val="00903E56"/>
    <w:rsid w:val="00903FF1"/>
    <w:rsid w:val="0090413F"/>
    <w:rsid w:val="009041E1"/>
    <w:rsid w:val="009042B0"/>
    <w:rsid w:val="00904305"/>
    <w:rsid w:val="009046E4"/>
    <w:rsid w:val="009047EA"/>
    <w:rsid w:val="00904908"/>
    <w:rsid w:val="00904961"/>
    <w:rsid w:val="00904A58"/>
    <w:rsid w:val="00904AAD"/>
    <w:rsid w:val="00904AE8"/>
    <w:rsid w:val="00904D88"/>
    <w:rsid w:val="00904FC4"/>
    <w:rsid w:val="00905506"/>
    <w:rsid w:val="00905686"/>
    <w:rsid w:val="009058A9"/>
    <w:rsid w:val="00905976"/>
    <w:rsid w:val="009059E1"/>
    <w:rsid w:val="00905C0A"/>
    <w:rsid w:val="00905EE3"/>
    <w:rsid w:val="00906A45"/>
    <w:rsid w:val="00906BCF"/>
    <w:rsid w:val="00906DDB"/>
    <w:rsid w:val="00906F3D"/>
    <w:rsid w:val="009070FF"/>
    <w:rsid w:val="0090722B"/>
    <w:rsid w:val="009076B9"/>
    <w:rsid w:val="00907A1A"/>
    <w:rsid w:val="00907D3E"/>
    <w:rsid w:val="0091009B"/>
    <w:rsid w:val="0091024A"/>
    <w:rsid w:val="009102CC"/>
    <w:rsid w:val="00910535"/>
    <w:rsid w:val="009107C1"/>
    <w:rsid w:val="00910983"/>
    <w:rsid w:val="00910CEC"/>
    <w:rsid w:val="00910E34"/>
    <w:rsid w:val="00910FAF"/>
    <w:rsid w:val="009110F5"/>
    <w:rsid w:val="00911507"/>
    <w:rsid w:val="009115EE"/>
    <w:rsid w:val="009117EE"/>
    <w:rsid w:val="0091184C"/>
    <w:rsid w:val="00911ACB"/>
    <w:rsid w:val="00911E1A"/>
    <w:rsid w:val="00912267"/>
    <w:rsid w:val="00912435"/>
    <w:rsid w:val="00912617"/>
    <w:rsid w:val="00912758"/>
    <w:rsid w:val="00912825"/>
    <w:rsid w:val="00912A0F"/>
    <w:rsid w:val="00912F40"/>
    <w:rsid w:val="00912F87"/>
    <w:rsid w:val="0091302C"/>
    <w:rsid w:val="009130C3"/>
    <w:rsid w:val="0091374A"/>
    <w:rsid w:val="00913877"/>
    <w:rsid w:val="00913A82"/>
    <w:rsid w:val="00913F8A"/>
    <w:rsid w:val="00914062"/>
    <w:rsid w:val="00914480"/>
    <w:rsid w:val="00914DF7"/>
    <w:rsid w:val="0091525A"/>
    <w:rsid w:val="009152B9"/>
    <w:rsid w:val="009156C4"/>
    <w:rsid w:val="00915752"/>
    <w:rsid w:val="00915BB6"/>
    <w:rsid w:val="00916160"/>
    <w:rsid w:val="0091624F"/>
    <w:rsid w:val="00916372"/>
    <w:rsid w:val="00916458"/>
    <w:rsid w:val="00916532"/>
    <w:rsid w:val="00916B56"/>
    <w:rsid w:val="00916DE4"/>
    <w:rsid w:val="00917248"/>
    <w:rsid w:val="0091728E"/>
    <w:rsid w:val="00917315"/>
    <w:rsid w:val="00917507"/>
    <w:rsid w:val="0091755E"/>
    <w:rsid w:val="00917BD9"/>
    <w:rsid w:val="00917BFF"/>
    <w:rsid w:val="00920430"/>
    <w:rsid w:val="00920559"/>
    <w:rsid w:val="009205A3"/>
    <w:rsid w:val="009208E9"/>
    <w:rsid w:val="00920932"/>
    <w:rsid w:val="00920F78"/>
    <w:rsid w:val="00921178"/>
    <w:rsid w:val="009211BC"/>
    <w:rsid w:val="0092128D"/>
    <w:rsid w:val="00921296"/>
    <w:rsid w:val="00921438"/>
    <w:rsid w:val="00921671"/>
    <w:rsid w:val="00921C14"/>
    <w:rsid w:val="00921C7C"/>
    <w:rsid w:val="00921DB8"/>
    <w:rsid w:val="00921F05"/>
    <w:rsid w:val="00922069"/>
    <w:rsid w:val="00922585"/>
    <w:rsid w:val="009227FB"/>
    <w:rsid w:val="00922C42"/>
    <w:rsid w:val="00922C5E"/>
    <w:rsid w:val="0092315D"/>
    <w:rsid w:val="009231B8"/>
    <w:rsid w:val="00923480"/>
    <w:rsid w:val="009238EA"/>
    <w:rsid w:val="0092398C"/>
    <w:rsid w:val="009239B1"/>
    <w:rsid w:val="00923C3E"/>
    <w:rsid w:val="00923D0F"/>
    <w:rsid w:val="00923F8D"/>
    <w:rsid w:val="009243E9"/>
    <w:rsid w:val="00924530"/>
    <w:rsid w:val="00924810"/>
    <w:rsid w:val="00924A69"/>
    <w:rsid w:val="0092519B"/>
    <w:rsid w:val="0092534B"/>
    <w:rsid w:val="00925893"/>
    <w:rsid w:val="009259C5"/>
    <w:rsid w:val="00925BD3"/>
    <w:rsid w:val="00925BF6"/>
    <w:rsid w:val="00925D04"/>
    <w:rsid w:val="00925D4F"/>
    <w:rsid w:val="00926821"/>
    <w:rsid w:val="00926958"/>
    <w:rsid w:val="00926A99"/>
    <w:rsid w:val="00927178"/>
    <w:rsid w:val="009271FB"/>
    <w:rsid w:val="009274FF"/>
    <w:rsid w:val="0092750A"/>
    <w:rsid w:val="0092761A"/>
    <w:rsid w:val="00927BFB"/>
    <w:rsid w:val="00927FA7"/>
    <w:rsid w:val="009300D2"/>
    <w:rsid w:val="0093039D"/>
    <w:rsid w:val="00930518"/>
    <w:rsid w:val="009306B1"/>
    <w:rsid w:val="00930B89"/>
    <w:rsid w:val="009313D1"/>
    <w:rsid w:val="009317AF"/>
    <w:rsid w:val="0093183C"/>
    <w:rsid w:val="00931C5C"/>
    <w:rsid w:val="0093273D"/>
    <w:rsid w:val="00932B44"/>
    <w:rsid w:val="00933135"/>
    <w:rsid w:val="009331E3"/>
    <w:rsid w:val="00934975"/>
    <w:rsid w:val="009349F8"/>
    <w:rsid w:val="00934BFE"/>
    <w:rsid w:val="00935CEF"/>
    <w:rsid w:val="00936096"/>
    <w:rsid w:val="009363D5"/>
    <w:rsid w:val="00936435"/>
    <w:rsid w:val="0093644B"/>
    <w:rsid w:val="00936884"/>
    <w:rsid w:val="00936C2A"/>
    <w:rsid w:val="00936CA2"/>
    <w:rsid w:val="00936CBE"/>
    <w:rsid w:val="00936DB8"/>
    <w:rsid w:val="00937094"/>
    <w:rsid w:val="00937448"/>
    <w:rsid w:val="0093751D"/>
    <w:rsid w:val="009376A3"/>
    <w:rsid w:val="009377AA"/>
    <w:rsid w:val="009377D5"/>
    <w:rsid w:val="009378A3"/>
    <w:rsid w:val="009379CB"/>
    <w:rsid w:val="00937F1B"/>
    <w:rsid w:val="00940072"/>
    <w:rsid w:val="009400D3"/>
    <w:rsid w:val="0094023A"/>
    <w:rsid w:val="009406CC"/>
    <w:rsid w:val="00940842"/>
    <w:rsid w:val="00940AD3"/>
    <w:rsid w:val="00940CFF"/>
    <w:rsid w:val="00940EDE"/>
    <w:rsid w:val="00940EF1"/>
    <w:rsid w:val="00940F11"/>
    <w:rsid w:val="009413EC"/>
    <w:rsid w:val="009413F2"/>
    <w:rsid w:val="00941609"/>
    <w:rsid w:val="00941BD6"/>
    <w:rsid w:val="00941C23"/>
    <w:rsid w:val="00941FC4"/>
    <w:rsid w:val="009420C5"/>
    <w:rsid w:val="00942149"/>
    <w:rsid w:val="0094239D"/>
    <w:rsid w:val="009424D9"/>
    <w:rsid w:val="009425B9"/>
    <w:rsid w:val="00943033"/>
    <w:rsid w:val="00943084"/>
    <w:rsid w:val="00943251"/>
    <w:rsid w:val="00943528"/>
    <w:rsid w:val="009438A5"/>
    <w:rsid w:val="00943CFA"/>
    <w:rsid w:val="00943E83"/>
    <w:rsid w:val="00944297"/>
    <w:rsid w:val="009444A8"/>
    <w:rsid w:val="00944832"/>
    <w:rsid w:val="009449EC"/>
    <w:rsid w:val="00944A98"/>
    <w:rsid w:val="00944AA9"/>
    <w:rsid w:val="00944DBA"/>
    <w:rsid w:val="00944E0F"/>
    <w:rsid w:val="00944E49"/>
    <w:rsid w:val="009450DC"/>
    <w:rsid w:val="0094538B"/>
    <w:rsid w:val="009456A8"/>
    <w:rsid w:val="00945756"/>
    <w:rsid w:val="00945E68"/>
    <w:rsid w:val="00945E97"/>
    <w:rsid w:val="0094627B"/>
    <w:rsid w:val="009463D6"/>
    <w:rsid w:val="00946527"/>
    <w:rsid w:val="00946D18"/>
    <w:rsid w:val="00946F03"/>
    <w:rsid w:val="009471E5"/>
    <w:rsid w:val="009475EE"/>
    <w:rsid w:val="00947B45"/>
    <w:rsid w:val="009500ED"/>
    <w:rsid w:val="00950110"/>
    <w:rsid w:val="009503AE"/>
    <w:rsid w:val="00950574"/>
    <w:rsid w:val="00950899"/>
    <w:rsid w:val="009508E0"/>
    <w:rsid w:val="00950ADB"/>
    <w:rsid w:val="00950B74"/>
    <w:rsid w:val="00950CB8"/>
    <w:rsid w:val="00950FD0"/>
    <w:rsid w:val="009511E1"/>
    <w:rsid w:val="00951243"/>
    <w:rsid w:val="0095134C"/>
    <w:rsid w:val="00951720"/>
    <w:rsid w:val="00951903"/>
    <w:rsid w:val="00951912"/>
    <w:rsid w:val="0095193E"/>
    <w:rsid w:val="00951A8E"/>
    <w:rsid w:val="0095211F"/>
    <w:rsid w:val="009528FF"/>
    <w:rsid w:val="00952DED"/>
    <w:rsid w:val="00952E51"/>
    <w:rsid w:val="00952F9A"/>
    <w:rsid w:val="0095304D"/>
    <w:rsid w:val="00953318"/>
    <w:rsid w:val="0095331C"/>
    <w:rsid w:val="00953446"/>
    <w:rsid w:val="009537FC"/>
    <w:rsid w:val="00953947"/>
    <w:rsid w:val="00953A10"/>
    <w:rsid w:val="00953B20"/>
    <w:rsid w:val="00953E99"/>
    <w:rsid w:val="00953EA3"/>
    <w:rsid w:val="00953F20"/>
    <w:rsid w:val="0095433D"/>
    <w:rsid w:val="009544F5"/>
    <w:rsid w:val="00954510"/>
    <w:rsid w:val="009545D4"/>
    <w:rsid w:val="00954A15"/>
    <w:rsid w:val="00954AAE"/>
    <w:rsid w:val="00954D37"/>
    <w:rsid w:val="00954DD5"/>
    <w:rsid w:val="00954E91"/>
    <w:rsid w:val="00954ED3"/>
    <w:rsid w:val="0095503C"/>
    <w:rsid w:val="00955208"/>
    <w:rsid w:val="0095531C"/>
    <w:rsid w:val="009556C7"/>
    <w:rsid w:val="009557DE"/>
    <w:rsid w:val="00955B5D"/>
    <w:rsid w:val="00955E67"/>
    <w:rsid w:val="00956097"/>
    <w:rsid w:val="009562ED"/>
    <w:rsid w:val="00956479"/>
    <w:rsid w:val="009564CA"/>
    <w:rsid w:val="009565D9"/>
    <w:rsid w:val="00956A59"/>
    <w:rsid w:val="00956C97"/>
    <w:rsid w:val="00957059"/>
    <w:rsid w:val="00957375"/>
    <w:rsid w:val="009574DE"/>
    <w:rsid w:val="00957C7B"/>
    <w:rsid w:val="00960260"/>
    <w:rsid w:val="0096063A"/>
    <w:rsid w:val="0096082B"/>
    <w:rsid w:val="00960D75"/>
    <w:rsid w:val="00960ED5"/>
    <w:rsid w:val="0096105F"/>
    <w:rsid w:val="00961218"/>
    <w:rsid w:val="0096195B"/>
    <w:rsid w:val="00961AB2"/>
    <w:rsid w:val="00961BF5"/>
    <w:rsid w:val="00961EA8"/>
    <w:rsid w:val="009623B2"/>
    <w:rsid w:val="00962415"/>
    <w:rsid w:val="0096243C"/>
    <w:rsid w:val="0096253E"/>
    <w:rsid w:val="009625CB"/>
    <w:rsid w:val="009626E4"/>
    <w:rsid w:val="00962A2A"/>
    <w:rsid w:val="00962B1B"/>
    <w:rsid w:val="00962C60"/>
    <w:rsid w:val="00962F83"/>
    <w:rsid w:val="00962FD4"/>
    <w:rsid w:val="00963153"/>
    <w:rsid w:val="00963695"/>
    <w:rsid w:val="00963820"/>
    <w:rsid w:val="00963A9F"/>
    <w:rsid w:val="00963F9C"/>
    <w:rsid w:val="00964099"/>
    <w:rsid w:val="00964302"/>
    <w:rsid w:val="0096440E"/>
    <w:rsid w:val="0096449B"/>
    <w:rsid w:val="00964865"/>
    <w:rsid w:val="00964912"/>
    <w:rsid w:val="00964C12"/>
    <w:rsid w:val="00964C2D"/>
    <w:rsid w:val="00964E17"/>
    <w:rsid w:val="009650D8"/>
    <w:rsid w:val="00965422"/>
    <w:rsid w:val="009658CF"/>
    <w:rsid w:val="00965C17"/>
    <w:rsid w:val="00965E03"/>
    <w:rsid w:val="00965E95"/>
    <w:rsid w:val="009660E3"/>
    <w:rsid w:val="009660F3"/>
    <w:rsid w:val="0096695A"/>
    <w:rsid w:val="00966EBF"/>
    <w:rsid w:val="00966FE1"/>
    <w:rsid w:val="00967087"/>
    <w:rsid w:val="009671BC"/>
    <w:rsid w:val="00967673"/>
    <w:rsid w:val="00967C5B"/>
    <w:rsid w:val="00967C96"/>
    <w:rsid w:val="0097023B"/>
    <w:rsid w:val="0097037D"/>
    <w:rsid w:val="009703F4"/>
    <w:rsid w:val="009704EC"/>
    <w:rsid w:val="00970555"/>
    <w:rsid w:val="00970D4D"/>
    <w:rsid w:val="00970F2D"/>
    <w:rsid w:val="00971315"/>
    <w:rsid w:val="00971529"/>
    <w:rsid w:val="0097153E"/>
    <w:rsid w:val="00971682"/>
    <w:rsid w:val="009716D7"/>
    <w:rsid w:val="009718BE"/>
    <w:rsid w:val="00971AAB"/>
    <w:rsid w:val="00971B69"/>
    <w:rsid w:val="009720CB"/>
    <w:rsid w:val="00972C60"/>
    <w:rsid w:val="0097311B"/>
    <w:rsid w:val="009733AB"/>
    <w:rsid w:val="009735DA"/>
    <w:rsid w:val="009735EC"/>
    <w:rsid w:val="009738BE"/>
    <w:rsid w:val="00974063"/>
    <w:rsid w:val="00974173"/>
    <w:rsid w:val="009746DD"/>
    <w:rsid w:val="00974F6B"/>
    <w:rsid w:val="00975289"/>
    <w:rsid w:val="00975290"/>
    <w:rsid w:val="009752A1"/>
    <w:rsid w:val="0097558C"/>
    <w:rsid w:val="009756EC"/>
    <w:rsid w:val="009758CB"/>
    <w:rsid w:val="00975C16"/>
    <w:rsid w:val="00975D2B"/>
    <w:rsid w:val="00975E9C"/>
    <w:rsid w:val="0097605A"/>
    <w:rsid w:val="00976119"/>
    <w:rsid w:val="0097618A"/>
    <w:rsid w:val="009761AF"/>
    <w:rsid w:val="00976208"/>
    <w:rsid w:val="00976580"/>
    <w:rsid w:val="009767C6"/>
    <w:rsid w:val="00976B34"/>
    <w:rsid w:val="00976D73"/>
    <w:rsid w:val="009776ED"/>
    <w:rsid w:val="00977C2E"/>
    <w:rsid w:val="00977C75"/>
    <w:rsid w:val="0098041B"/>
    <w:rsid w:val="0098096E"/>
    <w:rsid w:val="00980A46"/>
    <w:rsid w:val="00980DE8"/>
    <w:rsid w:val="00980E10"/>
    <w:rsid w:val="009812C6"/>
    <w:rsid w:val="00981481"/>
    <w:rsid w:val="009815EC"/>
    <w:rsid w:val="009816C0"/>
    <w:rsid w:val="009819BE"/>
    <w:rsid w:val="00981BF2"/>
    <w:rsid w:val="00981BFA"/>
    <w:rsid w:val="00981E02"/>
    <w:rsid w:val="00982227"/>
    <w:rsid w:val="009822A9"/>
    <w:rsid w:val="00982503"/>
    <w:rsid w:val="00982679"/>
    <w:rsid w:val="009829BA"/>
    <w:rsid w:val="00982A5A"/>
    <w:rsid w:val="00982C29"/>
    <w:rsid w:val="00982D6C"/>
    <w:rsid w:val="00982DF0"/>
    <w:rsid w:val="00982F70"/>
    <w:rsid w:val="00983474"/>
    <w:rsid w:val="00983499"/>
    <w:rsid w:val="009834D1"/>
    <w:rsid w:val="0098365A"/>
    <w:rsid w:val="0098386D"/>
    <w:rsid w:val="00983ACB"/>
    <w:rsid w:val="00983F90"/>
    <w:rsid w:val="009840A6"/>
    <w:rsid w:val="00984115"/>
    <w:rsid w:val="009842D3"/>
    <w:rsid w:val="0098437C"/>
    <w:rsid w:val="009843F4"/>
    <w:rsid w:val="00984472"/>
    <w:rsid w:val="0098472E"/>
    <w:rsid w:val="00984905"/>
    <w:rsid w:val="009849F3"/>
    <w:rsid w:val="00984CEF"/>
    <w:rsid w:val="00985018"/>
    <w:rsid w:val="00985089"/>
    <w:rsid w:val="009850E7"/>
    <w:rsid w:val="0098530E"/>
    <w:rsid w:val="009854E8"/>
    <w:rsid w:val="00985676"/>
    <w:rsid w:val="00986525"/>
    <w:rsid w:val="00986529"/>
    <w:rsid w:val="00986541"/>
    <w:rsid w:val="00986645"/>
    <w:rsid w:val="0098664D"/>
    <w:rsid w:val="0098696F"/>
    <w:rsid w:val="009878CA"/>
    <w:rsid w:val="0098791F"/>
    <w:rsid w:val="00987A53"/>
    <w:rsid w:val="00987BC4"/>
    <w:rsid w:val="00987C37"/>
    <w:rsid w:val="00987F69"/>
    <w:rsid w:val="00990250"/>
    <w:rsid w:val="00990515"/>
    <w:rsid w:val="00990657"/>
    <w:rsid w:val="0099068E"/>
    <w:rsid w:val="009907F2"/>
    <w:rsid w:val="00990950"/>
    <w:rsid w:val="00990D2B"/>
    <w:rsid w:val="00990E2A"/>
    <w:rsid w:val="00990EF5"/>
    <w:rsid w:val="00991157"/>
    <w:rsid w:val="00991265"/>
    <w:rsid w:val="0099161D"/>
    <w:rsid w:val="00991A07"/>
    <w:rsid w:val="00991F7D"/>
    <w:rsid w:val="009920F9"/>
    <w:rsid w:val="00992271"/>
    <w:rsid w:val="009922D6"/>
    <w:rsid w:val="009922FF"/>
    <w:rsid w:val="009924F7"/>
    <w:rsid w:val="0099257C"/>
    <w:rsid w:val="009926E7"/>
    <w:rsid w:val="00992EC2"/>
    <w:rsid w:val="00993111"/>
    <w:rsid w:val="009939DE"/>
    <w:rsid w:val="00993B09"/>
    <w:rsid w:val="00993B2B"/>
    <w:rsid w:val="00993B71"/>
    <w:rsid w:val="00993F7B"/>
    <w:rsid w:val="009940CC"/>
    <w:rsid w:val="00994210"/>
    <w:rsid w:val="009943D4"/>
    <w:rsid w:val="009946F1"/>
    <w:rsid w:val="009946FC"/>
    <w:rsid w:val="00994929"/>
    <w:rsid w:val="00994B97"/>
    <w:rsid w:val="00994BF7"/>
    <w:rsid w:val="00994CED"/>
    <w:rsid w:val="00994D00"/>
    <w:rsid w:val="00994F55"/>
    <w:rsid w:val="009953B5"/>
    <w:rsid w:val="0099544E"/>
    <w:rsid w:val="00995B4B"/>
    <w:rsid w:val="00995C5B"/>
    <w:rsid w:val="00995E21"/>
    <w:rsid w:val="00996183"/>
    <w:rsid w:val="00996468"/>
    <w:rsid w:val="0099658A"/>
    <w:rsid w:val="00996953"/>
    <w:rsid w:val="00996965"/>
    <w:rsid w:val="009969DC"/>
    <w:rsid w:val="00996F45"/>
    <w:rsid w:val="00996FCB"/>
    <w:rsid w:val="00997163"/>
    <w:rsid w:val="00997606"/>
    <w:rsid w:val="00997807"/>
    <w:rsid w:val="009978B0"/>
    <w:rsid w:val="00997C27"/>
    <w:rsid w:val="00997E93"/>
    <w:rsid w:val="00997EB3"/>
    <w:rsid w:val="009A0037"/>
    <w:rsid w:val="009A016F"/>
    <w:rsid w:val="009A02CB"/>
    <w:rsid w:val="009A05FE"/>
    <w:rsid w:val="009A072A"/>
    <w:rsid w:val="009A0765"/>
    <w:rsid w:val="009A08C7"/>
    <w:rsid w:val="009A0A3C"/>
    <w:rsid w:val="009A0BCA"/>
    <w:rsid w:val="009A0D88"/>
    <w:rsid w:val="009A0E10"/>
    <w:rsid w:val="009A0E9C"/>
    <w:rsid w:val="009A0FBC"/>
    <w:rsid w:val="009A1685"/>
    <w:rsid w:val="009A21A5"/>
    <w:rsid w:val="009A27AA"/>
    <w:rsid w:val="009A2954"/>
    <w:rsid w:val="009A2EE6"/>
    <w:rsid w:val="009A31C1"/>
    <w:rsid w:val="009A3566"/>
    <w:rsid w:val="009A3AF5"/>
    <w:rsid w:val="009A3C46"/>
    <w:rsid w:val="009A4073"/>
    <w:rsid w:val="009A4235"/>
    <w:rsid w:val="009A4261"/>
    <w:rsid w:val="009A4AE6"/>
    <w:rsid w:val="009A4D26"/>
    <w:rsid w:val="009A50F1"/>
    <w:rsid w:val="009A5142"/>
    <w:rsid w:val="009A5493"/>
    <w:rsid w:val="009A554F"/>
    <w:rsid w:val="009A55AF"/>
    <w:rsid w:val="009A5887"/>
    <w:rsid w:val="009A5A33"/>
    <w:rsid w:val="009A5C72"/>
    <w:rsid w:val="009A5D5D"/>
    <w:rsid w:val="009A5F41"/>
    <w:rsid w:val="009A6241"/>
    <w:rsid w:val="009A6435"/>
    <w:rsid w:val="009A654B"/>
    <w:rsid w:val="009A6699"/>
    <w:rsid w:val="009A66EC"/>
    <w:rsid w:val="009A67B6"/>
    <w:rsid w:val="009A6906"/>
    <w:rsid w:val="009A6928"/>
    <w:rsid w:val="009A6B53"/>
    <w:rsid w:val="009A6B56"/>
    <w:rsid w:val="009A6CD0"/>
    <w:rsid w:val="009A71DE"/>
    <w:rsid w:val="009A72C3"/>
    <w:rsid w:val="009A74AB"/>
    <w:rsid w:val="009A797E"/>
    <w:rsid w:val="009A7B0B"/>
    <w:rsid w:val="009A7E7F"/>
    <w:rsid w:val="009B0152"/>
    <w:rsid w:val="009B05ED"/>
    <w:rsid w:val="009B0816"/>
    <w:rsid w:val="009B0BD2"/>
    <w:rsid w:val="009B0D06"/>
    <w:rsid w:val="009B0E48"/>
    <w:rsid w:val="009B0F0E"/>
    <w:rsid w:val="009B0F5A"/>
    <w:rsid w:val="009B0F83"/>
    <w:rsid w:val="009B0FD9"/>
    <w:rsid w:val="009B0FFE"/>
    <w:rsid w:val="009B1268"/>
    <w:rsid w:val="009B17CE"/>
    <w:rsid w:val="009B190D"/>
    <w:rsid w:val="009B1A05"/>
    <w:rsid w:val="009B1CE3"/>
    <w:rsid w:val="009B1D31"/>
    <w:rsid w:val="009B1D60"/>
    <w:rsid w:val="009B20C3"/>
    <w:rsid w:val="009B246F"/>
    <w:rsid w:val="009B254C"/>
    <w:rsid w:val="009B2A31"/>
    <w:rsid w:val="009B2DF8"/>
    <w:rsid w:val="009B3177"/>
    <w:rsid w:val="009B32F2"/>
    <w:rsid w:val="009B39AE"/>
    <w:rsid w:val="009B3AEE"/>
    <w:rsid w:val="009B3CAA"/>
    <w:rsid w:val="009B3E32"/>
    <w:rsid w:val="009B43F3"/>
    <w:rsid w:val="009B44F8"/>
    <w:rsid w:val="009B473E"/>
    <w:rsid w:val="009B4A00"/>
    <w:rsid w:val="009B4C80"/>
    <w:rsid w:val="009B4F1A"/>
    <w:rsid w:val="009B564A"/>
    <w:rsid w:val="009B5D36"/>
    <w:rsid w:val="009B5E50"/>
    <w:rsid w:val="009B5E60"/>
    <w:rsid w:val="009B6097"/>
    <w:rsid w:val="009B60B2"/>
    <w:rsid w:val="009B626B"/>
    <w:rsid w:val="009B6292"/>
    <w:rsid w:val="009B62C8"/>
    <w:rsid w:val="009B6603"/>
    <w:rsid w:val="009B66FC"/>
    <w:rsid w:val="009B68D7"/>
    <w:rsid w:val="009B6A06"/>
    <w:rsid w:val="009B6BD6"/>
    <w:rsid w:val="009B6E4F"/>
    <w:rsid w:val="009B7163"/>
    <w:rsid w:val="009B7221"/>
    <w:rsid w:val="009B735E"/>
    <w:rsid w:val="009B7B25"/>
    <w:rsid w:val="009C0029"/>
    <w:rsid w:val="009C00C3"/>
    <w:rsid w:val="009C0547"/>
    <w:rsid w:val="009C06A0"/>
    <w:rsid w:val="009C06DA"/>
    <w:rsid w:val="009C0AA9"/>
    <w:rsid w:val="009C0BBA"/>
    <w:rsid w:val="009C0E08"/>
    <w:rsid w:val="009C0FB8"/>
    <w:rsid w:val="009C0FFC"/>
    <w:rsid w:val="009C144D"/>
    <w:rsid w:val="009C153C"/>
    <w:rsid w:val="009C19F1"/>
    <w:rsid w:val="009C1FB9"/>
    <w:rsid w:val="009C2294"/>
    <w:rsid w:val="009C2345"/>
    <w:rsid w:val="009C2964"/>
    <w:rsid w:val="009C298E"/>
    <w:rsid w:val="009C3203"/>
    <w:rsid w:val="009C320D"/>
    <w:rsid w:val="009C343C"/>
    <w:rsid w:val="009C362E"/>
    <w:rsid w:val="009C3A9B"/>
    <w:rsid w:val="009C3C16"/>
    <w:rsid w:val="009C3D5B"/>
    <w:rsid w:val="009C3EEB"/>
    <w:rsid w:val="009C3F74"/>
    <w:rsid w:val="009C40BE"/>
    <w:rsid w:val="009C4304"/>
    <w:rsid w:val="009C4A1E"/>
    <w:rsid w:val="009C4ADF"/>
    <w:rsid w:val="009C4BBD"/>
    <w:rsid w:val="009C4C96"/>
    <w:rsid w:val="009C5007"/>
    <w:rsid w:val="009C50B0"/>
    <w:rsid w:val="009C50E1"/>
    <w:rsid w:val="009C5618"/>
    <w:rsid w:val="009C566B"/>
    <w:rsid w:val="009C59C8"/>
    <w:rsid w:val="009C5D7D"/>
    <w:rsid w:val="009C61F3"/>
    <w:rsid w:val="009C62E9"/>
    <w:rsid w:val="009C641A"/>
    <w:rsid w:val="009C653F"/>
    <w:rsid w:val="009C6601"/>
    <w:rsid w:val="009C670B"/>
    <w:rsid w:val="009C6D34"/>
    <w:rsid w:val="009C6D79"/>
    <w:rsid w:val="009C7623"/>
    <w:rsid w:val="009C7821"/>
    <w:rsid w:val="009C7BCF"/>
    <w:rsid w:val="009C7CE8"/>
    <w:rsid w:val="009C7D10"/>
    <w:rsid w:val="009C7E46"/>
    <w:rsid w:val="009C7EC6"/>
    <w:rsid w:val="009D0240"/>
    <w:rsid w:val="009D0700"/>
    <w:rsid w:val="009D09D8"/>
    <w:rsid w:val="009D1372"/>
    <w:rsid w:val="009D1493"/>
    <w:rsid w:val="009D15A4"/>
    <w:rsid w:val="009D1A19"/>
    <w:rsid w:val="009D1AF6"/>
    <w:rsid w:val="009D1B29"/>
    <w:rsid w:val="009D1E07"/>
    <w:rsid w:val="009D1EA7"/>
    <w:rsid w:val="009D20D6"/>
    <w:rsid w:val="009D2252"/>
    <w:rsid w:val="009D243B"/>
    <w:rsid w:val="009D247E"/>
    <w:rsid w:val="009D2BFB"/>
    <w:rsid w:val="009D2C4E"/>
    <w:rsid w:val="009D2C75"/>
    <w:rsid w:val="009D2C9A"/>
    <w:rsid w:val="009D32F4"/>
    <w:rsid w:val="009D336F"/>
    <w:rsid w:val="009D34B0"/>
    <w:rsid w:val="009D34DB"/>
    <w:rsid w:val="009D3DF5"/>
    <w:rsid w:val="009D465C"/>
    <w:rsid w:val="009D4B3C"/>
    <w:rsid w:val="009D4E36"/>
    <w:rsid w:val="009D5070"/>
    <w:rsid w:val="009D5211"/>
    <w:rsid w:val="009D528E"/>
    <w:rsid w:val="009D5434"/>
    <w:rsid w:val="009D576C"/>
    <w:rsid w:val="009D57BC"/>
    <w:rsid w:val="009D59F5"/>
    <w:rsid w:val="009D5AC3"/>
    <w:rsid w:val="009D5B40"/>
    <w:rsid w:val="009D5D02"/>
    <w:rsid w:val="009D5DFD"/>
    <w:rsid w:val="009D63E8"/>
    <w:rsid w:val="009D6804"/>
    <w:rsid w:val="009D6893"/>
    <w:rsid w:val="009D6BBB"/>
    <w:rsid w:val="009D6C73"/>
    <w:rsid w:val="009D6ED2"/>
    <w:rsid w:val="009D6F58"/>
    <w:rsid w:val="009D6F60"/>
    <w:rsid w:val="009D6FC6"/>
    <w:rsid w:val="009D7200"/>
    <w:rsid w:val="009D722E"/>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396"/>
    <w:rsid w:val="009E13F1"/>
    <w:rsid w:val="009E179E"/>
    <w:rsid w:val="009E180E"/>
    <w:rsid w:val="009E1A87"/>
    <w:rsid w:val="009E1AF4"/>
    <w:rsid w:val="009E1B77"/>
    <w:rsid w:val="009E1E91"/>
    <w:rsid w:val="009E2181"/>
    <w:rsid w:val="009E271D"/>
    <w:rsid w:val="009E28C7"/>
    <w:rsid w:val="009E28F8"/>
    <w:rsid w:val="009E2B28"/>
    <w:rsid w:val="009E30BD"/>
    <w:rsid w:val="009E335E"/>
    <w:rsid w:val="009E3404"/>
    <w:rsid w:val="009E3634"/>
    <w:rsid w:val="009E3643"/>
    <w:rsid w:val="009E36AA"/>
    <w:rsid w:val="009E375A"/>
    <w:rsid w:val="009E3A93"/>
    <w:rsid w:val="009E3DAF"/>
    <w:rsid w:val="009E424B"/>
    <w:rsid w:val="009E4518"/>
    <w:rsid w:val="009E4561"/>
    <w:rsid w:val="009E4563"/>
    <w:rsid w:val="009E475D"/>
    <w:rsid w:val="009E4A1D"/>
    <w:rsid w:val="009E4CD5"/>
    <w:rsid w:val="009E4D44"/>
    <w:rsid w:val="009E5044"/>
    <w:rsid w:val="009E52F7"/>
    <w:rsid w:val="009E5537"/>
    <w:rsid w:val="009E5637"/>
    <w:rsid w:val="009E5BAD"/>
    <w:rsid w:val="009E6515"/>
    <w:rsid w:val="009E6A09"/>
    <w:rsid w:val="009E6CFB"/>
    <w:rsid w:val="009E71CC"/>
    <w:rsid w:val="009E73D8"/>
    <w:rsid w:val="009E75BF"/>
    <w:rsid w:val="009E763D"/>
    <w:rsid w:val="009E7682"/>
    <w:rsid w:val="009E79CF"/>
    <w:rsid w:val="009E7AFB"/>
    <w:rsid w:val="009E7C6E"/>
    <w:rsid w:val="009E7C9D"/>
    <w:rsid w:val="009F0218"/>
    <w:rsid w:val="009F05AA"/>
    <w:rsid w:val="009F08B1"/>
    <w:rsid w:val="009F09D9"/>
    <w:rsid w:val="009F15CC"/>
    <w:rsid w:val="009F1617"/>
    <w:rsid w:val="009F1677"/>
    <w:rsid w:val="009F1937"/>
    <w:rsid w:val="009F1A38"/>
    <w:rsid w:val="009F1C26"/>
    <w:rsid w:val="009F1DCA"/>
    <w:rsid w:val="009F2556"/>
    <w:rsid w:val="009F2B12"/>
    <w:rsid w:val="009F2C45"/>
    <w:rsid w:val="009F2D6C"/>
    <w:rsid w:val="009F2D6D"/>
    <w:rsid w:val="009F2EF2"/>
    <w:rsid w:val="009F3580"/>
    <w:rsid w:val="009F386A"/>
    <w:rsid w:val="009F390A"/>
    <w:rsid w:val="009F39FB"/>
    <w:rsid w:val="009F3B5C"/>
    <w:rsid w:val="009F3BC5"/>
    <w:rsid w:val="009F3BFE"/>
    <w:rsid w:val="009F3CDB"/>
    <w:rsid w:val="009F3F90"/>
    <w:rsid w:val="009F403F"/>
    <w:rsid w:val="009F4586"/>
    <w:rsid w:val="009F47A3"/>
    <w:rsid w:val="009F4CEE"/>
    <w:rsid w:val="009F4FB8"/>
    <w:rsid w:val="009F50D1"/>
    <w:rsid w:val="009F5993"/>
    <w:rsid w:val="009F5A07"/>
    <w:rsid w:val="009F5BBA"/>
    <w:rsid w:val="009F625A"/>
    <w:rsid w:val="009F64E1"/>
    <w:rsid w:val="009F6784"/>
    <w:rsid w:val="009F68E4"/>
    <w:rsid w:val="009F69BE"/>
    <w:rsid w:val="009F6EBC"/>
    <w:rsid w:val="009F6F12"/>
    <w:rsid w:val="009F6F2B"/>
    <w:rsid w:val="009F72E4"/>
    <w:rsid w:val="009F7375"/>
    <w:rsid w:val="00A00052"/>
    <w:rsid w:val="00A005B3"/>
    <w:rsid w:val="00A006B5"/>
    <w:rsid w:val="00A0073C"/>
    <w:rsid w:val="00A00B3C"/>
    <w:rsid w:val="00A00CEA"/>
    <w:rsid w:val="00A00D56"/>
    <w:rsid w:val="00A0131A"/>
    <w:rsid w:val="00A01732"/>
    <w:rsid w:val="00A01859"/>
    <w:rsid w:val="00A01979"/>
    <w:rsid w:val="00A01B92"/>
    <w:rsid w:val="00A01D41"/>
    <w:rsid w:val="00A023BF"/>
    <w:rsid w:val="00A02453"/>
    <w:rsid w:val="00A0253F"/>
    <w:rsid w:val="00A0259F"/>
    <w:rsid w:val="00A026D8"/>
    <w:rsid w:val="00A0272D"/>
    <w:rsid w:val="00A02BFD"/>
    <w:rsid w:val="00A03063"/>
    <w:rsid w:val="00A0306B"/>
    <w:rsid w:val="00A033CC"/>
    <w:rsid w:val="00A03465"/>
    <w:rsid w:val="00A03660"/>
    <w:rsid w:val="00A03A01"/>
    <w:rsid w:val="00A03B11"/>
    <w:rsid w:val="00A03B1E"/>
    <w:rsid w:val="00A03EC6"/>
    <w:rsid w:val="00A04440"/>
    <w:rsid w:val="00A04458"/>
    <w:rsid w:val="00A04666"/>
    <w:rsid w:val="00A0470C"/>
    <w:rsid w:val="00A04986"/>
    <w:rsid w:val="00A04E17"/>
    <w:rsid w:val="00A0500E"/>
    <w:rsid w:val="00A0504B"/>
    <w:rsid w:val="00A05193"/>
    <w:rsid w:val="00A0532B"/>
    <w:rsid w:val="00A0537A"/>
    <w:rsid w:val="00A05566"/>
    <w:rsid w:val="00A05991"/>
    <w:rsid w:val="00A05A3C"/>
    <w:rsid w:val="00A05B2B"/>
    <w:rsid w:val="00A05DE9"/>
    <w:rsid w:val="00A05ED3"/>
    <w:rsid w:val="00A05F97"/>
    <w:rsid w:val="00A05FB4"/>
    <w:rsid w:val="00A061A6"/>
    <w:rsid w:val="00A06274"/>
    <w:rsid w:val="00A06430"/>
    <w:rsid w:val="00A0685C"/>
    <w:rsid w:val="00A0687A"/>
    <w:rsid w:val="00A06932"/>
    <w:rsid w:val="00A069BC"/>
    <w:rsid w:val="00A06C26"/>
    <w:rsid w:val="00A0705F"/>
    <w:rsid w:val="00A07299"/>
    <w:rsid w:val="00A07700"/>
    <w:rsid w:val="00A07733"/>
    <w:rsid w:val="00A077E3"/>
    <w:rsid w:val="00A07D3A"/>
    <w:rsid w:val="00A103A9"/>
    <w:rsid w:val="00A10482"/>
    <w:rsid w:val="00A107B6"/>
    <w:rsid w:val="00A10820"/>
    <w:rsid w:val="00A1090B"/>
    <w:rsid w:val="00A10DE6"/>
    <w:rsid w:val="00A10EDD"/>
    <w:rsid w:val="00A111ED"/>
    <w:rsid w:val="00A11257"/>
    <w:rsid w:val="00A116A7"/>
    <w:rsid w:val="00A11AB4"/>
    <w:rsid w:val="00A11D62"/>
    <w:rsid w:val="00A11EBC"/>
    <w:rsid w:val="00A11EF5"/>
    <w:rsid w:val="00A12238"/>
    <w:rsid w:val="00A1243C"/>
    <w:rsid w:val="00A12CD3"/>
    <w:rsid w:val="00A12E35"/>
    <w:rsid w:val="00A12E6D"/>
    <w:rsid w:val="00A13467"/>
    <w:rsid w:val="00A13B31"/>
    <w:rsid w:val="00A13BAB"/>
    <w:rsid w:val="00A13F0C"/>
    <w:rsid w:val="00A14388"/>
    <w:rsid w:val="00A14747"/>
    <w:rsid w:val="00A1481F"/>
    <w:rsid w:val="00A14895"/>
    <w:rsid w:val="00A15305"/>
    <w:rsid w:val="00A15469"/>
    <w:rsid w:val="00A15639"/>
    <w:rsid w:val="00A159B7"/>
    <w:rsid w:val="00A15B5E"/>
    <w:rsid w:val="00A15EDC"/>
    <w:rsid w:val="00A163AC"/>
    <w:rsid w:val="00A16B8A"/>
    <w:rsid w:val="00A16F00"/>
    <w:rsid w:val="00A17A8E"/>
    <w:rsid w:val="00A17E00"/>
    <w:rsid w:val="00A17EBC"/>
    <w:rsid w:val="00A201E2"/>
    <w:rsid w:val="00A205C7"/>
    <w:rsid w:val="00A205FC"/>
    <w:rsid w:val="00A20775"/>
    <w:rsid w:val="00A20FE7"/>
    <w:rsid w:val="00A212B3"/>
    <w:rsid w:val="00A2173F"/>
    <w:rsid w:val="00A21777"/>
    <w:rsid w:val="00A21833"/>
    <w:rsid w:val="00A21F13"/>
    <w:rsid w:val="00A225A4"/>
    <w:rsid w:val="00A226C2"/>
    <w:rsid w:val="00A22C1C"/>
    <w:rsid w:val="00A22CFD"/>
    <w:rsid w:val="00A2312C"/>
    <w:rsid w:val="00A231D4"/>
    <w:rsid w:val="00A232DA"/>
    <w:rsid w:val="00A23607"/>
    <w:rsid w:val="00A23905"/>
    <w:rsid w:val="00A239BF"/>
    <w:rsid w:val="00A23A73"/>
    <w:rsid w:val="00A23B6E"/>
    <w:rsid w:val="00A23F1B"/>
    <w:rsid w:val="00A23F21"/>
    <w:rsid w:val="00A24082"/>
    <w:rsid w:val="00A240E3"/>
    <w:rsid w:val="00A245FA"/>
    <w:rsid w:val="00A2465E"/>
    <w:rsid w:val="00A24680"/>
    <w:rsid w:val="00A24BCF"/>
    <w:rsid w:val="00A2529A"/>
    <w:rsid w:val="00A255A0"/>
    <w:rsid w:val="00A255C2"/>
    <w:rsid w:val="00A25652"/>
    <w:rsid w:val="00A257E8"/>
    <w:rsid w:val="00A25A81"/>
    <w:rsid w:val="00A25DA8"/>
    <w:rsid w:val="00A26039"/>
    <w:rsid w:val="00A26277"/>
    <w:rsid w:val="00A26619"/>
    <w:rsid w:val="00A26C86"/>
    <w:rsid w:val="00A26D12"/>
    <w:rsid w:val="00A26FEC"/>
    <w:rsid w:val="00A270BB"/>
    <w:rsid w:val="00A2716D"/>
    <w:rsid w:val="00A27C09"/>
    <w:rsid w:val="00A27DAD"/>
    <w:rsid w:val="00A3016A"/>
    <w:rsid w:val="00A30944"/>
    <w:rsid w:val="00A30ADC"/>
    <w:rsid w:val="00A30D7A"/>
    <w:rsid w:val="00A30EFE"/>
    <w:rsid w:val="00A31069"/>
    <w:rsid w:val="00A310E1"/>
    <w:rsid w:val="00A311BD"/>
    <w:rsid w:val="00A313D0"/>
    <w:rsid w:val="00A316C4"/>
    <w:rsid w:val="00A31FAA"/>
    <w:rsid w:val="00A31FF7"/>
    <w:rsid w:val="00A3234B"/>
    <w:rsid w:val="00A323B2"/>
    <w:rsid w:val="00A3264A"/>
    <w:rsid w:val="00A32707"/>
    <w:rsid w:val="00A329D9"/>
    <w:rsid w:val="00A32A59"/>
    <w:rsid w:val="00A32B48"/>
    <w:rsid w:val="00A32D81"/>
    <w:rsid w:val="00A33497"/>
    <w:rsid w:val="00A3395C"/>
    <w:rsid w:val="00A33E11"/>
    <w:rsid w:val="00A34066"/>
    <w:rsid w:val="00A340FA"/>
    <w:rsid w:val="00A34490"/>
    <w:rsid w:val="00A34720"/>
    <w:rsid w:val="00A348C8"/>
    <w:rsid w:val="00A34B4E"/>
    <w:rsid w:val="00A35082"/>
    <w:rsid w:val="00A350E6"/>
    <w:rsid w:val="00A356D3"/>
    <w:rsid w:val="00A35812"/>
    <w:rsid w:val="00A35AFD"/>
    <w:rsid w:val="00A35F5F"/>
    <w:rsid w:val="00A36087"/>
    <w:rsid w:val="00A36246"/>
    <w:rsid w:val="00A36755"/>
    <w:rsid w:val="00A36E8B"/>
    <w:rsid w:val="00A374E1"/>
    <w:rsid w:val="00A37A5E"/>
    <w:rsid w:val="00A37B7C"/>
    <w:rsid w:val="00A37CD6"/>
    <w:rsid w:val="00A40230"/>
    <w:rsid w:val="00A403E6"/>
    <w:rsid w:val="00A40736"/>
    <w:rsid w:val="00A407C2"/>
    <w:rsid w:val="00A40C43"/>
    <w:rsid w:val="00A41079"/>
    <w:rsid w:val="00A410EF"/>
    <w:rsid w:val="00A41220"/>
    <w:rsid w:val="00A41789"/>
    <w:rsid w:val="00A41A06"/>
    <w:rsid w:val="00A41AB2"/>
    <w:rsid w:val="00A41D29"/>
    <w:rsid w:val="00A4200D"/>
    <w:rsid w:val="00A420D6"/>
    <w:rsid w:val="00A420DB"/>
    <w:rsid w:val="00A4227A"/>
    <w:rsid w:val="00A42673"/>
    <w:rsid w:val="00A42700"/>
    <w:rsid w:val="00A429BC"/>
    <w:rsid w:val="00A42D77"/>
    <w:rsid w:val="00A42F10"/>
    <w:rsid w:val="00A43126"/>
    <w:rsid w:val="00A43238"/>
    <w:rsid w:val="00A435E2"/>
    <w:rsid w:val="00A43800"/>
    <w:rsid w:val="00A439E5"/>
    <w:rsid w:val="00A43A7A"/>
    <w:rsid w:val="00A43B39"/>
    <w:rsid w:val="00A43C1C"/>
    <w:rsid w:val="00A44027"/>
    <w:rsid w:val="00A444CF"/>
    <w:rsid w:val="00A44707"/>
    <w:rsid w:val="00A448CD"/>
    <w:rsid w:val="00A449DC"/>
    <w:rsid w:val="00A44A24"/>
    <w:rsid w:val="00A44C0B"/>
    <w:rsid w:val="00A4515E"/>
    <w:rsid w:val="00A45172"/>
    <w:rsid w:val="00A4519D"/>
    <w:rsid w:val="00A453B2"/>
    <w:rsid w:val="00A45493"/>
    <w:rsid w:val="00A4583A"/>
    <w:rsid w:val="00A4589F"/>
    <w:rsid w:val="00A45FD7"/>
    <w:rsid w:val="00A4627C"/>
    <w:rsid w:val="00A4631D"/>
    <w:rsid w:val="00A463D9"/>
    <w:rsid w:val="00A46576"/>
    <w:rsid w:val="00A46725"/>
    <w:rsid w:val="00A46E55"/>
    <w:rsid w:val="00A47210"/>
    <w:rsid w:val="00A47556"/>
    <w:rsid w:val="00A4756A"/>
    <w:rsid w:val="00A47814"/>
    <w:rsid w:val="00A47891"/>
    <w:rsid w:val="00A47D84"/>
    <w:rsid w:val="00A47DC0"/>
    <w:rsid w:val="00A47E80"/>
    <w:rsid w:val="00A50012"/>
    <w:rsid w:val="00A50231"/>
    <w:rsid w:val="00A505CE"/>
    <w:rsid w:val="00A50745"/>
    <w:rsid w:val="00A50D77"/>
    <w:rsid w:val="00A50FB1"/>
    <w:rsid w:val="00A512D2"/>
    <w:rsid w:val="00A519EC"/>
    <w:rsid w:val="00A51A9D"/>
    <w:rsid w:val="00A51D80"/>
    <w:rsid w:val="00A51DB8"/>
    <w:rsid w:val="00A5231A"/>
    <w:rsid w:val="00A52367"/>
    <w:rsid w:val="00A52392"/>
    <w:rsid w:val="00A529A4"/>
    <w:rsid w:val="00A52F7F"/>
    <w:rsid w:val="00A52FAB"/>
    <w:rsid w:val="00A537F2"/>
    <w:rsid w:val="00A53B86"/>
    <w:rsid w:val="00A5418B"/>
    <w:rsid w:val="00A543AC"/>
    <w:rsid w:val="00A545AD"/>
    <w:rsid w:val="00A54690"/>
    <w:rsid w:val="00A54752"/>
    <w:rsid w:val="00A54768"/>
    <w:rsid w:val="00A54A43"/>
    <w:rsid w:val="00A54B14"/>
    <w:rsid w:val="00A54B3D"/>
    <w:rsid w:val="00A54D3C"/>
    <w:rsid w:val="00A5532A"/>
    <w:rsid w:val="00A55385"/>
    <w:rsid w:val="00A558FD"/>
    <w:rsid w:val="00A55C0F"/>
    <w:rsid w:val="00A561D6"/>
    <w:rsid w:val="00A56716"/>
    <w:rsid w:val="00A56BC3"/>
    <w:rsid w:val="00A56BFA"/>
    <w:rsid w:val="00A5721A"/>
    <w:rsid w:val="00A57545"/>
    <w:rsid w:val="00A578A0"/>
    <w:rsid w:val="00A57B06"/>
    <w:rsid w:val="00A57B83"/>
    <w:rsid w:val="00A57E9B"/>
    <w:rsid w:val="00A60A40"/>
    <w:rsid w:val="00A60EAC"/>
    <w:rsid w:val="00A60FCB"/>
    <w:rsid w:val="00A60FEF"/>
    <w:rsid w:val="00A61202"/>
    <w:rsid w:val="00A617AA"/>
    <w:rsid w:val="00A617CB"/>
    <w:rsid w:val="00A619C1"/>
    <w:rsid w:val="00A619CB"/>
    <w:rsid w:val="00A61C8A"/>
    <w:rsid w:val="00A6271E"/>
    <w:rsid w:val="00A62EAA"/>
    <w:rsid w:val="00A6301A"/>
    <w:rsid w:val="00A6348F"/>
    <w:rsid w:val="00A637DF"/>
    <w:rsid w:val="00A639C5"/>
    <w:rsid w:val="00A63DAB"/>
    <w:rsid w:val="00A63EDD"/>
    <w:rsid w:val="00A63FFE"/>
    <w:rsid w:val="00A64B4C"/>
    <w:rsid w:val="00A64E14"/>
    <w:rsid w:val="00A64EDA"/>
    <w:rsid w:val="00A65539"/>
    <w:rsid w:val="00A6560C"/>
    <w:rsid w:val="00A6564C"/>
    <w:rsid w:val="00A656CC"/>
    <w:rsid w:val="00A6570C"/>
    <w:rsid w:val="00A65BA2"/>
    <w:rsid w:val="00A65C26"/>
    <w:rsid w:val="00A65C29"/>
    <w:rsid w:val="00A65CC2"/>
    <w:rsid w:val="00A6600B"/>
    <w:rsid w:val="00A6640A"/>
    <w:rsid w:val="00A6672F"/>
    <w:rsid w:val="00A66B33"/>
    <w:rsid w:val="00A66CA3"/>
    <w:rsid w:val="00A66FC1"/>
    <w:rsid w:val="00A67137"/>
    <w:rsid w:val="00A67307"/>
    <w:rsid w:val="00A67713"/>
    <w:rsid w:val="00A67BB2"/>
    <w:rsid w:val="00A67C90"/>
    <w:rsid w:val="00A67DFB"/>
    <w:rsid w:val="00A67EFE"/>
    <w:rsid w:val="00A700AB"/>
    <w:rsid w:val="00A7041C"/>
    <w:rsid w:val="00A70425"/>
    <w:rsid w:val="00A704FA"/>
    <w:rsid w:val="00A70632"/>
    <w:rsid w:val="00A708DD"/>
    <w:rsid w:val="00A70BAA"/>
    <w:rsid w:val="00A70CE7"/>
    <w:rsid w:val="00A71236"/>
    <w:rsid w:val="00A71614"/>
    <w:rsid w:val="00A71A63"/>
    <w:rsid w:val="00A71B43"/>
    <w:rsid w:val="00A72061"/>
    <w:rsid w:val="00A72101"/>
    <w:rsid w:val="00A72160"/>
    <w:rsid w:val="00A7222A"/>
    <w:rsid w:val="00A7227C"/>
    <w:rsid w:val="00A72747"/>
    <w:rsid w:val="00A72A80"/>
    <w:rsid w:val="00A7343B"/>
    <w:rsid w:val="00A735E9"/>
    <w:rsid w:val="00A737A2"/>
    <w:rsid w:val="00A739BA"/>
    <w:rsid w:val="00A73D2F"/>
    <w:rsid w:val="00A743E1"/>
    <w:rsid w:val="00A7440A"/>
    <w:rsid w:val="00A744B6"/>
    <w:rsid w:val="00A74B2B"/>
    <w:rsid w:val="00A74D91"/>
    <w:rsid w:val="00A75C06"/>
    <w:rsid w:val="00A75DD1"/>
    <w:rsid w:val="00A7622C"/>
    <w:rsid w:val="00A762E2"/>
    <w:rsid w:val="00A76363"/>
    <w:rsid w:val="00A76463"/>
    <w:rsid w:val="00A765FB"/>
    <w:rsid w:val="00A76AB4"/>
    <w:rsid w:val="00A76ADA"/>
    <w:rsid w:val="00A76F52"/>
    <w:rsid w:val="00A7735D"/>
    <w:rsid w:val="00A7736F"/>
    <w:rsid w:val="00A77901"/>
    <w:rsid w:val="00A77C86"/>
    <w:rsid w:val="00A77D88"/>
    <w:rsid w:val="00A77F5A"/>
    <w:rsid w:val="00A80052"/>
    <w:rsid w:val="00A80077"/>
    <w:rsid w:val="00A8016B"/>
    <w:rsid w:val="00A803E5"/>
    <w:rsid w:val="00A80891"/>
    <w:rsid w:val="00A808AC"/>
    <w:rsid w:val="00A809C6"/>
    <w:rsid w:val="00A80BFB"/>
    <w:rsid w:val="00A80C5E"/>
    <w:rsid w:val="00A8116B"/>
    <w:rsid w:val="00A8136F"/>
    <w:rsid w:val="00A814E2"/>
    <w:rsid w:val="00A8154C"/>
    <w:rsid w:val="00A81C00"/>
    <w:rsid w:val="00A82116"/>
    <w:rsid w:val="00A821FD"/>
    <w:rsid w:val="00A8238E"/>
    <w:rsid w:val="00A823D4"/>
    <w:rsid w:val="00A8250D"/>
    <w:rsid w:val="00A82809"/>
    <w:rsid w:val="00A8291F"/>
    <w:rsid w:val="00A82A49"/>
    <w:rsid w:val="00A82AA7"/>
    <w:rsid w:val="00A82AD8"/>
    <w:rsid w:val="00A82C0D"/>
    <w:rsid w:val="00A82C3B"/>
    <w:rsid w:val="00A82CFB"/>
    <w:rsid w:val="00A82E41"/>
    <w:rsid w:val="00A82EDC"/>
    <w:rsid w:val="00A82F87"/>
    <w:rsid w:val="00A83499"/>
    <w:rsid w:val="00A83862"/>
    <w:rsid w:val="00A839BC"/>
    <w:rsid w:val="00A83AE0"/>
    <w:rsid w:val="00A83B77"/>
    <w:rsid w:val="00A842DD"/>
    <w:rsid w:val="00A8444C"/>
    <w:rsid w:val="00A84556"/>
    <w:rsid w:val="00A8455F"/>
    <w:rsid w:val="00A845F5"/>
    <w:rsid w:val="00A84663"/>
    <w:rsid w:val="00A8467D"/>
    <w:rsid w:val="00A846FD"/>
    <w:rsid w:val="00A8496A"/>
    <w:rsid w:val="00A84C9E"/>
    <w:rsid w:val="00A84F49"/>
    <w:rsid w:val="00A84F5D"/>
    <w:rsid w:val="00A84F87"/>
    <w:rsid w:val="00A852F0"/>
    <w:rsid w:val="00A855DA"/>
    <w:rsid w:val="00A85974"/>
    <w:rsid w:val="00A85F58"/>
    <w:rsid w:val="00A85FF2"/>
    <w:rsid w:val="00A86627"/>
    <w:rsid w:val="00A86B9F"/>
    <w:rsid w:val="00A86C2B"/>
    <w:rsid w:val="00A86D8F"/>
    <w:rsid w:val="00A86FBE"/>
    <w:rsid w:val="00A87056"/>
    <w:rsid w:val="00A8753E"/>
    <w:rsid w:val="00A8778A"/>
    <w:rsid w:val="00A87AA3"/>
    <w:rsid w:val="00A87CC7"/>
    <w:rsid w:val="00A90365"/>
    <w:rsid w:val="00A90564"/>
    <w:rsid w:val="00A90839"/>
    <w:rsid w:val="00A9095A"/>
    <w:rsid w:val="00A90A35"/>
    <w:rsid w:val="00A90BD4"/>
    <w:rsid w:val="00A90CD4"/>
    <w:rsid w:val="00A913D2"/>
    <w:rsid w:val="00A9186A"/>
    <w:rsid w:val="00A91940"/>
    <w:rsid w:val="00A91F63"/>
    <w:rsid w:val="00A9203E"/>
    <w:rsid w:val="00A921D4"/>
    <w:rsid w:val="00A92E31"/>
    <w:rsid w:val="00A92F91"/>
    <w:rsid w:val="00A93166"/>
    <w:rsid w:val="00A93192"/>
    <w:rsid w:val="00A93660"/>
    <w:rsid w:val="00A9373A"/>
    <w:rsid w:val="00A93B4B"/>
    <w:rsid w:val="00A93CBF"/>
    <w:rsid w:val="00A93DB4"/>
    <w:rsid w:val="00A93E41"/>
    <w:rsid w:val="00A93E79"/>
    <w:rsid w:val="00A93F36"/>
    <w:rsid w:val="00A93F78"/>
    <w:rsid w:val="00A94393"/>
    <w:rsid w:val="00A946AB"/>
    <w:rsid w:val="00A94703"/>
    <w:rsid w:val="00A94C6B"/>
    <w:rsid w:val="00A94D96"/>
    <w:rsid w:val="00A950B9"/>
    <w:rsid w:val="00A95436"/>
    <w:rsid w:val="00A954A8"/>
    <w:rsid w:val="00A954D4"/>
    <w:rsid w:val="00A956D3"/>
    <w:rsid w:val="00A95A38"/>
    <w:rsid w:val="00A95A6F"/>
    <w:rsid w:val="00A95AE4"/>
    <w:rsid w:val="00A95BFD"/>
    <w:rsid w:val="00A96685"/>
    <w:rsid w:val="00A96747"/>
    <w:rsid w:val="00A96DBE"/>
    <w:rsid w:val="00A96E10"/>
    <w:rsid w:val="00A96E9D"/>
    <w:rsid w:val="00A96EEE"/>
    <w:rsid w:val="00A971DD"/>
    <w:rsid w:val="00A9733A"/>
    <w:rsid w:val="00A9770A"/>
    <w:rsid w:val="00A97A6C"/>
    <w:rsid w:val="00A97DB6"/>
    <w:rsid w:val="00A97DE0"/>
    <w:rsid w:val="00A97F1B"/>
    <w:rsid w:val="00AA00D8"/>
    <w:rsid w:val="00AA01C5"/>
    <w:rsid w:val="00AA029B"/>
    <w:rsid w:val="00AA048B"/>
    <w:rsid w:val="00AA07C9"/>
    <w:rsid w:val="00AA0A21"/>
    <w:rsid w:val="00AA0BCD"/>
    <w:rsid w:val="00AA0EEF"/>
    <w:rsid w:val="00AA0FF8"/>
    <w:rsid w:val="00AA10A5"/>
    <w:rsid w:val="00AA1155"/>
    <w:rsid w:val="00AA133A"/>
    <w:rsid w:val="00AA1359"/>
    <w:rsid w:val="00AA1433"/>
    <w:rsid w:val="00AA167B"/>
    <w:rsid w:val="00AA17BE"/>
    <w:rsid w:val="00AA1D03"/>
    <w:rsid w:val="00AA1E42"/>
    <w:rsid w:val="00AA215C"/>
    <w:rsid w:val="00AA2615"/>
    <w:rsid w:val="00AA2C8E"/>
    <w:rsid w:val="00AA2D14"/>
    <w:rsid w:val="00AA2EE2"/>
    <w:rsid w:val="00AA2F23"/>
    <w:rsid w:val="00AA3050"/>
    <w:rsid w:val="00AA3333"/>
    <w:rsid w:val="00AA3611"/>
    <w:rsid w:val="00AA3C98"/>
    <w:rsid w:val="00AA3CCB"/>
    <w:rsid w:val="00AA3D27"/>
    <w:rsid w:val="00AA4752"/>
    <w:rsid w:val="00AA4821"/>
    <w:rsid w:val="00AA4AAE"/>
    <w:rsid w:val="00AA4C70"/>
    <w:rsid w:val="00AA4CF1"/>
    <w:rsid w:val="00AA56E6"/>
    <w:rsid w:val="00AA59C7"/>
    <w:rsid w:val="00AA5A34"/>
    <w:rsid w:val="00AA5B7C"/>
    <w:rsid w:val="00AA60EF"/>
    <w:rsid w:val="00AA6202"/>
    <w:rsid w:val="00AA6334"/>
    <w:rsid w:val="00AA655D"/>
    <w:rsid w:val="00AA6602"/>
    <w:rsid w:val="00AA66F3"/>
    <w:rsid w:val="00AA6A9C"/>
    <w:rsid w:val="00AA6D8D"/>
    <w:rsid w:val="00AA6DA1"/>
    <w:rsid w:val="00AA71B3"/>
    <w:rsid w:val="00AA7310"/>
    <w:rsid w:val="00AA7583"/>
    <w:rsid w:val="00AA76BA"/>
    <w:rsid w:val="00AA7D74"/>
    <w:rsid w:val="00AB0331"/>
    <w:rsid w:val="00AB061B"/>
    <w:rsid w:val="00AB1011"/>
    <w:rsid w:val="00AB112E"/>
    <w:rsid w:val="00AB1A41"/>
    <w:rsid w:val="00AB2046"/>
    <w:rsid w:val="00AB2792"/>
    <w:rsid w:val="00AB2927"/>
    <w:rsid w:val="00AB2B26"/>
    <w:rsid w:val="00AB2C97"/>
    <w:rsid w:val="00AB3159"/>
    <w:rsid w:val="00AB3163"/>
    <w:rsid w:val="00AB32BF"/>
    <w:rsid w:val="00AB3711"/>
    <w:rsid w:val="00AB3AEC"/>
    <w:rsid w:val="00AB3DEB"/>
    <w:rsid w:val="00AB3E83"/>
    <w:rsid w:val="00AB3E8B"/>
    <w:rsid w:val="00AB3F4D"/>
    <w:rsid w:val="00AB42EA"/>
    <w:rsid w:val="00AB47DB"/>
    <w:rsid w:val="00AB4A50"/>
    <w:rsid w:val="00AB4D46"/>
    <w:rsid w:val="00AB4D51"/>
    <w:rsid w:val="00AB4F1E"/>
    <w:rsid w:val="00AB4FAF"/>
    <w:rsid w:val="00AB4FD4"/>
    <w:rsid w:val="00AB5210"/>
    <w:rsid w:val="00AB52BA"/>
    <w:rsid w:val="00AB5621"/>
    <w:rsid w:val="00AB57A1"/>
    <w:rsid w:val="00AB5CDF"/>
    <w:rsid w:val="00AB602B"/>
    <w:rsid w:val="00AB60B5"/>
    <w:rsid w:val="00AB6144"/>
    <w:rsid w:val="00AB6497"/>
    <w:rsid w:val="00AB667D"/>
    <w:rsid w:val="00AB68C1"/>
    <w:rsid w:val="00AB70BB"/>
    <w:rsid w:val="00AB716C"/>
    <w:rsid w:val="00AB735B"/>
    <w:rsid w:val="00AB75E4"/>
    <w:rsid w:val="00AB76B1"/>
    <w:rsid w:val="00AB786E"/>
    <w:rsid w:val="00AB7D4E"/>
    <w:rsid w:val="00AB7FED"/>
    <w:rsid w:val="00AC0E34"/>
    <w:rsid w:val="00AC1011"/>
    <w:rsid w:val="00AC1225"/>
    <w:rsid w:val="00AC1397"/>
    <w:rsid w:val="00AC178B"/>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F47"/>
    <w:rsid w:val="00AC3296"/>
    <w:rsid w:val="00AC3591"/>
    <w:rsid w:val="00AC362C"/>
    <w:rsid w:val="00AC3A08"/>
    <w:rsid w:val="00AC3C78"/>
    <w:rsid w:val="00AC4182"/>
    <w:rsid w:val="00AC4241"/>
    <w:rsid w:val="00AC42DE"/>
    <w:rsid w:val="00AC44D7"/>
    <w:rsid w:val="00AC4763"/>
    <w:rsid w:val="00AC4B76"/>
    <w:rsid w:val="00AC4F31"/>
    <w:rsid w:val="00AC4FBC"/>
    <w:rsid w:val="00AC5013"/>
    <w:rsid w:val="00AC52F2"/>
    <w:rsid w:val="00AC54DA"/>
    <w:rsid w:val="00AC5831"/>
    <w:rsid w:val="00AC59E4"/>
    <w:rsid w:val="00AC5C46"/>
    <w:rsid w:val="00AC5ECB"/>
    <w:rsid w:val="00AC5F4F"/>
    <w:rsid w:val="00AC613D"/>
    <w:rsid w:val="00AC61A8"/>
    <w:rsid w:val="00AC678F"/>
    <w:rsid w:val="00AC685B"/>
    <w:rsid w:val="00AC68B0"/>
    <w:rsid w:val="00AC6BC5"/>
    <w:rsid w:val="00AC6F53"/>
    <w:rsid w:val="00AC7190"/>
    <w:rsid w:val="00AC7359"/>
    <w:rsid w:val="00AC7466"/>
    <w:rsid w:val="00AC749C"/>
    <w:rsid w:val="00AC75B5"/>
    <w:rsid w:val="00AC7F6C"/>
    <w:rsid w:val="00AD02CE"/>
    <w:rsid w:val="00AD0825"/>
    <w:rsid w:val="00AD0B9E"/>
    <w:rsid w:val="00AD0E88"/>
    <w:rsid w:val="00AD0FC6"/>
    <w:rsid w:val="00AD0FEA"/>
    <w:rsid w:val="00AD105C"/>
    <w:rsid w:val="00AD1286"/>
    <w:rsid w:val="00AD1608"/>
    <w:rsid w:val="00AD16CC"/>
    <w:rsid w:val="00AD1842"/>
    <w:rsid w:val="00AD1876"/>
    <w:rsid w:val="00AD1BB4"/>
    <w:rsid w:val="00AD202D"/>
    <w:rsid w:val="00AD2062"/>
    <w:rsid w:val="00AD21B6"/>
    <w:rsid w:val="00AD2281"/>
    <w:rsid w:val="00AD22E3"/>
    <w:rsid w:val="00AD28BE"/>
    <w:rsid w:val="00AD2CD5"/>
    <w:rsid w:val="00AD2E2A"/>
    <w:rsid w:val="00AD34E4"/>
    <w:rsid w:val="00AD3835"/>
    <w:rsid w:val="00AD39DE"/>
    <w:rsid w:val="00AD3AD6"/>
    <w:rsid w:val="00AD3B50"/>
    <w:rsid w:val="00AD44EF"/>
    <w:rsid w:val="00AD48EC"/>
    <w:rsid w:val="00AD4BC5"/>
    <w:rsid w:val="00AD4DB1"/>
    <w:rsid w:val="00AD501E"/>
    <w:rsid w:val="00AD5222"/>
    <w:rsid w:val="00AD5832"/>
    <w:rsid w:val="00AD59E0"/>
    <w:rsid w:val="00AD5BDB"/>
    <w:rsid w:val="00AD5D0F"/>
    <w:rsid w:val="00AD5E64"/>
    <w:rsid w:val="00AD610E"/>
    <w:rsid w:val="00AD6226"/>
    <w:rsid w:val="00AD6583"/>
    <w:rsid w:val="00AD65C3"/>
    <w:rsid w:val="00AD6624"/>
    <w:rsid w:val="00AD67E5"/>
    <w:rsid w:val="00AD695B"/>
    <w:rsid w:val="00AD6BAB"/>
    <w:rsid w:val="00AD6F16"/>
    <w:rsid w:val="00AD78F3"/>
    <w:rsid w:val="00AD7ACA"/>
    <w:rsid w:val="00AD7B8C"/>
    <w:rsid w:val="00AD7B98"/>
    <w:rsid w:val="00AD7D57"/>
    <w:rsid w:val="00AE0164"/>
    <w:rsid w:val="00AE03A8"/>
    <w:rsid w:val="00AE03AF"/>
    <w:rsid w:val="00AE084B"/>
    <w:rsid w:val="00AE08BD"/>
    <w:rsid w:val="00AE0F9B"/>
    <w:rsid w:val="00AE1230"/>
    <w:rsid w:val="00AE12B6"/>
    <w:rsid w:val="00AE14BA"/>
    <w:rsid w:val="00AE1C57"/>
    <w:rsid w:val="00AE1C84"/>
    <w:rsid w:val="00AE1CEA"/>
    <w:rsid w:val="00AE1E3D"/>
    <w:rsid w:val="00AE20BF"/>
    <w:rsid w:val="00AE21C9"/>
    <w:rsid w:val="00AE2534"/>
    <w:rsid w:val="00AE290A"/>
    <w:rsid w:val="00AE2CBB"/>
    <w:rsid w:val="00AE2DC6"/>
    <w:rsid w:val="00AE33ED"/>
    <w:rsid w:val="00AE35CC"/>
    <w:rsid w:val="00AE35D5"/>
    <w:rsid w:val="00AE384A"/>
    <w:rsid w:val="00AE39B1"/>
    <w:rsid w:val="00AE3E15"/>
    <w:rsid w:val="00AE41CC"/>
    <w:rsid w:val="00AE4332"/>
    <w:rsid w:val="00AE4337"/>
    <w:rsid w:val="00AE43C1"/>
    <w:rsid w:val="00AE463E"/>
    <w:rsid w:val="00AE46E0"/>
    <w:rsid w:val="00AE484C"/>
    <w:rsid w:val="00AE49B2"/>
    <w:rsid w:val="00AE4A2D"/>
    <w:rsid w:val="00AE4AB7"/>
    <w:rsid w:val="00AE5316"/>
    <w:rsid w:val="00AE5378"/>
    <w:rsid w:val="00AE5444"/>
    <w:rsid w:val="00AE56A3"/>
    <w:rsid w:val="00AE5939"/>
    <w:rsid w:val="00AE63A0"/>
    <w:rsid w:val="00AE6412"/>
    <w:rsid w:val="00AE64E1"/>
    <w:rsid w:val="00AE66FD"/>
    <w:rsid w:val="00AE69C6"/>
    <w:rsid w:val="00AE6C25"/>
    <w:rsid w:val="00AE6CB2"/>
    <w:rsid w:val="00AE761D"/>
    <w:rsid w:val="00AE7BCA"/>
    <w:rsid w:val="00AE7EC9"/>
    <w:rsid w:val="00AE7FD5"/>
    <w:rsid w:val="00AF0040"/>
    <w:rsid w:val="00AF00BB"/>
    <w:rsid w:val="00AF0368"/>
    <w:rsid w:val="00AF05DE"/>
    <w:rsid w:val="00AF08D1"/>
    <w:rsid w:val="00AF0A02"/>
    <w:rsid w:val="00AF146F"/>
    <w:rsid w:val="00AF17E9"/>
    <w:rsid w:val="00AF1A66"/>
    <w:rsid w:val="00AF1E10"/>
    <w:rsid w:val="00AF1E2F"/>
    <w:rsid w:val="00AF1E5E"/>
    <w:rsid w:val="00AF21CB"/>
    <w:rsid w:val="00AF2284"/>
    <w:rsid w:val="00AF2A72"/>
    <w:rsid w:val="00AF2B86"/>
    <w:rsid w:val="00AF2C23"/>
    <w:rsid w:val="00AF327D"/>
    <w:rsid w:val="00AF327F"/>
    <w:rsid w:val="00AF36EA"/>
    <w:rsid w:val="00AF3D6D"/>
    <w:rsid w:val="00AF3DD2"/>
    <w:rsid w:val="00AF403D"/>
    <w:rsid w:val="00AF41A3"/>
    <w:rsid w:val="00AF442D"/>
    <w:rsid w:val="00AF457C"/>
    <w:rsid w:val="00AF45A0"/>
    <w:rsid w:val="00AF4921"/>
    <w:rsid w:val="00AF4964"/>
    <w:rsid w:val="00AF4DAB"/>
    <w:rsid w:val="00AF4E09"/>
    <w:rsid w:val="00AF516E"/>
    <w:rsid w:val="00AF55AA"/>
    <w:rsid w:val="00AF57BA"/>
    <w:rsid w:val="00AF5AD9"/>
    <w:rsid w:val="00AF5CFF"/>
    <w:rsid w:val="00AF5D4C"/>
    <w:rsid w:val="00AF64CD"/>
    <w:rsid w:val="00AF6833"/>
    <w:rsid w:val="00AF686A"/>
    <w:rsid w:val="00AF6B4F"/>
    <w:rsid w:val="00AF6F83"/>
    <w:rsid w:val="00AF71A3"/>
    <w:rsid w:val="00AF73DB"/>
    <w:rsid w:val="00AF751D"/>
    <w:rsid w:val="00AF7848"/>
    <w:rsid w:val="00AF79A8"/>
    <w:rsid w:val="00AF7C7B"/>
    <w:rsid w:val="00AF7CC7"/>
    <w:rsid w:val="00AF7DA0"/>
    <w:rsid w:val="00AF7FC1"/>
    <w:rsid w:val="00B00230"/>
    <w:rsid w:val="00B002DF"/>
    <w:rsid w:val="00B0051D"/>
    <w:rsid w:val="00B007BE"/>
    <w:rsid w:val="00B00B65"/>
    <w:rsid w:val="00B00CAE"/>
    <w:rsid w:val="00B01027"/>
    <w:rsid w:val="00B01126"/>
    <w:rsid w:val="00B01330"/>
    <w:rsid w:val="00B014A0"/>
    <w:rsid w:val="00B01611"/>
    <w:rsid w:val="00B0166A"/>
    <w:rsid w:val="00B017C6"/>
    <w:rsid w:val="00B01878"/>
    <w:rsid w:val="00B0192F"/>
    <w:rsid w:val="00B01DA2"/>
    <w:rsid w:val="00B02176"/>
    <w:rsid w:val="00B02206"/>
    <w:rsid w:val="00B02252"/>
    <w:rsid w:val="00B024EC"/>
    <w:rsid w:val="00B02596"/>
    <w:rsid w:val="00B0270A"/>
    <w:rsid w:val="00B02983"/>
    <w:rsid w:val="00B02CF0"/>
    <w:rsid w:val="00B02EC3"/>
    <w:rsid w:val="00B02F37"/>
    <w:rsid w:val="00B02F57"/>
    <w:rsid w:val="00B03130"/>
    <w:rsid w:val="00B0318D"/>
    <w:rsid w:val="00B0368B"/>
    <w:rsid w:val="00B03695"/>
    <w:rsid w:val="00B037F8"/>
    <w:rsid w:val="00B04352"/>
    <w:rsid w:val="00B04671"/>
    <w:rsid w:val="00B04730"/>
    <w:rsid w:val="00B04932"/>
    <w:rsid w:val="00B04A4E"/>
    <w:rsid w:val="00B04D6A"/>
    <w:rsid w:val="00B04EEE"/>
    <w:rsid w:val="00B0523F"/>
    <w:rsid w:val="00B05284"/>
    <w:rsid w:val="00B052E4"/>
    <w:rsid w:val="00B05473"/>
    <w:rsid w:val="00B054C7"/>
    <w:rsid w:val="00B057F5"/>
    <w:rsid w:val="00B05D07"/>
    <w:rsid w:val="00B05DC6"/>
    <w:rsid w:val="00B05ED1"/>
    <w:rsid w:val="00B064AA"/>
    <w:rsid w:val="00B068DC"/>
    <w:rsid w:val="00B06D4A"/>
    <w:rsid w:val="00B06F05"/>
    <w:rsid w:val="00B06F26"/>
    <w:rsid w:val="00B07347"/>
    <w:rsid w:val="00B07371"/>
    <w:rsid w:val="00B07464"/>
    <w:rsid w:val="00B07654"/>
    <w:rsid w:val="00B078DA"/>
    <w:rsid w:val="00B07A95"/>
    <w:rsid w:val="00B07ACF"/>
    <w:rsid w:val="00B07C59"/>
    <w:rsid w:val="00B07DB6"/>
    <w:rsid w:val="00B07E03"/>
    <w:rsid w:val="00B07EE3"/>
    <w:rsid w:val="00B07F41"/>
    <w:rsid w:val="00B10195"/>
    <w:rsid w:val="00B102E8"/>
    <w:rsid w:val="00B10312"/>
    <w:rsid w:val="00B10908"/>
    <w:rsid w:val="00B10975"/>
    <w:rsid w:val="00B109E6"/>
    <w:rsid w:val="00B10E96"/>
    <w:rsid w:val="00B10F28"/>
    <w:rsid w:val="00B10FF3"/>
    <w:rsid w:val="00B11308"/>
    <w:rsid w:val="00B11612"/>
    <w:rsid w:val="00B11816"/>
    <w:rsid w:val="00B11D10"/>
    <w:rsid w:val="00B12395"/>
    <w:rsid w:val="00B12985"/>
    <w:rsid w:val="00B12A89"/>
    <w:rsid w:val="00B130D5"/>
    <w:rsid w:val="00B132C3"/>
    <w:rsid w:val="00B13358"/>
    <w:rsid w:val="00B136FA"/>
    <w:rsid w:val="00B1379D"/>
    <w:rsid w:val="00B13BE5"/>
    <w:rsid w:val="00B13D06"/>
    <w:rsid w:val="00B13E8E"/>
    <w:rsid w:val="00B143A1"/>
    <w:rsid w:val="00B1474C"/>
    <w:rsid w:val="00B14816"/>
    <w:rsid w:val="00B148FC"/>
    <w:rsid w:val="00B14A35"/>
    <w:rsid w:val="00B14B18"/>
    <w:rsid w:val="00B14E1C"/>
    <w:rsid w:val="00B14EC0"/>
    <w:rsid w:val="00B14EE7"/>
    <w:rsid w:val="00B150DE"/>
    <w:rsid w:val="00B150EC"/>
    <w:rsid w:val="00B152AD"/>
    <w:rsid w:val="00B152F0"/>
    <w:rsid w:val="00B15327"/>
    <w:rsid w:val="00B1537C"/>
    <w:rsid w:val="00B15A3A"/>
    <w:rsid w:val="00B15ADC"/>
    <w:rsid w:val="00B15B22"/>
    <w:rsid w:val="00B15DF7"/>
    <w:rsid w:val="00B15E77"/>
    <w:rsid w:val="00B163D8"/>
    <w:rsid w:val="00B1669D"/>
    <w:rsid w:val="00B168C8"/>
    <w:rsid w:val="00B16A6D"/>
    <w:rsid w:val="00B16A9E"/>
    <w:rsid w:val="00B16C79"/>
    <w:rsid w:val="00B16E7D"/>
    <w:rsid w:val="00B173FB"/>
    <w:rsid w:val="00B17637"/>
    <w:rsid w:val="00B1783A"/>
    <w:rsid w:val="00B17C90"/>
    <w:rsid w:val="00B17FB6"/>
    <w:rsid w:val="00B20052"/>
    <w:rsid w:val="00B2005B"/>
    <w:rsid w:val="00B2007A"/>
    <w:rsid w:val="00B202CB"/>
    <w:rsid w:val="00B203CD"/>
    <w:rsid w:val="00B20489"/>
    <w:rsid w:val="00B20862"/>
    <w:rsid w:val="00B20BD0"/>
    <w:rsid w:val="00B20C78"/>
    <w:rsid w:val="00B20DE7"/>
    <w:rsid w:val="00B2109B"/>
    <w:rsid w:val="00B210E5"/>
    <w:rsid w:val="00B21523"/>
    <w:rsid w:val="00B21B53"/>
    <w:rsid w:val="00B21D13"/>
    <w:rsid w:val="00B21E63"/>
    <w:rsid w:val="00B22B31"/>
    <w:rsid w:val="00B22F25"/>
    <w:rsid w:val="00B2311C"/>
    <w:rsid w:val="00B2329B"/>
    <w:rsid w:val="00B235F6"/>
    <w:rsid w:val="00B2375E"/>
    <w:rsid w:val="00B23A18"/>
    <w:rsid w:val="00B23B0B"/>
    <w:rsid w:val="00B23C93"/>
    <w:rsid w:val="00B23E6A"/>
    <w:rsid w:val="00B23E84"/>
    <w:rsid w:val="00B23F45"/>
    <w:rsid w:val="00B2467A"/>
    <w:rsid w:val="00B24761"/>
    <w:rsid w:val="00B24785"/>
    <w:rsid w:val="00B247D0"/>
    <w:rsid w:val="00B24B84"/>
    <w:rsid w:val="00B256C0"/>
    <w:rsid w:val="00B25DD4"/>
    <w:rsid w:val="00B25EA8"/>
    <w:rsid w:val="00B261FD"/>
    <w:rsid w:val="00B2649B"/>
    <w:rsid w:val="00B264DF"/>
    <w:rsid w:val="00B2666B"/>
    <w:rsid w:val="00B266E5"/>
    <w:rsid w:val="00B2684C"/>
    <w:rsid w:val="00B26BA4"/>
    <w:rsid w:val="00B27226"/>
    <w:rsid w:val="00B272CA"/>
    <w:rsid w:val="00B27B86"/>
    <w:rsid w:val="00B27D1B"/>
    <w:rsid w:val="00B27F79"/>
    <w:rsid w:val="00B30016"/>
    <w:rsid w:val="00B30805"/>
    <w:rsid w:val="00B308D4"/>
    <w:rsid w:val="00B30A20"/>
    <w:rsid w:val="00B30C8F"/>
    <w:rsid w:val="00B313C8"/>
    <w:rsid w:val="00B31475"/>
    <w:rsid w:val="00B31B53"/>
    <w:rsid w:val="00B31D36"/>
    <w:rsid w:val="00B31EDB"/>
    <w:rsid w:val="00B324AE"/>
    <w:rsid w:val="00B326DC"/>
    <w:rsid w:val="00B3281F"/>
    <w:rsid w:val="00B32F01"/>
    <w:rsid w:val="00B32F3A"/>
    <w:rsid w:val="00B330B7"/>
    <w:rsid w:val="00B33405"/>
    <w:rsid w:val="00B33577"/>
    <w:rsid w:val="00B3375A"/>
    <w:rsid w:val="00B33B7E"/>
    <w:rsid w:val="00B33E94"/>
    <w:rsid w:val="00B34376"/>
    <w:rsid w:val="00B34532"/>
    <w:rsid w:val="00B34611"/>
    <w:rsid w:val="00B3476A"/>
    <w:rsid w:val="00B348BA"/>
    <w:rsid w:val="00B348E5"/>
    <w:rsid w:val="00B3499F"/>
    <w:rsid w:val="00B35224"/>
    <w:rsid w:val="00B354DA"/>
    <w:rsid w:val="00B3575F"/>
    <w:rsid w:val="00B35A21"/>
    <w:rsid w:val="00B35BD9"/>
    <w:rsid w:val="00B35D5D"/>
    <w:rsid w:val="00B35F0F"/>
    <w:rsid w:val="00B361F1"/>
    <w:rsid w:val="00B361F3"/>
    <w:rsid w:val="00B36219"/>
    <w:rsid w:val="00B36573"/>
    <w:rsid w:val="00B36687"/>
    <w:rsid w:val="00B36D79"/>
    <w:rsid w:val="00B37163"/>
    <w:rsid w:val="00B375AC"/>
    <w:rsid w:val="00B37C5B"/>
    <w:rsid w:val="00B37D08"/>
    <w:rsid w:val="00B37E35"/>
    <w:rsid w:val="00B400C7"/>
    <w:rsid w:val="00B40195"/>
    <w:rsid w:val="00B4019B"/>
    <w:rsid w:val="00B4057A"/>
    <w:rsid w:val="00B40594"/>
    <w:rsid w:val="00B405CD"/>
    <w:rsid w:val="00B40969"/>
    <w:rsid w:val="00B41480"/>
    <w:rsid w:val="00B4159A"/>
    <w:rsid w:val="00B41661"/>
    <w:rsid w:val="00B4166D"/>
    <w:rsid w:val="00B41747"/>
    <w:rsid w:val="00B41864"/>
    <w:rsid w:val="00B41900"/>
    <w:rsid w:val="00B41928"/>
    <w:rsid w:val="00B41C6A"/>
    <w:rsid w:val="00B41ED7"/>
    <w:rsid w:val="00B42488"/>
    <w:rsid w:val="00B42680"/>
    <w:rsid w:val="00B4278F"/>
    <w:rsid w:val="00B42848"/>
    <w:rsid w:val="00B429B8"/>
    <w:rsid w:val="00B42D13"/>
    <w:rsid w:val="00B42E81"/>
    <w:rsid w:val="00B42F50"/>
    <w:rsid w:val="00B42FB4"/>
    <w:rsid w:val="00B43197"/>
    <w:rsid w:val="00B431F7"/>
    <w:rsid w:val="00B4373F"/>
    <w:rsid w:val="00B4382D"/>
    <w:rsid w:val="00B43A20"/>
    <w:rsid w:val="00B43C78"/>
    <w:rsid w:val="00B43CA5"/>
    <w:rsid w:val="00B43DDF"/>
    <w:rsid w:val="00B441D9"/>
    <w:rsid w:val="00B4490D"/>
    <w:rsid w:val="00B44D1E"/>
    <w:rsid w:val="00B44E6A"/>
    <w:rsid w:val="00B451B0"/>
    <w:rsid w:val="00B45284"/>
    <w:rsid w:val="00B4534E"/>
    <w:rsid w:val="00B4555B"/>
    <w:rsid w:val="00B4585D"/>
    <w:rsid w:val="00B45A94"/>
    <w:rsid w:val="00B45B69"/>
    <w:rsid w:val="00B45C0A"/>
    <w:rsid w:val="00B45C54"/>
    <w:rsid w:val="00B45C84"/>
    <w:rsid w:val="00B45D87"/>
    <w:rsid w:val="00B45F30"/>
    <w:rsid w:val="00B45FDD"/>
    <w:rsid w:val="00B46085"/>
    <w:rsid w:val="00B46292"/>
    <w:rsid w:val="00B46397"/>
    <w:rsid w:val="00B465CC"/>
    <w:rsid w:val="00B466CC"/>
    <w:rsid w:val="00B466D6"/>
    <w:rsid w:val="00B4682D"/>
    <w:rsid w:val="00B47935"/>
    <w:rsid w:val="00B47973"/>
    <w:rsid w:val="00B479CE"/>
    <w:rsid w:val="00B47A3F"/>
    <w:rsid w:val="00B47EC0"/>
    <w:rsid w:val="00B50146"/>
    <w:rsid w:val="00B50406"/>
    <w:rsid w:val="00B50433"/>
    <w:rsid w:val="00B5046D"/>
    <w:rsid w:val="00B50724"/>
    <w:rsid w:val="00B50ABB"/>
    <w:rsid w:val="00B50AC7"/>
    <w:rsid w:val="00B510C1"/>
    <w:rsid w:val="00B51135"/>
    <w:rsid w:val="00B5143A"/>
    <w:rsid w:val="00B51464"/>
    <w:rsid w:val="00B5146F"/>
    <w:rsid w:val="00B518DD"/>
    <w:rsid w:val="00B51BAB"/>
    <w:rsid w:val="00B51E47"/>
    <w:rsid w:val="00B51EA8"/>
    <w:rsid w:val="00B521AB"/>
    <w:rsid w:val="00B524AF"/>
    <w:rsid w:val="00B52B1D"/>
    <w:rsid w:val="00B52C86"/>
    <w:rsid w:val="00B53483"/>
    <w:rsid w:val="00B535D6"/>
    <w:rsid w:val="00B53685"/>
    <w:rsid w:val="00B53937"/>
    <w:rsid w:val="00B53BEB"/>
    <w:rsid w:val="00B5405C"/>
    <w:rsid w:val="00B54268"/>
    <w:rsid w:val="00B54539"/>
    <w:rsid w:val="00B54C59"/>
    <w:rsid w:val="00B54EAC"/>
    <w:rsid w:val="00B55105"/>
    <w:rsid w:val="00B55151"/>
    <w:rsid w:val="00B55203"/>
    <w:rsid w:val="00B55227"/>
    <w:rsid w:val="00B55649"/>
    <w:rsid w:val="00B557E9"/>
    <w:rsid w:val="00B5584D"/>
    <w:rsid w:val="00B558BD"/>
    <w:rsid w:val="00B55978"/>
    <w:rsid w:val="00B55AA3"/>
    <w:rsid w:val="00B55C48"/>
    <w:rsid w:val="00B55E55"/>
    <w:rsid w:val="00B56083"/>
    <w:rsid w:val="00B5624B"/>
    <w:rsid w:val="00B56497"/>
    <w:rsid w:val="00B5653A"/>
    <w:rsid w:val="00B56728"/>
    <w:rsid w:val="00B574AD"/>
    <w:rsid w:val="00B5761E"/>
    <w:rsid w:val="00B57645"/>
    <w:rsid w:val="00B576A1"/>
    <w:rsid w:val="00B57D3B"/>
    <w:rsid w:val="00B57D6F"/>
    <w:rsid w:val="00B57D93"/>
    <w:rsid w:val="00B57EDA"/>
    <w:rsid w:val="00B60143"/>
    <w:rsid w:val="00B60A05"/>
    <w:rsid w:val="00B60DA3"/>
    <w:rsid w:val="00B6105D"/>
    <w:rsid w:val="00B610CF"/>
    <w:rsid w:val="00B6133D"/>
    <w:rsid w:val="00B616F5"/>
    <w:rsid w:val="00B61920"/>
    <w:rsid w:val="00B61C8D"/>
    <w:rsid w:val="00B62446"/>
    <w:rsid w:val="00B625D7"/>
    <w:rsid w:val="00B62BCF"/>
    <w:rsid w:val="00B62DE4"/>
    <w:rsid w:val="00B63370"/>
    <w:rsid w:val="00B6394B"/>
    <w:rsid w:val="00B639C3"/>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A5E"/>
    <w:rsid w:val="00B65AE0"/>
    <w:rsid w:val="00B65B0A"/>
    <w:rsid w:val="00B65B42"/>
    <w:rsid w:val="00B65BA3"/>
    <w:rsid w:val="00B65FAD"/>
    <w:rsid w:val="00B66144"/>
    <w:rsid w:val="00B663B4"/>
    <w:rsid w:val="00B663D2"/>
    <w:rsid w:val="00B663EB"/>
    <w:rsid w:val="00B66531"/>
    <w:rsid w:val="00B66533"/>
    <w:rsid w:val="00B66BDE"/>
    <w:rsid w:val="00B67197"/>
    <w:rsid w:val="00B674F0"/>
    <w:rsid w:val="00B6762E"/>
    <w:rsid w:val="00B677EC"/>
    <w:rsid w:val="00B67BA4"/>
    <w:rsid w:val="00B67D3A"/>
    <w:rsid w:val="00B67ED1"/>
    <w:rsid w:val="00B7032E"/>
    <w:rsid w:val="00B70381"/>
    <w:rsid w:val="00B70C0F"/>
    <w:rsid w:val="00B70D35"/>
    <w:rsid w:val="00B7130B"/>
    <w:rsid w:val="00B71469"/>
    <w:rsid w:val="00B71B16"/>
    <w:rsid w:val="00B71C57"/>
    <w:rsid w:val="00B72072"/>
    <w:rsid w:val="00B721BA"/>
    <w:rsid w:val="00B7226D"/>
    <w:rsid w:val="00B72466"/>
    <w:rsid w:val="00B724EF"/>
    <w:rsid w:val="00B72828"/>
    <w:rsid w:val="00B729C3"/>
    <w:rsid w:val="00B72C64"/>
    <w:rsid w:val="00B72F22"/>
    <w:rsid w:val="00B7367E"/>
    <w:rsid w:val="00B740A0"/>
    <w:rsid w:val="00B741FA"/>
    <w:rsid w:val="00B748AC"/>
    <w:rsid w:val="00B74ADE"/>
    <w:rsid w:val="00B74B58"/>
    <w:rsid w:val="00B74CC1"/>
    <w:rsid w:val="00B74E60"/>
    <w:rsid w:val="00B74E77"/>
    <w:rsid w:val="00B75237"/>
    <w:rsid w:val="00B754F2"/>
    <w:rsid w:val="00B7554D"/>
    <w:rsid w:val="00B75575"/>
    <w:rsid w:val="00B755ED"/>
    <w:rsid w:val="00B757AD"/>
    <w:rsid w:val="00B757DC"/>
    <w:rsid w:val="00B75ADC"/>
    <w:rsid w:val="00B75ADF"/>
    <w:rsid w:val="00B75C10"/>
    <w:rsid w:val="00B75CFA"/>
    <w:rsid w:val="00B75FEB"/>
    <w:rsid w:val="00B76137"/>
    <w:rsid w:val="00B76151"/>
    <w:rsid w:val="00B76173"/>
    <w:rsid w:val="00B761AA"/>
    <w:rsid w:val="00B761DD"/>
    <w:rsid w:val="00B762E4"/>
    <w:rsid w:val="00B76A00"/>
    <w:rsid w:val="00B76A8E"/>
    <w:rsid w:val="00B76AEB"/>
    <w:rsid w:val="00B7717A"/>
    <w:rsid w:val="00B77223"/>
    <w:rsid w:val="00B772F6"/>
    <w:rsid w:val="00B77391"/>
    <w:rsid w:val="00B7793E"/>
    <w:rsid w:val="00B77C32"/>
    <w:rsid w:val="00B77D32"/>
    <w:rsid w:val="00B800BC"/>
    <w:rsid w:val="00B802EA"/>
    <w:rsid w:val="00B8072F"/>
    <w:rsid w:val="00B8080C"/>
    <w:rsid w:val="00B80CE0"/>
    <w:rsid w:val="00B80DE6"/>
    <w:rsid w:val="00B8105F"/>
    <w:rsid w:val="00B810E4"/>
    <w:rsid w:val="00B8111F"/>
    <w:rsid w:val="00B8116E"/>
    <w:rsid w:val="00B811A9"/>
    <w:rsid w:val="00B812E1"/>
    <w:rsid w:val="00B81422"/>
    <w:rsid w:val="00B81998"/>
    <w:rsid w:val="00B81D76"/>
    <w:rsid w:val="00B8206F"/>
    <w:rsid w:val="00B82146"/>
    <w:rsid w:val="00B82241"/>
    <w:rsid w:val="00B823BB"/>
    <w:rsid w:val="00B82436"/>
    <w:rsid w:val="00B82522"/>
    <w:rsid w:val="00B82728"/>
    <w:rsid w:val="00B828C2"/>
    <w:rsid w:val="00B82B3A"/>
    <w:rsid w:val="00B82C3F"/>
    <w:rsid w:val="00B82F6B"/>
    <w:rsid w:val="00B831FA"/>
    <w:rsid w:val="00B832FF"/>
    <w:rsid w:val="00B83528"/>
    <w:rsid w:val="00B83839"/>
    <w:rsid w:val="00B83951"/>
    <w:rsid w:val="00B83A2F"/>
    <w:rsid w:val="00B83CD8"/>
    <w:rsid w:val="00B83DBB"/>
    <w:rsid w:val="00B83EFA"/>
    <w:rsid w:val="00B84322"/>
    <w:rsid w:val="00B84517"/>
    <w:rsid w:val="00B845D9"/>
    <w:rsid w:val="00B848EA"/>
    <w:rsid w:val="00B85151"/>
    <w:rsid w:val="00B857FC"/>
    <w:rsid w:val="00B85B18"/>
    <w:rsid w:val="00B85B1C"/>
    <w:rsid w:val="00B85C5F"/>
    <w:rsid w:val="00B85D3C"/>
    <w:rsid w:val="00B85DA1"/>
    <w:rsid w:val="00B85DB6"/>
    <w:rsid w:val="00B85F82"/>
    <w:rsid w:val="00B8650B"/>
    <w:rsid w:val="00B86523"/>
    <w:rsid w:val="00B86834"/>
    <w:rsid w:val="00B86842"/>
    <w:rsid w:val="00B86CBA"/>
    <w:rsid w:val="00B8751E"/>
    <w:rsid w:val="00B8767A"/>
    <w:rsid w:val="00B877AC"/>
    <w:rsid w:val="00B87829"/>
    <w:rsid w:val="00B878BA"/>
    <w:rsid w:val="00B878C0"/>
    <w:rsid w:val="00B87999"/>
    <w:rsid w:val="00B87B06"/>
    <w:rsid w:val="00B87C42"/>
    <w:rsid w:val="00B87CF3"/>
    <w:rsid w:val="00B87E7A"/>
    <w:rsid w:val="00B90017"/>
    <w:rsid w:val="00B90B01"/>
    <w:rsid w:val="00B90BC0"/>
    <w:rsid w:val="00B90D77"/>
    <w:rsid w:val="00B90DA8"/>
    <w:rsid w:val="00B90F2C"/>
    <w:rsid w:val="00B90FAA"/>
    <w:rsid w:val="00B913AA"/>
    <w:rsid w:val="00B91938"/>
    <w:rsid w:val="00B91A4A"/>
    <w:rsid w:val="00B91B06"/>
    <w:rsid w:val="00B91BED"/>
    <w:rsid w:val="00B91CDD"/>
    <w:rsid w:val="00B91D6C"/>
    <w:rsid w:val="00B92454"/>
    <w:rsid w:val="00B925AE"/>
    <w:rsid w:val="00B92AAA"/>
    <w:rsid w:val="00B93083"/>
    <w:rsid w:val="00B932C2"/>
    <w:rsid w:val="00B93500"/>
    <w:rsid w:val="00B93889"/>
    <w:rsid w:val="00B939A3"/>
    <w:rsid w:val="00B93B5A"/>
    <w:rsid w:val="00B94031"/>
    <w:rsid w:val="00B945FC"/>
    <w:rsid w:val="00B94920"/>
    <w:rsid w:val="00B94993"/>
    <w:rsid w:val="00B94AE4"/>
    <w:rsid w:val="00B94EBF"/>
    <w:rsid w:val="00B95002"/>
    <w:rsid w:val="00B9534D"/>
    <w:rsid w:val="00B95478"/>
    <w:rsid w:val="00B95842"/>
    <w:rsid w:val="00B958F2"/>
    <w:rsid w:val="00B95939"/>
    <w:rsid w:val="00B959E9"/>
    <w:rsid w:val="00B95A92"/>
    <w:rsid w:val="00B95C2F"/>
    <w:rsid w:val="00B96200"/>
    <w:rsid w:val="00B96414"/>
    <w:rsid w:val="00B964AD"/>
    <w:rsid w:val="00B967F4"/>
    <w:rsid w:val="00B9685F"/>
    <w:rsid w:val="00B96939"/>
    <w:rsid w:val="00B96ECB"/>
    <w:rsid w:val="00B97202"/>
    <w:rsid w:val="00B97992"/>
    <w:rsid w:val="00B979E0"/>
    <w:rsid w:val="00B97B59"/>
    <w:rsid w:val="00B97F0B"/>
    <w:rsid w:val="00BA01B4"/>
    <w:rsid w:val="00BA02A4"/>
    <w:rsid w:val="00BA0549"/>
    <w:rsid w:val="00BA0715"/>
    <w:rsid w:val="00BA0AFA"/>
    <w:rsid w:val="00BA0ED5"/>
    <w:rsid w:val="00BA101E"/>
    <w:rsid w:val="00BA10FA"/>
    <w:rsid w:val="00BA1428"/>
    <w:rsid w:val="00BA146E"/>
    <w:rsid w:val="00BA1EFF"/>
    <w:rsid w:val="00BA1F30"/>
    <w:rsid w:val="00BA2028"/>
    <w:rsid w:val="00BA24C2"/>
    <w:rsid w:val="00BA265D"/>
    <w:rsid w:val="00BA27B4"/>
    <w:rsid w:val="00BA27C4"/>
    <w:rsid w:val="00BA2887"/>
    <w:rsid w:val="00BA2C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EC4"/>
    <w:rsid w:val="00BA623C"/>
    <w:rsid w:val="00BA6258"/>
    <w:rsid w:val="00BA6373"/>
    <w:rsid w:val="00BA6890"/>
    <w:rsid w:val="00BA692F"/>
    <w:rsid w:val="00BA6A4C"/>
    <w:rsid w:val="00BA6B31"/>
    <w:rsid w:val="00BA6C41"/>
    <w:rsid w:val="00BA6C52"/>
    <w:rsid w:val="00BA6FCD"/>
    <w:rsid w:val="00BA71BA"/>
    <w:rsid w:val="00BA7AA0"/>
    <w:rsid w:val="00BA7BCD"/>
    <w:rsid w:val="00BA7BDB"/>
    <w:rsid w:val="00BA7C40"/>
    <w:rsid w:val="00BB00D7"/>
    <w:rsid w:val="00BB014E"/>
    <w:rsid w:val="00BB0213"/>
    <w:rsid w:val="00BB05A5"/>
    <w:rsid w:val="00BB0795"/>
    <w:rsid w:val="00BB0C62"/>
    <w:rsid w:val="00BB1903"/>
    <w:rsid w:val="00BB1E7E"/>
    <w:rsid w:val="00BB2043"/>
    <w:rsid w:val="00BB2198"/>
    <w:rsid w:val="00BB21DA"/>
    <w:rsid w:val="00BB21EE"/>
    <w:rsid w:val="00BB24AE"/>
    <w:rsid w:val="00BB26E2"/>
    <w:rsid w:val="00BB2A87"/>
    <w:rsid w:val="00BB2B09"/>
    <w:rsid w:val="00BB2D3D"/>
    <w:rsid w:val="00BB2DF3"/>
    <w:rsid w:val="00BB2F99"/>
    <w:rsid w:val="00BB320C"/>
    <w:rsid w:val="00BB33EB"/>
    <w:rsid w:val="00BB3538"/>
    <w:rsid w:val="00BB36F8"/>
    <w:rsid w:val="00BB373B"/>
    <w:rsid w:val="00BB3877"/>
    <w:rsid w:val="00BB3954"/>
    <w:rsid w:val="00BB3A2E"/>
    <w:rsid w:val="00BB41CF"/>
    <w:rsid w:val="00BB45A3"/>
    <w:rsid w:val="00BB4767"/>
    <w:rsid w:val="00BB4DAC"/>
    <w:rsid w:val="00BB50B7"/>
    <w:rsid w:val="00BB51E4"/>
    <w:rsid w:val="00BB5218"/>
    <w:rsid w:val="00BB542F"/>
    <w:rsid w:val="00BB5590"/>
    <w:rsid w:val="00BB5604"/>
    <w:rsid w:val="00BB57D1"/>
    <w:rsid w:val="00BB581C"/>
    <w:rsid w:val="00BB5955"/>
    <w:rsid w:val="00BB5AE0"/>
    <w:rsid w:val="00BB5CF4"/>
    <w:rsid w:val="00BB5F46"/>
    <w:rsid w:val="00BB5FE4"/>
    <w:rsid w:val="00BB6088"/>
    <w:rsid w:val="00BB627A"/>
    <w:rsid w:val="00BB6335"/>
    <w:rsid w:val="00BB66A4"/>
    <w:rsid w:val="00BB6772"/>
    <w:rsid w:val="00BB6876"/>
    <w:rsid w:val="00BB6945"/>
    <w:rsid w:val="00BB6C95"/>
    <w:rsid w:val="00BB735E"/>
    <w:rsid w:val="00BB79D4"/>
    <w:rsid w:val="00BB7FB4"/>
    <w:rsid w:val="00BB7FC1"/>
    <w:rsid w:val="00BC002D"/>
    <w:rsid w:val="00BC0322"/>
    <w:rsid w:val="00BC0662"/>
    <w:rsid w:val="00BC06C5"/>
    <w:rsid w:val="00BC07C6"/>
    <w:rsid w:val="00BC097C"/>
    <w:rsid w:val="00BC09BB"/>
    <w:rsid w:val="00BC0BA4"/>
    <w:rsid w:val="00BC0C41"/>
    <w:rsid w:val="00BC1353"/>
    <w:rsid w:val="00BC1380"/>
    <w:rsid w:val="00BC1693"/>
    <w:rsid w:val="00BC1701"/>
    <w:rsid w:val="00BC182F"/>
    <w:rsid w:val="00BC1AA9"/>
    <w:rsid w:val="00BC20A6"/>
    <w:rsid w:val="00BC2205"/>
    <w:rsid w:val="00BC235D"/>
    <w:rsid w:val="00BC2589"/>
    <w:rsid w:val="00BC2724"/>
    <w:rsid w:val="00BC29D8"/>
    <w:rsid w:val="00BC2AC0"/>
    <w:rsid w:val="00BC2C3C"/>
    <w:rsid w:val="00BC2C8A"/>
    <w:rsid w:val="00BC2E80"/>
    <w:rsid w:val="00BC3261"/>
    <w:rsid w:val="00BC3661"/>
    <w:rsid w:val="00BC3840"/>
    <w:rsid w:val="00BC38BC"/>
    <w:rsid w:val="00BC39CE"/>
    <w:rsid w:val="00BC3A4F"/>
    <w:rsid w:val="00BC3A72"/>
    <w:rsid w:val="00BC3A80"/>
    <w:rsid w:val="00BC449A"/>
    <w:rsid w:val="00BC4574"/>
    <w:rsid w:val="00BC466D"/>
    <w:rsid w:val="00BC4730"/>
    <w:rsid w:val="00BC4928"/>
    <w:rsid w:val="00BC4DC8"/>
    <w:rsid w:val="00BC511A"/>
    <w:rsid w:val="00BC5436"/>
    <w:rsid w:val="00BC5457"/>
    <w:rsid w:val="00BC5F0C"/>
    <w:rsid w:val="00BC6164"/>
    <w:rsid w:val="00BC6423"/>
    <w:rsid w:val="00BC664A"/>
    <w:rsid w:val="00BC67F8"/>
    <w:rsid w:val="00BC6818"/>
    <w:rsid w:val="00BC6A99"/>
    <w:rsid w:val="00BC6E3C"/>
    <w:rsid w:val="00BC6E53"/>
    <w:rsid w:val="00BC6F58"/>
    <w:rsid w:val="00BC6FF5"/>
    <w:rsid w:val="00BC7145"/>
    <w:rsid w:val="00BC72ED"/>
    <w:rsid w:val="00BC762C"/>
    <w:rsid w:val="00BC77A9"/>
    <w:rsid w:val="00BC7903"/>
    <w:rsid w:val="00BC7A07"/>
    <w:rsid w:val="00BD0049"/>
    <w:rsid w:val="00BD01E4"/>
    <w:rsid w:val="00BD04AF"/>
    <w:rsid w:val="00BD0627"/>
    <w:rsid w:val="00BD0779"/>
    <w:rsid w:val="00BD0835"/>
    <w:rsid w:val="00BD0AEC"/>
    <w:rsid w:val="00BD0B02"/>
    <w:rsid w:val="00BD190B"/>
    <w:rsid w:val="00BD1D39"/>
    <w:rsid w:val="00BD21A0"/>
    <w:rsid w:val="00BD2338"/>
    <w:rsid w:val="00BD2498"/>
    <w:rsid w:val="00BD2572"/>
    <w:rsid w:val="00BD2806"/>
    <w:rsid w:val="00BD28E5"/>
    <w:rsid w:val="00BD29F0"/>
    <w:rsid w:val="00BD2B37"/>
    <w:rsid w:val="00BD2C90"/>
    <w:rsid w:val="00BD307C"/>
    <w:rsid w:val="00BD3314"/>
    <w:rsid w:val="00BD33C4"/>
    <w:rsid w:val="00BD3533"/>
    <w:rsid w:val="00BD3C7C"/>
    <w:rsid w:val="00BD415D"/>
    <w:rsid w:val="00BD418F"/>
    <w:rsid w:val="00BD44CC"/>
    <w:rsid w:val="00BD4F4D"/>
    <w:rsid w:val="00BD5141"/>
    <w:rsid w:val="00BD53A0"/>
    <w:rsid w:val="00BD55B7"/>
    <w:rsid w:val="00BD56FE"/>
    <w:rsid w:val="00BD5B99"/>
    <w:rsid w:val="00BD6136"/>
    <w:rsid w:val="00BD620C"/>
    <w:rsid w:val="00BD634F"/>
    <w:rsid w:val="00BD66F1"/>
    <w:rsid w:val="00BD697A"/>
    <w:rsid w:val="00BD6EA9"/>
    <w:rsid w:val="00BD707F"/>
    <w:rsid w:val="00BD70AF"/>
    <w:rsid w:val="00BD7206"/>
    <w:rsid w:val="00BD7507"/>
    <w:rsid w:val="00BD780E"/>
    <w:rsid w:val="00BD7894"/>
    <w:rsid w:val="00BD78B9"/>
    <w:rsid w:val="00BD79E3"/>
    <w:rsid w:val="00BD7B2F"/>
    <w:rsid w:val="00BD7C0F"/>
    <w:rsid w:val="00BD7CC8"/>
    <w:rsid w:val="00BD7DA9"/>
    <w:rsid w:val="00BD7FF7"/>
    <w:rsid w:val="00BE0484"/>
    <w:rsid w:val="00BE0533"/>
    <w:rsid w:val="00BE055E"/>
    <w:rsid w:val="00BE0A83"/>
    <w:rsid w:val="00BE0B29"/>
    <w:rsid w:val="00BE0BA6"/>
    <w:rsid w:val="00BE0C5D"/>
    <w:rsid w:val="00BE1BF0"/>
    <w:rsid w:val="00BE1CA1"/>
    <w:rsid w:val="00BE1D00"/>
    <w:rsid w:val="00BE1ED6"/>
    <w:rsid w:val="00BE1F11"/>
    <w:rsid w:val="00BE1F39"/>
    <w:rsid w:val="00BE22D8"/>
    <w:rsid w:val="00BE23B2"/>
    <w:rsid w:val="00BE2649"/>
    <w:rsid w:val="00BE265A"/>
    <w:rsid w:val="00BE27CA"/>
    <w:rsid w:val="00BE2A22"/>
    <w:rsid w:val="00BE2B4F"/>
    <w:rsid w:val="00BE2D64"/>
    <w:rsid w:val="00BE2EB5"/>
    <w:rsid w:val="00BE2FA7"/>
    <w:rsid w:val="00BE300B"/>
    <w:rsid w:val="00BE33A5"/>
    <w:rsid w:val="00BE35A9"/>
    <w:rsid w:val="00BE3ABD"/>
    <w:rsid w:val="00BE3C32"/>
    <w:rsid w:val="00BE3EC3"/>
    <w:rsid w:val="00BE4598"/>
    <w:rsid w:val="00BE468C"/>
    <w:rsid w:val="00BE4867"/>
    <w:rsid w:val="00BE4AA0"/>
    <w:rsid w:val="00BE527F"/>
    <w:rsid w:val="00BE540D"/>
    <w:rsid w:val="00BE55F6"/>
    <w:rsid w:val="00BE56F7"/>
    <w:rsid w:val="00BE5AB9"/>
    <w:rsid w:val="00BE5E2B"/>
    <w:rsid w:val="00BE5E50"/>
    <w:rsid w:val="00BE61DB"/>
    <w:rsid w:val="00BE625C"/>
    <w:rsid w:val="00BE655D"/>
    <w:rsid w:val="00BE6603"/>
    <w:rsid w:val="00BE66E7"/>
    <w:rsid w:val="00BE6796"/>
    <w:rsid w:val="00BE71F2"/>
    <w:rsid w:val="00BE75F7"/>
    <w:rsid w:val="00BE766D"/>
    <w:rsid w:val="00BE76E3"/>
    <w:rsid w:val="00BE7A5D"/>
    <w:rsid w:val="00BE7ED5"/>
    <w:rsid w:val="00BE7F25"/>
    <w:rsid w:val="00BF047B"/>
    <w:rsid w:val="00BF0909"/>
    <w:rsid w:val="00BF097D"/>
    <w:rsid w:val="00BF0BC7"/>
    <w:rsid w:val="00BF0F65"/>
    <w:rsid w:val="00BF1131"/>
    <w:rsid w:val="00BF1284"/>
    <w:rsid w:val="00BF150C"/>
    <w:rsid w:val="00BF15FB"/>
    <w:rsid w:val="00BF1601"/>
    <w:rsid w:val="00BF1871"/>
    <w:rsid w:val="00BF19C2"/>
    <w:rsid w:val="00BF1B05"/>
    <w:rsid w:val="00BF1E61"/>
    <w:rsid w:val="00BF1F57"/>
    <w:rsid w:val="00BF207B"/>
    <w:rsid w:val="00BF2117"/>
    <w:rsid w:val="00BF26DA"/>
    <w:rsid w:val="00BF3219"/>
    <w:rsid w:val="00BF338E"/>
    <w:rsid w:val="00BF33FB"/>
    <w:rsid w:val="00BF3482"/>
    <w:rsid w:val="00BF3635"/>
    <w:rsid w:val="00BF3B71"/>
    <w:rsid w:val="00BF3C9E"/>
    <w:rsid w:val="00BF3CD8"/>
    <w:rsid w:val="00BF403F"/>
    <w:rsid w:val="00BF4077"/>
    <w:rsid w:val="00BF420E"/>
    <w:rsid w:val="00BF4278"/>
    <w:rsid w:val="00BF45E6"/>
    <w:rsid w:val="00BF4930"/>
    <w:rsid w:val="00BF49B6"/>
    <w:rsid w:val="00BF4B1C"/>
    <w:rsid w:val="00BF4BBE"/>
    <w:rsid w:val="00BF4DD4"/>
    <w:rsid w:val="00BF517E"/>
    <w:rsid w:val="00BF5212"/>
    <w:rsid w:val="00BF55BD"/>
    <w:rsid w:val="00BF5880"/>
    <w:rsid w:val="00BF5B3C"/>
    <w:rsid w:val="00BF5C03"/>
    <w:rsid w:val="00BF5E54"/>
    <w:rsid w:val="00BF5E6B"/>
    <w:rsid w:val="00BF5E7D"/>
    <w:rsid w:val="00BF5EEE"/>
    <w:rsid w:val="00BF6054"/>
    <w:rsid w:val="00BF69C5"/>
    <w:rsid w:val="00BF6CF1"/>
    <w:rsid w:val="00BF6E98"/>
    <w:rsid w:val="00BF6F76"/>
    <w:rsid w:val="00BF70A3"/>
    <w:rsid w:val="00BF710B"/>
    <w:rsid w:val="00BF7F91"/>
    <w:rsid w:val="00BF7FA4"/>
    <w:rsid w:val="00C0026B"/>
    <w:rsid w:val="00C00417"/>
    <w:rsid w:val="00C00584"/>
    <w:rsid w:val="00C00710"/>
    <w:rsid w:val="00C00A87"/>
    <w:rsid w:val="00C00B0A"/>
    <w:rsid w:val="00C00D1B"/>
    <w:rsid w:val="00C00FDC"/>
    <w:rsid w:val="00C0112E"/>
    <w:rsid w:val="00C011D4"/>
    <w:rsid w:val="00C0120E"/>
    <w:rsid w:val="00C013B8"/>
    <w:rsid w:val="00C01443"/>
    <w:rsid w:val="00C01766"/>
    <w:rsid w:val="00C0177C"/>
    <w:rsid w:val="00C01800"/>
    <w:rsid w:val="00C0185E"/>
    <w:rsid w:val="00C0217B"/>
    <w:rsid w:val="00C0222A"/>
    <w:rsid w:val="00C022C6"/>
    <w:rsid w:val="00C03AC0"/>
    <w:rsid w:val="00C03AEE"/>
    <w:rsid w:val="00C03B7A"/>
    <w:rsid w:val="00C0405B"/>
    <w:rsid w:val="00C043E6"/>
    <w:rsid w:val="00C04527"/>
    <w:rsid w:val="00C046A9"/>
    <w:rsid w:val="00C048BC"/>
    <w:rsid w:val="00C04F62"/>
    <w:rsid w:val="00C0517D"/>
    <w:rsid w:val="00C05407"/>
    <w:rsid w:val="00C0546F"/>
    <w:rsid w:val="00C056AF"/>
    <w:rsid w:val="00C0597F"/>
    <w:rsid w:val="00C05A4D"/>
    <w:rsid w:val="00C05A57"/>
    <w:rsid w:val="00C05A7C"/>
    <w:rsid w:val="00C05E24"/>
    <w:rsid w:val="00C06114"/>
    <w:rsid w:val="00C06372"/>
    <w:rsid w:val="00C064DB"/>
    <w:rsid w:val="00C06A75"/>
    <w:rsid w:val="00C06D3A"/>
    <w:rsid w:val="00C06DA1"/>
    <w:rsid w:val="00C07077"/>
    <w:rsid w:val="00C072DC"/>
    <w:rsid w:val="00C075FB"/>
    <w:rsid w:val="00C077B4"/>
    <w:rsid w:val="00C07822"/>
    <w:rsid w:val="00C07B2B"/>
    <w:rsid w:val="00C07F65"/>
    <w:rsid w:val="00C10325"/>
    <w:rsid w:val="00C104D3"/>
    <w:rsid w:val="00C106E3"/>
    <w:rsid w:val="00C10734"/>
    <w:rsid w:val="00C10C09"/>
    <w:rsid w:val="00C10F81"/>
    <w:rsid w:val="00C111BE"/>
    <w:rsid w:val="00C113C3"/>
    <w:rsid w:val="00C11788"/>
    <w:rsid w:val="00C117F6"/>
    <w:rsid w:val="00C11834"/>
    <w:rsid w:val="00C118E5"/>
    <w:rsid w:val="00C11932"/>
    <w:rsid w:val="00C119DA"/>
    <w:rsid w:val="00C11EBF"/>
    <w:rsid w:val="00C11F29"/>
    <w:rsid w:val="00C1205A"/>
    <w:rsid w:val="00C122C3"/>
    <w:rsid w:val="00C122D7"/>
    <w:rsid w:val="00C129A4"/>
    <w:rsid w:val="00C12A01"/>
    <w:rsid w:val="00C12A9A"/>
    <w:rsid w:val="00C12B5F"/>
    <w:rsid w:val="00C12C10"/>
    <w:rsid w:val="00C12C53"/>
    <w:rsid w:val="00C12D1D"/>
    <w:rsid w:val="00C13321"/>
    <w:rsid w:val="00C1339F"/>
    <w:rsid w:val="00C13512"/>
    <w:rsid w:val="00C136B6"/>
    <w:rsid w:val="00C13967"/>
    <w:rsid w:val="00C13A03"/>
    <w:rsid w:val="00C1400D"/>
    <w:rsid w:val="00C1516C"/>
    <w:rsid w:val="00C156F8"/>
    <w:rsid w:val="00C157D0"/>
    <w:rsid w:val="00C158F0"/>
    <w:rsid w:val="00C15949"/>
    <w:rsid w:val="00C159BB"/>
    <w:rsid w:val="00C15E91"/>
    <w:rsid w:val="00C160D2"/>
    <w:rsid w:val="00C1610B"/>
    <w:rsid w:val="00C16941"/>
    <w:rsid w:val="00C16AC0"/>
    <w:rsid w:val="00C16B14"/>
    <w:rsid w:val="00C16E88"/>
    <w:rsid w:val="00C1729E"/>
    <w:rsid w:val="00C173D6"/>
    <w:rsid w:val="00C17456"/>
    <w:rsid w:val="00C1794E"/>
    <w:rsid w:val="00C17A26"/>
    <w:rsid w:val="00C17A66"/>
    <w:rsid w:val="00C17BAC"/>
    <w:rsid w:val="00C17C1F"/>
    <w:rsid w:val="00C17D20"/>
    <w:rsid w:val="00C17FB6"/>
    <w:rsid w:val="00C20146"/>
    <w:rsid w:val="00C201D1"/>
    <w:rsid w:val="00C201F4"/>
    <w:rsid w:val="00C202C2"/>
    <w:rsid w:val="00C202E9"/>
    <w:rsid w:val="00C20391"/>
    <w:rsid w:val="00C203C7"/>
    <w:rsid w:val="00C207E1"/>
    <w:rsid w:val="00C20D4A"/>
    <w:rsid w:val="00C211F1"/>
    <w:rsid w:val="00C212B0"/>
    <w:rsid w:val="00C212DF"/>
    <w:rsid w:val="00C2147F"/>
    <w:rsid w:val="00C214B6"/>
    <w:rsid w:val="00C21743"/>
    <w:rsid w:val="00C21BB7"/>
    <w:rsid w:val="00C21D79"/>
    <w:rsid w:val="00C224D4"/>
    <w:rsid w:val="00C229C1"/>
    <w:rsid w:val="00C229F3"/>
    <w:rsid w:val="00C22A82"/>
    <w:rsid w:val="00C23510"/>
    <w:rsid w:val="00C23784"/>
    <w:rsid w:val="00C2399B"/>
    <w:rsid w:val="00C23A2B"/>
    <w:rsid w:val="00C23B5A"/>
    <w:rsid w:val="00C23DBE"/>
    <w:rsid w:val="00C242F0"/>
    <w:rsid w:val="00C24CD6"/>
    <w:rsid w:val="00C24D9E"/>
    <w:rsid w:val="00C2512B"/>
    <w:rsid w:val="00C25B31"/>
    <w:rsid w:val="00C25D66"/>
    <w:rsid w:val="00C25D70"/>
    <w:rsid w:val="00C2687C"/>
    <w:rsid w:val="00C26884"/>
    <w:rsid w:val="00C26911"/>
    <w:rsid w:val="00C269FA"/>
    <w:rsid w:val="00C26A4B"/>
    <w:rsid w:val="00C26AED"/>
    <w:rsid w:val="00C26E40"/>
    <w:rsid w:val="00C26E6C"/>
    <w:rsid w:val="00C26EC8"/>
    <w:rsid w:val="00C2700D"/>
    <w:rsid w:val="00C2713A"/>
    <w:rsid w:val="00C2723D"/>
    <w:rsid w:val="00C272AE"/>
    <w:rsid w:val="00C272C8"/>
    <w:rsid w:val="00C2789F"/>
    <w:rsid w:val="00C3064B"/>
    <w:rsid w:val="00C3080B"/>
    <w:rsid w:val="00C308DF"/>
    <w:rsid w:val="00C30C69"/>
    <w:rsid w:val="00C31502"/>
    <w:rsid w:val="00C317A9"/>
    <w:rsid w:val="00C31906"/>
    <w:rsid w:val="00C31C2B"/>
    <w:rsid w:val="00C31DA0"/>
    <w:rsid w:val="00C32286"/>
    <w:rsid w:val="00C32348"/>
    <w:rsid w:val="00C3238D"/>
    <w:rsid w:val="00C3239E"/>
    <w:rsid w:val="00C323A2"/>
    <w:rsid w:val="00C323EF"/>
    <w:rsid w:val="00C324AC"/>
    <w:rsid w:val="00C3261B"/>
    <w:rsid w:val="00C32665"/>
    <w:rsid w:val="00C3285A"/>
    <w:rsid w:val="00C32C3B"/>
    <w:rsid w:val="00C32C93"/>
    <w:rsid w:val="00C32E70"/>
    <w:rsid w:val="00C33106"/>
    <w:rsid w:val="00C33390"/>
    <w:rsid w:val="00C33861"/>
    <w:rsid w:val="00C33C98"/>
    <w:rsid w:val="00C33D0A"/>
    <w:rsid w:val="00C33D80"/>
    <w:rsid w:val="00C33FD0"/>
    <w:rsid w:val="00C34082"/>
    <w:rsid w:val="00C3424F"/>
    <w:rsid w:val="00C34254"/>
    <w:rsid w:val="00C34496"/>
    <w:rsid w:val="00C34B15"/>
    <w:rsid w:val="00C34B3B"/>
    <w:rsid w:val="00C34C2F"/>
    <w:rsid w:val="00C34DD3"/>
    <w:rsid w:val="00C350E2"/>
    <w:rsid w:val="00C35106"/>
    <w:rsid w:val="00C35570"/>
    <w:rsid w:val="00C356BC"/>
    <w:rsid w:val="00C35852"/>
    <w:rsid w:val="00C3588B"/>
    <w:rsid w:val="00C359DD"/>
    <w:rsid w:val="00C35DE7"/>
    <w:rsid w:val="00C36025"/>
    <w:rsid w:val="00C360CF"/>
    <w:rsid w:val="00C361A0"/>
    <w:rsid w:val="00C36A37"/>
    <w:rsid w:val="00C36AF0"/>
    <w:rsid w:val="00C36AF9"/>
    <w:rsid w:val="00C36DA7"/>
    <w:rsid w:val="00C37016"/>
    <w:rsid w:val="00C3723F"/>
    <w:rsid w:val="00C372E5"/>
    <w:rsid w:val="00C37349"/>
    <w:rsid w:val="00C37759"/>
    <w:rsid w:val="00C3777C"/>
    <w:rsid w:val="00C400AC"/>
    <w:rsid w:val="00C400D1"/>
    <w:rsid w:val="00C40178"/>
    <w:rsid w:val="00C405AA"/>
    <w:rsid w:val="00C408E7"/>
    <w:rsid w:val="00C41063"/>
    <w:rsid w:val="00C412FC"/>
    <w:rsid w:val="00C41372"/>
    <w:rsid w:val="00C415E4"/>
    <w:rsid w:val="00C416F5"/>
    <w:rsid w:val="00C4177E"/>
    <w:rsid w:val="00C41BB7"/>
    <w:rsid w:val="00C41C59"/>
    <w:rsid w:val="00C41D18"/>
    <w:rsid w:val="00C41F19"/>
    <w:rsid w:val="00C4232B"/>
    <w:rsid w:val="00C42466"/>
    <w:rsid w:val="00C427E9"/>
    <w:rsid w:val="00C4295C"/>
    <w:rsid w:val="00C42BC8"/>
    <w:rsid w:val="00C42C6C"/>
    <w:rsid w:val="00C433CA"/>
    <w:rsid w:val="00C434FF"/>
    <w:rsid w:val="00C4355E"/>
    <w:rsid w:val="00C43C1E"/>
    <w:rsid w:val="00C43FA8"/>
    <w:rsid w:val="00C4429E"/>
    <w:rsid w:val="00C442FA"/>
    <w:rsid w:val="00C4472C"/>
    <w:rsid w:val="00C44751"/>
    <w:rsid w:val="00C44C09"/>
    <w:rsid w:val="00C450DF"/>
    <w:rsid w:val="00C45157"/>
    <w:rsid w:val="00C451FF"/>
    <w:rsid w:val="00C4541A"/>
    <w:rsid w:val="00C4541C"/>
    <w:rsid w:val="00C45589"/>
    <w:rsid w:val="00C4571C"/>
    <w:rsid w:val="00C45C14"/>
    <w:rsid w:val="00C45D79"/>
    <w:rsid w:val="00C46167"/>
    <w:rsid w:val="00C46250"/>
    <w:rsid w:val="00C462BE"/>
    <w:rsid w:val="00C463BA"/>
    <w:rsid w:val="00C46415"/>
    <w:rsid w:val="00C46479"/>
    <w:rsid w:val="00C46675"/>
    <w:rsid w:val="00C46D3A"/>
    <w:rsid w:val="00C46DD9"/>
    <w:rsid w:val="00C46E01"/>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95"/>
    <w:rsid w:val="00C507BF"/>
    <w:rsid w:val="00C50952"/>
    <w:rsid w:val="00C50AB2"/>
    <w:rsid w:val="00C50AE1"/>
    <w:rsid w:val="00C50D5D"/>
    <w:rsid w:val="00C50DCC"/>
    <w:rsid w:val="00C51122"/>
    <w:rsid w:val="00C51165"/>
    <w:rsid w:val="00C51260"/>
    <w:rsid w:val="00C5129D"/>
    <w:rsid w:val="00C512DF"/>
    <w:rsid w:val="00C5149C"/>
    <w:rsid w:val="00C5158A"/>
    <w:rsid w:val="00C51843"/>
    <w:rsid w:val="00C5190F"/>
    <w:rsid w:val="00C51A9D"/>
    <w:rsid w:val="00C52374"/>
    <w:rsid w:val="00C523DC"/>
    <w:rsid w:val="00C5248C"/>
    <w:rsid w:val="00C524C7"/>
    <w:rsid w:val="00C52743"/>
    <w:rsid w:val="00C52983"/>
    <w:rsid w:val="00C529AF"/>
    <w:rsid w:val="00C531A9"/>
    <w:rsid w:val="00C53214"/>
    <w:rsid w:val="00C53314"/>
    <w:rsid w:val="00C538C3"/>
    <w:rsid w:val="00C53E97"/>
    <w:rsid w:val="00C543E1"/>
    <w:rsid w:val="00C5446C"/>
    <w:rsid w:val="00C54640"/>
    <w:rsid w:val="00C54BAA"/>
    <w:rsid w:val="00C55576"/>
    <w:rsid w:val="00C55AF1"/>
    <w:rsid w:val="00C55B3F"/>
    <w:rsid w:val="00C55C9F"/>
    <w:rsid w:val="00C56393"/>
    <w:rsid w:val="00C56D96"/>
    <w:rsid w:val="00C56ED2"/>
    <w:rsid w:val="00C56F5D"/>
    <w:rsid w:val="00C576F1"/>
    <w:rsid w:val="00C577AF"/>
    <w:rsid w:val="00C578BE"/>
    <w:rsid w:val="00C57B0A"/>
    <w:rsid w:val="00C57BB6"/>
    <w:rsid w:val="00C57E2B"/>
    <w:rsid w:val="00C60294"/>
    <w:rsid w:val="00C60B60"/>
    <w:rsid w:val="00C60DC4"/>
    <w:rsid w:val="00C612F9"/>
    <w:rsid w:val="00C61315"/>
    <w:rsid w:val="00C6185D"/>
    <w:rsid w:val="00C619D3"/>
    <w:rsid w:val="00C61DDC"/>
    <w:rsid w:val="00C61F45"/>
    <w:rsid w:val="00C62B86"/>
    <w:rsid w:val="00C62C8B"/>
    <w:rsid w:val="00C62D4B"/>
    <w:rsid w:val="00C632D7"/>
    <w:rsid w:val="00C636A0"/>
    <w:rsid w:val="00C637C4"/>
    <w:rsid w:val="00C6380D"/>
    <w:rsid w:val="00C63914"/>
    <w:rsid w:val="00C63DFB"/>
    <w:rsid w:val="00C644CD"/>
    <w:rsid w:val="00C646C5"/>
    <w:rsid w:val="00C64844"/>
    <w:rsid w:val="00C6497D"/>
    <w:rsid w:val="00C649DF"/>
    <w:rsid w:val="00C652F3"/>
    <w:rsid w:val="00C6570E"/>
    <w:rsid w:val="00C65A91"/>
    <w:rsid w:val="00C66228"/>
    <w:rsid w:val="00C664AF"/>
    <w:rsid w:val="00C6670D"/>
    <w:rsid w:val="00C66968"/>
    <w:rsid w:val="00C66C4B"/>
    <w:rsid w:val="00C67027"/>
    <w:rsid w:val="00C670B2"/>
    <w:rsid w:val="00C6710D"/>
    <w:rsid w:val="00C67194"/>
    <w:rsid w:val="00C675EA"/>
    <w:rsid w:val="00C679FE"/>
    <w:rsid w:val="00C700C4"/>
    <w:rsid w:val="00C700D2"/>
    <w:rsid w:val="00C70A4E"/>
    <w:rsid w:val="00C710E5"/>
    <w:rsid w:val="00C714E5"/>
    <w:rsid w:val="00C71BB8"/>
    <w:rsid w:val="00C72034"/>
    <w:rsid w:val="00C72339"/>
    <w:rsid w:val="00C72535"/>
    <w:rsid w:val="00C7255F"/>
    <w:rsid w:val="00C726DA"/>
    <w:rsid w:val="00C7275B"/>
    <w:rsid w:val="00C728B0"/>
    <w:rsid w:val="00C72A4E"/>
    <w:rsid w:val="00C72A8F"/>
    <w:rsid w:val="00C72B30"/>
    <w:rsid w:val="00C72DED"/>
    <w:rsid w:val="00C734E3"/>
    <w:rsid w:val="00C739C6"/>
    <w:rsid w:val="00C73FD5"/>
    <w:rsid w:val="00C74477"/>
    <w:rsid w:val="00C74688"/>
    <w:rsid w:val="00C74A96"/>
    <w:rsid w:val="00C74D79"/>
    <w:rsid w:val="00C75099"/>
    <w:rsid w:val="00C75201"/>
    <w:rsid w:val="00C7557B"/>
    <w:rsid w:val="00C756B7"/>
    <w:rsid w:val="00C75A95"/>
    <w:rsid w:val="00C75FD1"/>
    <w:rsid w:val="00C76551"/>
    <w:rsid w:val="00C76722"/>
    <w:rsid w:val="00C768F5"/>
    <w:rsid w:val="00C77018"/>
    <w:rsid w:val="00C7710E"/>
    <w:rsid w:val="00C77138"/>
    <w:rsid w:val="00C7718D"/>
    <w:rsid w:val="00C77254"/>
    <w:rsid w:val="00C7731C"/>
    <w:rsid w:val="00C7734B"/>
    <w:rsid w:val="00C774B6"/>
    <w:rsid w:val="00C77ABC"/>
    <w:rsid w:val="00C8063E"/>
    <w:rsid w:val="00C80A42"/>
    <w:rsid w:val="00C80B7A"/>
    <w:rsid w:val="00C80C1E"/>
    <w:rsid w:val="00C81188"/>
    <w:rsid w:val="00C814A6"/>
    <w:rsid w:val="00C81851"/>
    <w:rsid w:val="00C819B9"/>
    <w:rsid w:val="00C81E8D"/>
    <w:rsid w:val="00C81EE0"/>
    <w:rsid w:val="00C82014"/>
    <w:rsid w:val="00C8203D"/>
    <w:rsid w:val="00C8207F"/>
    <w:rsid w:val="00C82127"/>
    <w:rsid w:val="00C829E3"/>
    <w:rsid w:val="00C82AA0"/>
    <w:rsid w:val="00C82BA6"/>
    <w:rsid w:val="00C8332A"/>
    <w:rsid w:val="00C834B8"/>
    <w:rsid w:val="00C8353B"/>
    <w:rsid w:val="00C83714"/>
    <w:rsid w:val="00C8380F"/>
    <w:rsid w:val="00C83AB7"/>
    <w:rsid w:val="00C83D86"/>
    <w:rsid w:val="00C83DB9"/>
    <w:rsid w:val="00C842DB"/>
    <w:rsid w:val="00C847CC"/>
    <w:rsid w:val="00C84B6B"/>
    <w:rsid w:val="00C84D5D"/>
    <w:rsid w:val="00C84E93"/>
    <w:rsid w:val="00C850E6"/>
    <w:rsid w:val="00C85229"/>
    <w:rsid w:val="00C858DE"/>
    <w:rsid w:val="00C85CAF"/>
    <w:rsid w:val="00C85D4B"/>
    <w:rsid w:val="00C85D8A"/>
    <w:rsid w:val="00C85FA0"/>
    <w:rsid w:val="00C86551"/>
    <w:rsid w:val="00C86596"/>
    <w:rsid w:val="00C8665E"/>
    <w:rsid w:val="00C8667E"/>
    <w:rsid w:val="00C866B2"/>
    <w:rsid w:val="00C86A0E"/>
    <w:rsid w:val="00C86C03"/>
    <w:rsid w:val="00C86C2D"/>
    <w:rsid w:val="00C86C9B"/>
    <w:rsid w:val="00C87380"/>
    <w:rsid w:val="00C873A8"/>
    <w:rsid w:val="00C875DD"/>
    <w:rsid w:val="00C87739"/>
    <w:rsid w:val="00C878B8"/>
    <w:rsid w:val="00C879CC"/>
    <w:rsid w:val="00C87A80"/>
    <w:rsid w:val="00C87BDE"/>
    <w:rsid w:val="00C87F2B"/>
    <w:rsid w:val="00C87F70"/>
    <w:rsid w:val="00C902FB"/>
    <w:rsid w:val="00C906F4"/>
    <w:rsid w:val="00C90A77"/>
    <w:rsid w:val="00C90B01"/>
    <w:rsid w:val="00C90C54"/>
    <w:rsid w:val="00C90E65"/>
    <w:rsid w:val="00C90E6E"/>
    <w:rsid w:val="00C91179"/>
    <w:rsid w:val="00C91286"/>
    <w:rsid w:val="00C9130F"/>
    <w:rsid w:val="00C914A2"/>
    <w:rsid w:val="00C91596"/>
    <w:rsid w:val="00C91670"/>
    <w:rsid w:val="00C916A9"/>
    <w:rsid w:val="00C91810"/>
    <w:rsid w:val="00C91F20"/>
    <w:rsid w:val="00C91F73"/>
    <w:rsid w:val="00C92853"/>
    <w:rsid w:val="00C92B3B"/>
    <w:rsid w:val="00C92BCE"/>
    <w:rsid w:val="00C92C54"/>
    <w:rsid w:val="00C9307D"/>
    <w:rsid w:val="00C9309C"/>
    <w:rsid w:val="00C930D7"/>
    <w:rsid w:val="00C9382F"/>
    <w:rsid w:val="00C93946"/>
    <w:rsid w:val="00C93989"/>
    <w:rsid w:val="00C93EE6"/>
    <w:rsid w:val="00C941B2"/>
    <w:rsid w:val="00C941D6"/>
    <w:rsid w:val="00C941E6"/>
    <w:rsid w:val="00C94207"/>
    <w:rsid w:val="00C942F0"/>
    <w:rsid w:val="00C9435E"/>
    <w:rsid w:val="00C94615"/>
    <w:rsid w:val="00C94946"/>
    <w:rsid w:val="00C94B46"/>
    <w:rsid w:val="00C94BD4"/>
    <w:rsid w:val="00C94E46"/>
    <w:rsid w:val="00C95363"/>
    <w:rsid w:val="00C95415"/>
    <w:rsid w:val="00C9566E"/>
    <w:rsid w:val="00C95DC7"/>
    <w:rsid w:val="00C95E79"/>
    <w:rsid w:val="00C95F0D"/>
    <w:rsid w:val="00C9602A"/>
    <w:rsid w:val="00C961C0"/>
    <w:rsid w:val="00C96715"/>
    <w:rsid w:val="00C96874"/>
    <w:rsid w:val="00C96A37"/>
    <w:rsid w:val="00C96A67"/>
    <w:rsid w:val="00C96B4D"/>
    <w:rsid w:val="00C96CA9"/>
    <w:rsid w:val="00C96DCA"/>
    <w:rsid w:val="00C9701C"/>
    <w:rsid w:val="00C97123"/>
    <w:rsid w:val="00C97821"/>
    <w:rsid w:val="00C97944"/>
    <w:rsid w:val="00C97DDE"/>
    <w:rsid w:val="00C97E19"/>
    <w:rsid w:val="00C97F5D"/>
    <w:rsid w:val="00CA026C"/>
    <w:rsid w:val="00CA03B2"/>
    <w:rsid w:val="00CA05B2"/>
    <w:rsid w:val="00CA09DB"/>
    <w:rsid w:val="00CA0A0B"/>
    <w:rsid w:val="00CA0AC3"/>
    <w:rsid w:val="00CA0DA4"/>
    <w:rsid w:val="00CA0E37"/>
    <w:rsid w:val="00CA14E2"/>
    <w:rsid w:val="00CA16B5"/>
    <w:rsid w:val="00CA1D0E"/>
    <w:rsid w:val="00CA1F6A"/>
    <w:rsid w:val="00CA2176"/>
    <w:rsid w:val="00CA2353"/>
    <w:rsid w:val="00CA23B8"/>
    <w:rsid w:val="00CA2643"/>
    <w:rsid w:val="00CA2716"/>
    <w:rsid w:val="00CA288B"/>
    <w:rsid w:val="00CA2BEE"/>
    <w:rsid w:val="00CA2C0D"/>
    <w:rsid w:val="00CA308C"/>
    <w:rsid w:val="00CA3100"/>
    <w:rsid w:val="00CA3522"/>
    <w:rsid w:val="00CA358B"/>
    <w:rsid w:val="00CA3B93"/>
    <w:rsid w:val="00CA3D27"/>
    <w:rsid w:val="00CA3D8D"/>
    <w:rsid w:val="00CA3F51"/>
    <w:rsid w:val="00CA4069"/>
    <w:rsid w:val="00CA4238"/>
    <w:rsid w:val="00CA461E"/>
    <w:rsid w:val="00CA462C"/>
    <w:rsid w:val="00CA48B0"/>
    <w:rsid w:val="00CA50F2"/>
    <w:rsid w:val="00CA52CA"/>
    <w:rsid w:val="00CA5558"/>
    <w:rsid w:val="00CA5630"/>
    <w:rsid w:val="00CA578C"/>
    <w:rsid w:val="00CA57CD"/>
    <w:rsid w:val="00CA5AED"/>
    <w:rsid w:val="00CA5C1C"/>
    <w:rsid w:val="00CA6016"/>
    <w:rsid w:val="00CA6097"/>
    <w:rsid w:val="00CA624B"/>
    <w:rsid w:val="00CA6D79"/>
    <w:rsid w:val="00CA6DDC"/>
    <w:rsid w:val="00CA6DEA"/>
    <w:rsid w:val="00CA6EF5"/>
    <w:rsid w:val="00CA700F"/>
    <w:rsid w:val="00CA70AA"/>
    <w:rsid w:val="00CA748A"/>
    <w:rsid w:val="00CA74CA"/>
    <w:rsid w:val="00CA792B"/>
    <w:rsid w:val="00CA7DBE"/>
    <w:rsid w:val="00CB0228"/>
    <w:rsid w:val="00CB02F5"/>
    <w:rsid w:val="00CB0538"/>
    <w:rsid w:val="00CB0801"/>
    <w:rsid w:val="00CB0D32"/>
    <w:rsid w:val="00CB0F58"/>
    <w:rsid w:val="00CB1497"/>
    <w:rsid w:val="00CB159B"/>
    <w:rsid w:val="00CB15B0"/>
    <w:rsid w:val="00CB1740"/>
    <w:rsid w:val="00CB1976"/>
    <w:rsid w:val="00CB1B5A"/>
    <w:rsid w:val="00CB1D84"/>
    <w:rsid w:val="00CB2206"/>
    <w:rsid w:val="00CB2330"/>
    <w:rsid w:val="00CB2446"/>
    <w:rsid w:val="00CB2633"/>
    <w:rsid w:val="00CB2756"/>
    <w:rsid w:val="00CB2E52"/>
    <w:rsid w:val="00CB3217"/>
    <w:rsid w:val="00CB3576"/>
    <w:rsid w:val="00CB38A7"/>
    <w:rsid w:val="00CB3949"/>
    <w:rsid w:val="00CB436B"/>
    <w:rsid w:val="00CB436D"/>
    <w:rsid w:val="00CB4402"/>
    <w:rsid w:val="00CB4BC7"/>
    <w:rsid w:val="00CB4DDE"/>
    <w:rsid w:val="00CB4E4C"/>
    <w:rsid w:val="00CB50F5"/>
    <w:rsid w:val="00CB5212"/>
    <w:rsid w:val="00CB5425"/>
    <w:rsid w:val="00CB577D"/>
    <w:rsid w:val="00CB5AB5"/>
    <w:rsid w:val="00CB5EDC"/>
    <w:rsid w:val="00CB6244"/>
    <w:rsid w:val="00CB63E9"/>
    <w:rsid w:val="00CB6460"/>
    <w:rsid w:val="00CB6617"/>
    <w:rsid w:val="00CB6754"/>
    <w:rsid w:val="00CB6872"/>
    <w:rsid w:val="00CB68F5"/>
    <w:rsid w:val="00CB76B9"/>
    <w:rsid w:val="00CB7752"/>
    <w:rsid w:val="00CB79AA"/>
    <w:rsid w:val="00CB7CCE"/>
    <w:rsid w:val="00CB7D9B"/>
    <w:rsid w:val="00CB7FB9"/>
    <w:rsid w:val="00CC0325"/>
    <w:rsid w:val="00CC07B1"/>
    <w:rsid w:val="00CC0875"/>
    <w:rsid w:val="00CC093A"/>
    <w:rsid w:val="00CC0A27"/>
    <w:rsid w:val="00CC0D81"/>
    <w:rsid w:val="00CC1981"/>
    <w:rsid w:val="00CC198F"/>
    <w:rsid w:val="00CC20A7"/>
    <w:rsid w:val="00CC20D0"/>
    <w:rsid w:val="00CC276D"/>
    <w:rsid w:val="00CC2922"/>
    <w:rsid w:val="00CC29C7"/>
    <w:rsid w:val="00CC2E0D"/>
    <w:rsid w:val="00CC33DC"/>
    <w:rsid w:val="00CC35FC"/>
    <w:rsid w:val="00CC3B6C"/>
    <w:rsid w:val="00CC3E32"/>
    <w:rsid w:val="00CC4121"/>
    <w:rsid w:val="00CC4280"/>
    <w:rsid w:val="00CC42C7"/>
    <w:rsid w:val="00CC42EA"/>
    <w:rsid w:val="00CC4376"/>
    <w:rsid w:val="00CC44D8"/>
    <w:rsid w:val="00CC451B"/>
    <w:rsid w:val="00CC46F7"/>
    <w:rsid w:val="00CC488E"/>
    <w:rsid w:val="00CC4D63"/>
    <w:rsid w:val="00CC5435"/>
    <w:rsid w:val="00CC56A6"/>
    <w:rsid w:val="00CC5965"/>
    <w:rsid w:val="00CC5A52"/>
    <w:rsid w:val="00CC5B86"/>
    <w:rsid w:val="00CC5E2C"/>
    <w:rsid w:val="00CC5E9D"/>
    <w:rsid w:val="00CC611D"/>
    <w:rsid w:val="00CC611F"/>
    <w:rsid w:val="00CC6486"/>
    <w:rsid w:val="00CC6635"/>
    <w:rsid w:val="00CC6A34"/>
    <w:rsid w:val="00CC6A67"/>
    <w:rsid w:val="00CC6B6D"/>
    <w:rsid w:val="00CC6D25"/>
    <w:rsid w:val="00CC7033"/>
    <w:rsid w:val="00CC71A6"/>
    <w:rsid w:val="00CC73D2"/>
    <w:rsid w:val="00CC7518"/>
    <w:rsid w:val="00CC7540"/>
    <w:rsid w:val="00CC77C9"/>
    <w:rsid w:val="00CC79DE"/>
    <w:rsid w:val="00CC7ABA"/>
    <w:rsid w:val="00CC7BD2"/>
    <w:rsid w:val="00CC7CA6"/>
    <w:rsid w:val="00CD02D4"/>
    <w:rsid w:val="00CD07F0"/>
    <w:rsid w:val="00CD0BB4"/>
    <w:rsid w:val="00CD0D0A"/>
    <w:rsid w:val="00CD0F96"/>
    <w:rsid w:val="00CD11D1"/>
    <w:rsid w:val="00CD12F6"/>
    <w:rsid w:val="00CD13FB"/>
    <w:rsid w:val="00CD14BC"/>
    <w:rsid w:val="00CD16CA"/>
    <w:rsid w:val="00CD16D3"/>
    <w:rsid w:val="00CD1794"/>
    <w:rsid w:val="00CD1CFC"/>
    <w:rsid w:val="00CD1F4C"/>
    <w:rsid w:val="00CD1FD3"/>
    <w:rsid w:val="00CD2291"/>
    <w:rsid w:val="00CD2594"/>
    <w:rsid w:val="00CD279B"/>
    <w:rsid w:val="00CD27AC"/>
    <w:rsid w:val="00CD28C5"/>
    <w:rsid w:val="00CD2912"/>
    <w:rsid w:val="00CD2AE3"/>
    <w:rsid w:val="00CD2C4A"/>
    <w:rsid w:val="00CD2E64"/>
    <w:rsid w:val="00CD34E4"/>
    <w:rsid w:val="00CD35F1"/>
    <w:rsid w:val="00CD37E8"/>
    <w:rsid w:val="00CD384C"/>
    <w:rsid w:val="00CD3A86"/>
    <w:rsid w:val="00CD3BC2"/>
    <w:rsid w:val="00CD3C6D"/>
    <w:rsid w:val="00CD3E12"/>
    <w:rsid w:val="00CD4085"/>
    <w:rsid w:val="00CD40C5"/>
    <w:rsid w:val="00CD41ED"/>
    <w:rsid w:val="00CD428F"/>
    <w:rsid w:val="00CD453A"/>
    <w:rsid w:val="00CD488B"/>
    <w:rsid w:val="00CD5170"/>
    <w:rsid w:val="00CD5280"/>
    <w:rsid w:val="00CD5495"/>
    <w:rsid w:val="00CD5729"/>
    <w:rsid w:val="00CD62BC"/>
    <w:rsid w:val="00CD663F"/>
    <w:rsid w:val="00CD671D"/>
    <w:rsid w:val="00CD6917"/>
    <w:rsid w:val="00CD73A9"/>
    <w:rsid w:val="00CD75B1"/>
    <w:rsid w:val="00CD780C"/>
    <w:rsid w:val="00CD7993"/>
    <w:rsid w:val="00CD7C51"/>
    <w:rsid w:val="00CD7CDC"/>
    <w:rsid w:val="00CD7DBE"/>
    <w:rsid w:val="00CD7E7C"/>
    <w:rsid w:val="00CD7F19"/>
    <w:rsid w:val="00CD7F75"/>
    <w:rsid w:val="00CE0151"/>
    <w:rsid w:val="00CE0377"/>
    <w:rsid w:val="00CE04F7"/>
    <w:rsid w:val="00CE073E"/>
    <w:rsid w:val="00CE0A88"/>
    <w:rsid w:val="00CE0D7F"/>
    <w:rsid w:val="00CE0E6E"/>
    <w:rsid w:val="00CE13B8"/>
    <w:rsid w:val="00CE182B"/>
    <w:rsid w:val="00CE18AE"/>
    <w:rsid w:val="00CE1E74"/>
    <w:rsid w:val="00CE1F7D"/>
    <w:rsid w:val="00CE20D1"/>
    <w:rsid w:val="00CE23C3"/>
    <w:rsid w:val="00CE24A6"/>
    <w:rsid w:val="00CE2621"/>
    <w:rsid w:val="00CE26FB"/>
    <w:rsid w:val="00CE2C95"/>
    <w:rsid w:val="00CE2CB0"/>
    <w:rsid w:val="00CE2F0C"/>
    <w:rsid w:val="00CE34D6"/>
    <w:rsid w:val="00CE368C"/>
    <w:rsid w:val="00CE36EF"/>
    <w:rsid w:val="00CE3A85"/>
    <w:rsid w:val="00CE3BC1"/>
    <w:rsid w:val="00CE3CBC"/>
    <w:rsid w:val="00CE3D79"/>
    <w:rsid w:val="00CE4DCA"/>
    <w:rsid w:val="00CE50D5"/>
    <w:rsid w:val="00CE5130"/>
    <w:rsid w:val="00CE5243"/>
    <w:rsid w:val="00CE5441"/>
    <w:rsid w:val="00CE550E"/>
    <w:rsid w:val="00CE611E"/>
    <w:rsid w:val="00CE624B"/>
    <w:rsid w:val="00CE62FF"/>
    <w:rsid w:val="00CE6A66"/>
    <w:rsid w:val="00CE6AE4"/>
    <w:rsid w:val="00CE7135"/>
    <w:rsid w:val="00CE721C"/>
    <w:rsid w:val="00CE741E"/>
    <w:rsid w:val="00CE78DF"/>
    <w:rsid w:val="00CE7953"/>
    <w:rsid w:val="00CE7B66"/>
    <w:rsid w:val="00CF0509"/>
    <w:rsid w:val="00CF0612"/>
    <w:rsid w:val="00CF0657"/>
    <w:rsid w:val="00CF07C5"/>
    <w:rsid w:val="00CF092B"/>
    <w:rsid w:val="00CF0EAD"/>
    <w:rsid w:val="00CF0F3E"/>
    <w:rsid w:val="00CF134F"/>
    <w:rsid w:val="00CF142B"/>
    <w:rsid w:val="00CF180E"/>
    <w:rsid w:val="00CF1C94"/>
    <w:rsid w:val="00CF1EB6"/>
    <w:rsid w:val="00CF1F5C"/>
    <w:rsid w:val="00CF2041"/>
    <w:rsid w:val="00CF22E2"/>
    <w:rsid w:val="00CF28C4"/>
    <w:rsid w:val="00CF2D17"/>
    <w:rsid w:val="00CF2FAE"/>
    <w:rsid w:val="00CF2FE3"/>
    <w:rsid w:val="00CF3168"/>
    <w:rsid w:val="00CF32FF"/>
    <w:rsid w:val="00CF3405"/>
    <w:rsid w:val="00CF362C"/>
    <w:rsid w:val="00CF38BC"/>
    <w:rsid w:val="00CF3C01"/>
    <w:rsid w:val="00CF443E"/>
    <w:rsid w:val="00CF4623"/>
    <w:rsid w:val="00CF4656"/>
    <w:rsid w:val="00CF46E8"/>
    <w:rsid w:val="00CF47E7"/>
    <w:rsid w:val="00CF49F4"/>
    <w:rsid w:val="00CF49FC"/>
    <w:rsid w:val="00CF4BA1"/>
    <w:rsid w:val="00CF53C2"/>
    <w:rsid w:val="00CF54F7"/>
    <w:rsid w:val="00CF5520"/>
    <w:rsid w:val="00CF5569"/>
    <w:rsid w:val="00CF5680"/>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790"/>
    <w:rsid w:val="00CF7894"/>
    <w:rsid w:val="00CF7A0A"/>
    <w:rsid w:val="00D0029D"/>
    <w:rsid w:val="00D003A4"/>
    <w:rsid w:val="00D003D8"/>
    <w:rsid w:val="00D0052B"/>
    <w:rsid w:val="00D0079D"/>
    <w:rsid w:val="00D00AD2"/>
    <w:rsid w:val="00D00D33"/>
    <w:rsid w:val="00D00D3B"/>
    <w:rsid w:val="00D0100C"/>
    <w:rsid w:val="00D01033"/>
    <w:rsid w:val="00D01050"/>
    <w:rsid w:val="00D012E3"/>
    <w:rsid w:val="00D01531"/>
    <w:rsid w:val="00D01670"/>
    <w:rsid w:val="00D01FF4"/>
    <w:rsid w:val="00D021DA"/>
    <w:rsid w:val="00D02692"/>
    <w:rsid w:val="00D0297B"/>
    <w:rsid w:val="00D029BA"/>
    <w:rsid w:val="00D029E1"/>
    <w:rsid w:val="00D02AAC"/>
    <w:rsid w:val="00D02C66"/>
    <w:rsid w:val="00D0318B"/>
    <w:rsid w:val="00D0326D"/>
    <w:rsid w:val="00D03319"/>
    <w:rsid w:val="00D033C7"/>
    <w:rsid w:val="00D0343E"/>
    <w:rsid w:val="00D03672"/>
    <w:rsid w:val="00D037BC"/>
    <w:rsid w:val="00D038D8"/>
    <w:rsid w:val="00D03B64"/>
    <w:rsid w:val="00D03C18"/>
    <w:rsid w:val="00D03F03"/>
    <w:rsid w:val="00D0409F"/>
    <w:rsid w:val="00D043D5"/>
    <w:rsid w:val="00D045CE"/>
    <w:rsid w:val="00D04640"/>
    <w:rsid w:val="00D053DE"/>
    <w:rsid w:val="00D055CD"/>
    <w:rsid w:val="00D0560F"/>
    <w:rsid w:val="00D05614"/>
    <w:rsid w:val="00D05639"/>
    <w:rsid w:val="00D05667"/>
    <w:rsid w:val="00D05895"/>
    <w:rsid w:val="00D058BE"/>
    <w:rsid w:val="00D0653C"/>
    <w:rsid w:val="00D06B50"/>
    <w:rsid w:val="00D06C61"/>
    <w:rsid w:val="00D06D45"/>
    <w:rsid w:val="00D07272"/>
    <w:rsid w:val="00D079B8"/>
    <w:rsid w:val="00D10035"/>
    <w:rsid w:val="00D1003B"/>
    <w:rsid w:val="00D100C4"/>
    <w:rsid w:val="00D100E8"/>
    <w:rsid w:val="00D101CF"/>
    <w:rsid w:val="00D1079B"/>
    <w:rsid w:val="00D10B21"/>
    <w:rsid w:val="00D10B61"/>
    <w:rsid w:val="00D10D9F"/>
    <w:rsid w:val="00D115E6"/>
    <w:rsid w:val="00D11731"/>
    <w:rsid w:val="00D11A71"/>
    <w:rsid w:val="00D11B70"/>
    <w:rsid w:val="00D11C78"/>
    <w:rsid w:val="00D11D04"/>
    <w:rsid w:val="00D12173"/>
    <w:rsid w:val="00D126CB"/>
    <w:rsid w:val="00D1279C"/>
    <w:rsid w:val="00D128CB"/>
    <w:rsid w:val="00D12B72"/>
    <w:rsid w:val="00D12D4D"/>
    <w:rsid w:val="00D12E4D"/>
    <w:rsid w:val="00D132B6"/>
    <w:rsid w:val="00D134B1"/>
    <w:rsid w:val="00D13570"/>
    <w:rsid w:val="00D136E9"/>
    <w:rsid w:val="00D138AB"/>
    <w:rsid w:val="00D13DA5"/>
    <w:rsid w:val="00D14131"/>
    <w:rsid w:val="00D141B1"/>
    <w:rsid w:val="00D142CE"/>
    <w:rsid w:val="00D146BA"/>
    <w:rsid w:val="00D146C5"/>
    <w:rsid w:val="00D1484E"/>
    <w:rsid w:val="00D14972"/>
    <w:rsid w:val="00D14B9B"/>
    <w:rsid w:val="00D14CEF"/>
    <w:rsid w:val="00D152A5"/>
    <w:rsid w:val="00D152D9"/>
    <w:rsid w:val="00D15A45"/>
    <w:rsid w:val="00D15F2A"/>
    <w:rsid w:val="00D15FD6"/>
    <w:rsid w:val="00D1606C"/>
    <w:rsid w:val="00D16221"/>
    <w:rsid w:val="00D164CC"/>
    <w:rsid w:val="00D16579"/>
    <w:rsid w:val="00D16A49"/>
    <w:rsid w:val="00D16BD8"/>
    <w:rsid w:val="00D170AA"/>
    <w:rsid w:val="00D1721A"/>
    <w:rsid w:val="00D17431"/>
    <w:rsid w:val="00D17BBA"/>
    <w:rsid w:val="00D17EC3"/>
    <w:rsid w:val="00D20584"/>
    <w:rsid w:val="00D20812"/>
    <w:rsid w:val="00D20866"/>
    <w:rsid w:val="00D20B96"/>
    <w:rsid w:val="00D20C43"/>
    <w:rsid w:val="00D20D2E"/>
    <w:rsid w:val="00D20D37"/>
    <w:rsid w:val="00D20E7C"/>
    <w:rsid w:val="00D20F80"/>
    <w:rsid w:val="00D213AD"/>
    <w:rsid w:val="00D218A3"/>
    <w:rsid w:val="00D2197D"/>
    <w:rsid w:val="00D21E51"/>
    <w:rsid w:val="00D2243F"/>
    <w:rsid w:val="00D22566"/>
    <w:rsid w:val="00D225C6"/>
    <w:rsid w:val="00D225F1"/>
    <w:rsid w:val="00D2261D"/>
    <w:rsid w:val="00D22A18"/>
    <w:rsid w:val="00D22E78"/>
    <w:rsid w:val="00D23186"/>
    <w:rsid w:val="00D237F3"/>
    <w:rsid w:val="00D23FDF"/>
    <w:rsid w:val="00D240DC"/>
    <w:rsid w:val="00D24283"/>
    <w:rsid w:val="00D24B43"/>
    <w:rsid w:val="00D24CAC"/>
    <w:rsid w:val="00D24D85"/>
    <w:rsid w:val="00D2512F"/>
    <w:rsid w:val="00D25166"/>
    <w:rsid w:val="00D25336"/>
    <w:rsid w:val="00D25ABB"/>
    <w:rsid w:val="00D25C8E"/>
    <w:rsid w:val="00D25FFE"/>
    <w:rsid w:val="00D2613E"/>
    <w:rsid w:val="00D26346"/>
    <w:rsid w:val="00D2643B"/>
    <w:rsid w:val="00D26BA8"/>
    <w:rsid w:val="00D27174"/>
    <w:rsid w:val="00D27408"/>
    <w:rsid w:val="00D276B8"/>
    <w:rsid w:val="00D302B4"/>
    <w:rsid w:val="00D30B7F"/>
    <w:rsid w:val="00D30C90"/>
    <w:rsid w:val="00D3140C"/>
    <w:rsid w:val="00D3143C"/>
    <w:rsid w:val="00D31A1F"/>
    <w:rsid w:val="00D31D2B"/>
    <w:rsid w:val="00D31E73"/>
    <w:rsid w:val="00D32619"/>
    <w:rsid w:val="00D32ACD"/>
    <w:rsid w:val="00D3300C"/>
    <w:rsid w:val="00D33628"/>
    <w:rsid w:val="00D33D99"/>
    <w:rsid w:val="00D33EB6"/>
    <w:rsid w:val="00D33EE2"/>
    <w:rsid w:val="00D33F20"/>
    <w:rsid w:val="00D3472A"/>
    <w:rsid w:val="00D347D0"/>
    <w:rsid w:val="00D34C60"/>
    <w:rsid w:val="00D34D76"/>
    <w:rsid w:val="00D34E5B"/>
    <w:rsid w:val="00D3528D"/>
    <w:rsid w:val="00D354F7"/>
    <w:rsid w:val="00D35745"/>
    <w:rsid w:val="00D359F5"/>
    <w:rsid w:val="00D35CB3"/>
    <w:rsid w:val="00D35E17"/>
    <w:rsid w:val="00D36029"/>
    <w:rsid w:val="00D360C7"/>
    <w:rsid w:val="00D361D7"/>
    <w:rsid w:val="00D36391"/>
    <w:rsid w:val="00D365D0"/>
    <w:rsid w:val="00D36622"/>
    <w:rsid w:val="00D36F45"/>
    <w:rsid w:val="00D36FB8"/>
    <w:rsid w:val="00D36FF9"/>
    <w:rsid w:val="00D3718A"/>
    <w:rsid w:val="00D371CC"/>
    <w:rsid w:val="00D375BA"/>
    <w:rsid w:val="00D37B54"/>
    <w:rsid w:val="00D37D2D"/>
    <w:rsid w:val="00D37E99"/>
    <w:rsid w:val="00D40402"/>
    <w:rsid w:val="00D40583"/>
    <w:rsid w:val="00D406E3"/>
    <w:rsid w:val="00D40A11"/>
    <w:rsid w:val="00D40ED6"/>
    <w:rsid w:val="00D41200"/>
    <w:rsid w:val="00D41438"/>
    <w:rsid w:val="00D419CD"/>
    <w:rsid w:val="00D41DC0"/>
    <w:rsid w:val="00D41E23"/>
    <w:rsid w:val="00D41F62"/>
    <w:rsid w:val="00D4210A"/>
    <w:rsid w:val="00D4227C"/>
    <w:rsid w:val="00D422FA"/>
    <w:rsid w:val="00D423A3"/>
    <w:rsid w:val="00D42455"/>
    <w:rsid w:val="00D426F2"/>
    <w:rsid w:val="00D428DD"/>
    <w:rsid w:val="00D4291E"/>
    <w:rsid w:val="00D4292D"/>
    <w:rsid w:val="00D4297B"/>
    <w:rsid w:val="00D42F63"/>
    <w:rsid w:val="00D42FF4"/>
    <w:rsid w:val="00D4337E"/>
    <w:rsid w:val="00D436F6"/>
    <w:rsid w:val="00D43902"/>
    <w:rsid w:val="00D43B67"/>
    <w:rsid w:val="00D43C5A"/>
    <w:rsid w:val="00D43DE6"/>
    <w:rsid w:val="00D4420E"/>
    <w:rsid w:val="00D4461E"/>
    <w:rsid w:val="00D44EBF"/>
    <w:rsid w:val="00D44F2E"/>
    <w:rsid w:val="00D4519C"/>
    <w:rsid w:val="00D452DC"/>
    <w:rsid w:val="00D452E5"/>
    <w:rsid w:val="00D45485"/>
    <w:rsid w:val="00D4565C"/>
    <w:rsid w:val="00D45684"/>
    <w:rsid w:val="00D45703"/>
    <w:rsid w:val="00D45851"/>
    <w:rsid w:val="00D458CB"/>
    <w:rsid w:val="00D458E0"/>
    <w:rsid w:val="00D46078"/>
    <w:rsid w:val="00D460A5"/>
    <w:rsid w:val="00D46734"/>
    <w:rsid w:val="00D46926"/>
    <w:rsid w:val="00D46B00"/>
    <w:rsid w:val="00D46DF5"/>
    <w:rsid w:val="00D477DF"/>
    <w:rsid w:val="00D47CA2"/>
    <w:rsid w:val="00D47CB2"/>
    <w:rsid w:val="00D47F2C"/>
    <w:rsid w:val="00D502C2"/>
    <w:rsid w:val="00D504A9"/>
    <w:rsid w:val="00D50522"/>
    <w:rsid w:val="00D509B4"/>
    <w:rsid w:val="00D50C58"/>
    <w:rsid w:val="00D50EAB"/>
    <w:rsid w:val="00D516C6"/>
    <w:rsid w:val="00D51AFF"/>
    <w:rsid w:val="00D51C2D"/>
    <w:rsid w:val="00D51EB4"/>
    <w:rsid w:val="00D5212D"/>
    <w:rsid w:val="00D521B0"/>
    <w:rsid w:val="00D5249A"/>
    <w:rsid w:val="00D525EB"/>
    <w:rsid w:val="00D527BB"/>
    <w:rsid w:val="00D529C6"/>
    <w:rsid w:val="00D52A73"/>
    <w:rsid w:val="00D52D7F"/>
    <w:rsid w:val="00D534EF"/>
    <w:rsid w:val="00D53534"/>
    <w:rsid w:val="00D537A6"/>
    <w:rsid w:val="00D53AF1"/>
    <w:rsid w:val="00D53B42"/>
    <w:rsid w:val="00D53BF8"/>
    <w:rsid w:val="00D53DEE"/>
    <w:rsid w:val="00D544C6"/>
    <w:rsid w:val="00D54792"/>
    <w:rsid w:val="00D54CA7"/>
    <w:rsid w:val="00D54CC5"/>
    <w:rsid w:val="00D54DF3"/>
    <w:rsid w:val="00D55020"/>
    <w:rsid w:val="00D55172"/>
    <w:rsid w:val="00D551CC"/>
    <w:rsid w:val="00D555C4"/>
    <w:rsid w:val="00D55AD8"/>
    <w:rsid w:val="00D55BCC"/>
    <w:rsid w:val="00D55C7E"/>
    <w:rsid w:val="00D55FBC"/>
    <w:rsid w:val="00D56072"/>
    <w:rsid w:val="00D56125"/>
    <w:rsid w:val="00D561B8"/>
    <w:rsid w:val="00D5634B"/>
    <w:rsid w:val="00D56A36"/>
    <w:rsid w:val="00D56B11"/>
    <w:rsid w:val="00D56C87"/>
    <w:rsid w:val="00D56CE6"/>
    <w:rsid w:val="00D56F3E"/>
    <w:rsid w:val="00D5707C"/>
    <w:rsid w:val="00D574E1"/>
    <w:rsid w:val="00D576E7"/>
    <w:rsid w:val="00D57BBC"/>
    <w:rsid w:val="00D60023"/>
    <w:rsid w:val="00D601F6"/>
    <w:rsid w:val="00D602BB"/>
    <w:rsid w:val="00D609AC"/>
    <w:rsid w:val="00D60CDB"/>
    <w:rsid w:val="00D60F91"/>
    <w:rsid w:val="00D6107E"/>
    <w:rsid w:val="00D61087"/>
    <w:rsid w:val="00D61266"/>
    <w:rsid w:val="00D61650"/>
    <w:rsid w:val="00D6197B"/>
    <w:rsid w:val="00D620DB"/>
    <w:rsid w:val="00D62500"/>
    <w:rsid w:val="00D6288D"/>
    <w:rsid w:val="00D62D27"/>
    <w:rsid w:val="00D62FDA"/>
    <w:rsid w:val="00D63109"/>
    <w:rsid w:val="00D63215"/>
    <w:rsid w:val="00D63542"/>
    <w:rsid w:val="00D63969"/>
    <w:rsid w:val="00D63A34"/>
    <w:rsid w:val="00D63A4C"/>
    <w:rsid w:val="00D63E5E"/>
    <w:rsid w:val="00D648BF"/>
    <w:rsid w:val="00D649C5"/>
    <w:rsid w:val="00D64ADA"/>
    <w:rsid w:val="00D64CEF"/>
    <w:rsid w:val="00D64FA3"/>
    <w:rsid w:val="00D657F0"/>
    <w:rsid w:val="00D65C42"/>
    <w:rsid w:val="00D65D65"/>
    <w:rsid w:val="00D65DED"/>
    <w:rsid w:val="00D6603E"/>
    <w:rsid w:val="00D661F4"/>
    <w:rsid w:val="00D665BD"/>
    <w:rsid w:val="00D66699"/>
    <w:rsid w:val="00D66702"/>
    <w:rsid w:val="00D66777"/>
    <w:rsid w:val="00D667E5"/>
    <w:rsid w:val="00D668F0"/>
    <w:rsid w:val="00D669AD"/>
    <w:rsid w:val="00D66B2D"/>
    <w:rsid w:val="00D66EC8"/>
    <w:rsid w:val="00D672F5"/>
    <w:rsid w:val="00D6733C"/>
    <w:rsid w:val="00D6748F"/>
    <w:rsid w:val="00D674E1"/>
    <w:rsid w:val="00D67726"/>
    <w:rsid w:val="00D67909"/>
    <w:rsid w:val="00D6799C"/>
    <w:rsid w:val="00D67BF0"/>
    <w:rsid w:val="00D67E2D"/>
    <w:rsid w:val="00D67E96"/>
    <w:rsid w:val="00D67ECC"/>
    <w:rsid w:val="00D70070"/>
    <w:rsid w:val="00D70480"/>
    <w:rsid w:val="00D70C62"/>
    <w:rsid w:val="00D70EB5"/>
    <w:rsid w:val="00D70EDC"/>
    <w:rsid w:val="00D713F1"/>
    <w:rsid w:val="00D714F5"/>
    <w:rsid w:val="00D71611"/>
    <w:rsid w:val="00D71BFD"/>
    <w:rsid w:val="00D71DF9"/>
    <w:rsid w:val="00D723A2"/>
    <w:rsid w:val="00D7267A"/>
    <w:rsid w:val="00D72696"/>
    <w:rsid w:val="00D726E4"/>
    <w:rsid w:val="00D72B19"/>
    <w:rsid w:val="00D72C15"/>
    <w:rsid w:val="00D72E5D"/>
    <w:rsid w:val="00D73054"/>
    <w:rsid w:val="00D73092"/>
    <w:rsid w:val="00D733A6"/>
    <w:rsid w:val="00D7394A"/>
    <w:rsid w:val="00D73ED0"/>
    <w:rsid w:val="00D74208"/>
    <w:rsid w:val="00D74A43"/>
    <w:rsid w:val="00D74A8D"/>
    <w:rsid w:val="00D75605"/>
    <w:rsid w:val="00D757AA"/>
    <w:rsid w:val="00D75ACA"/>
    <w:rsid w:val="00D75DBD"/>
    <w:rsid w:val="00D75EE2"/>
    <w:rsid w:val="00D76458"/>
    <w:rsid w:val="00D76791"/>
    <w:rsid w:val="00D76AE9"/>
    <w:rsid w:val="00D76ED9"/>
    <w:rsid w:val="00D76FD2"/>
    <w:rsid w:val="00D77038"/>
    <w:rsid w:val="00D7705E"/>
    <w:rsid w:val="00D773DC"/>
    <w:rsid w:val="00D77655"/>
    <w:rsid w:val="00D77B35"/>
    <w:rsid w:val="00D77C65"/>
    <w:rsid w:val="00D77EEE"/>
    <w:rsid w:val="00D80175"/>
    <w:rsid w:val="00D803B4"/>
    <w:rsid w:val="00D80705"/>
    <w:rsid w:val="00D80843"/>
    <w:rsid w:val="00D8086C"/>
    <w:rsid w:val="00D80C27"/>
    <w:rsid w:val="00D80CF2"/>
    <w:rsid w:val="00D8114E"/>
    <w:rsid w:val="00D81326"/>
    <w:rsid w:val="00D81D6A"/>
    <w:rsid w:val="00D81F6B"/>
    <w:rsid w:val="00D81F6D"/>
    <w:rsid w:val="00D82103"/>
    <w:rsid w:val="00D82220"/>
    <w:rsid w:val="00D8252A"/>
    <w:rsid w:val="00D82549"/>
    <w:rsid w:val="00D82F7D"/>
    <w:rsid w:val="00D83792"/>
    <w:rsid w:val="00D83880"/>
    <w:rsid w:val="00D83B82"/>
    <w:rsid w:val="00D83B8D"/>
    <w:rsid w:val="00D83FB8"/>
    <w:rsid w:val="00D84691"/>
    <w:rsid w:val="00D8492A"/>
    <w:rsid w:val="00D84A01"/>
    <w:rsid w:val="00D84C58"/>
    <w:rsid w:val="00D84DD5"/>
    <w:rsid w:val="00D84ECE"/>
    <w:rsid w:val="00D85F05"/>
    <w:rsid w:val="00D86342"/>
    <w:rsid w:val="00D8645B"/>
    <w:rsid w:val="00D86FB2"/>
    <w:rsid w:val="00D872C9"/>
    <w:rsid w:val="00D8759C"/>
    <w:rsid w:val="00D875B9"/>
    <w:rsid w:val="00D8786E"/>
    <w:rsid w:val="00D8799B"/>
    <w:rsid w:val="00D879A3"/>
    <w:rsid w:val="00D87CE0"/>
    <w:rsid w:val="00D87D6E"/>
    <w:rsid w:val="00D87F7D"/>
    <w:rsid w:val="00D90226"/>
    <w:rsid w:val="00D90294"/>
    <w:rsid w:val="00D90369"/>
    <w:rsid w:val="00D90529"/>
    <w:rsid w:val="00D90561"/>
    <w:rsid w:val="00D90979"/>
    <w:rsid w:val="00D90D34"/>
    <w:rsid w:val="00D91327"/>
    <w:rsid w:val="00D9153A"/>
    <w:rsid w:val="00D917BE"/>
    <w:rsid w:val="00D91D14"/>
    <w:rsid w:val="00D921C5"/>
    <w:rsid w:val="00D92387"/>
    <w:rsid w:val="00D92563"/>
    <w:rsid w:val="00D929B8"/>
    <w:rsid w:val="00D92A64"/>
    <w:rsid w:val="00D931CD"/>
    <w:rsid w:val="00D931DA"/>
    <w:rsid w:val="00D933F7"/>
    <w:rsid w:val="00D9341E"/>
    <w:rsid w:val="00D93463"/>
    <w:rsid w:val="00D934EF"/>
    <w:rsid w:val="00D94045"/>
    <w:rsid w:val="00D942F1"/>
    <w:rsid w:val="00D94628"/>
    <w:rsid w:val="00D94673"/>
    <w:rsid w:val="00D947AF"/>
    <w:rsid w:val="00D948D9"/>
    <w:rsid w:val="00D94911"/>
    <w:rsid w:val="00D94B04"/>
    <w:rsid w:val="00D94C8F"/>
    <w:rsid w:val="00D94E84"/>
    <w:rsid w:val="00D9506D"/>
    <w:rsid w:val="00D9506F"/>
    <w:rsid w:val="00D952FC"/>
    <w:rsid w:val="00D95937"/>
    <w:rsid w:val="00D959EF"/>
    <w:rsid w:val="00D95D9A"/>
    <w:rsid w:val="00D95DCB"/>
    <w:rsid w:val="00D95E4D"/>
    <w:rsid w:val="00D95F87"/>
    <w:rsid w:val="00D96000"/>
    <w:rsid w:val="00D961C2"/>
    <w:rsid w:val="00D963AB"/>
    <w:rsid w:val="00D965F2"/>
    <w:rsid w:val="00D965FD"/>
    <w:rsid w:val="00D966F5"/>
    <w:rsid w:val="00D96AC0"/>
    <w:rsid w:val="00D96E30"/>
    <w:rsid w:val="00D9707A"/>
    <w:rsid w:val="00D970B9"/>
    <w:rsid w:val="00D97695"/>
    <w:rsid w:val="00DA056E"/>
    <w:rsid w:val="00DA05C6"/>
    <w:rsid w:val="00DA0641"/>
    <w:rsid w:val="00DA0B18"/>
    <w:rsid w:val="00DA0B43"/>
    <w:rsid w:val="00DA0B67"/>
    <w:rsid w:val="00DA0BF3"/>
    <w:rsid w:val="00DA0CD0"/>
    <w:rsid w:val="00DA13E6"/>
    <w:rsid w:val="00DA1486"/>
    <w:rsid w:val="00DA1696"/>
    <w:rsid w:val="00DA183F"/>
    <w:rsid w:val="00DA18CF"/>
    <w:rsid w:val="00DA1B60"/>
    <w:rsid w:val="00DA1CCF"/>
    <w:rsid w:val="00DA209F"/>
    <w:rsid w:val="00DA2150"/>
    <w:rsid w:val="00DA21F7"/>
    <w:rsid w:val="00DA22F4"/>
    <w:rsid w:val="00DA2427"/>
    <w:rsid w:val="00DA26E2"/>
    <w:rsid w:val="00DA276F"/>
    <w:rsid w:val="00DA2843"/>
    <w:rsid w:val="00DA2877"/>
    <w:rsid w:val="00DA29BB"/>
    <w:rsid w:val="00DA2A95"/>
    <w:rsid w:val="00DA2E7E"/>
    <w:rsid w:val="00DA3289"/>
    <w:rsid w:val="00DA34A4"/>
    <w:rsid w:val="00DA3546"/>
    <w:rsid w:val="00DA3B8F"/>
    <w:rsid w:val="00DA3BE9"/>
    <w:rsid w:val="00DA3E11"/>
    <w:rsid w:val="00DA3F51"/>
    <w:rsid w:val="00DA4112"/>
    <w:rsid w:val="00DA4351"/>
    <w:rsid w:val="00DA46D5"/>
    <w:rsid w:val="00DA46DB"/>
    <w:rsid w:val="00DA49F8"/>
    <w:rsid w:val="00DA4B92"/>
    <w:rsid w:val="00DA4CF2"/>
    <w:rsid w:val="00DA5047"/>
    <w:rsid w:val="00DA5288"/>
    <w:rsid w:val="00DA53BE"/>
    <w:rsid w:val="00DA56C0"/>
    <w:rsid w:val="00DA5828"/>
    <w:rsid w:val="00DA5882"/>
    <w:rsid w:val="00DA5F5A"/>
    <w:rsid w:val="00DA5FCE"/>
    <w:rsid w:val="00DA65E4"/>
    <w:rsid w:val="00DA6600"/>
    <w:rsid w:val="00DA66FA"/>
    <w:rsid w:val="00DA68A2"/>
    <w:rsid w:val="00DA6A24"/>
    <w:rsid w:val="00DA6A46"/>
    <w:rsid w:val="00DA6B2F"/>
    <w:rsid w:val="00DA6FF0"/>
    <w:rsid w:val="00DA74B8"/>
    <w:rsid w:val="00DA74F4"/>
    <w:rsid w:val="00DA7CAE"/>
    <w:rsid w:val="00DA7D3F"/>
    <w:rsid w:val="00DB0327"/>
    <w:rsid w:val="00DB032E"/>
    <w:rsid w:val="00DB0372"/>
    <w:rsid w:val="00DB05C9"/>
    <w:rsid w:val="00DB062D"/>
    <w:rsid w:val="00DB0720"/>
    <w:rsid w:val="00DB07A3"/>
    <w:rsid w:val="00DB0822"/>
    <w:rsid w:val="00DB0C14"/>
    <w:rsid w:val="00DB0CBC"/>
    <w:rsid w:val="00DB1330"/>
    <w:rsid w:val="00DB1990"/>
    <w:rsid w:val="00DB205B"/>
    <w:rsid w:val="00DB207C"/>
    <w:rsid w:val="00DB21C8"/>
    <w:rsid w:val="00DB2342"/>
    <w:rsid w:val="00DB2833"/>
    <w:rsid w:val="00DB29D0"/>
    <w:rsid w:val="00DB2B00"/>
    <w:rsid w:val="00DB2BF8"/>
    <w:rsid w:val="00DB2E1C"/>
    <w:rsid w:val="00DB2FFD"/>
    <w:rsid w:val="00DB340B"/>
    <w:rsid w:val="00DB3449"/>
    <w:rsid w:val="00DB35AC"/>
    <w:rsid w:val="00DB3701"/>
    <w:rsid w:val="00DB3C9A"/>
    <w:rsid w:val="00DB3DC0"/>
    <w:rsid w:val="00DB4318"/>
    <w:rsid w:val="00DB440D"/>
    <w:rsid w:val="00DB4717"/>
    <w:rsid w:val="00DB4AFA"/>
    <w:rsid w:val="00DB4BA7"/>
    <w:rsid w:val="00DB4D02"/>
    <w:rsid w:val="00DB4EAA"/>
    <w:rsid w:val="00DB523B"/>
    <w:rsid w:val="00DB537F"/>
    <w:rsid w:val="00DB5423"/>
    <w:rsid w:val="00DB5546"/>
    <w:rsid w:val="00DB5957"/>
    <w:rsid w:val="00DB59DD"/>
    <w:rsid w:val="00DB5EF1"/>
    <w:rsid w:val="00DB61DB"/>
    <w:rsid w:val="00DB625F"/>
    <w:rsid w:val="00DB63E4"/>
    <w:rsid w:val="00DB68DD"/>
    <w:rsid w:val="00DB6A8F"/>
    <w:rsid w:val="00DB6BDD"/>
    <w:rsid w:val="00DB701E"/>
    <w:rsid w:val="00DB7316"/>
    <w:rsid w:val="00DB7385"/>
    <w:rsid w:val="00DC025E"/>
    <w:rsid w:val="00DC0313"/>
    <w:rsid w:val="00DC0476"/>
    <w:rsid w:val="00DC061E"/>
    <w:rsid w:val="00DC0724"/>
    <w:rsid w:val="00DC0813"/>
    <w:rsid w:val="00DC0BCC"/>
    <w:rsid w:val="00DC0F95"/>
    <w:rsid w:val="00DC112D"/>
    <w:rsid w:val="00DC15F3"/>
    <w:rsid w:val="00DC1D0D"/>
    <w:rsid w:val="00DC1D79"/>
    <w:rsid w:val="00DC1DF0"/>
    <w:rsid w:val="00DC2016"/>
    <w:rsid w:val="00DC22A4"/>
    <w:rsid w:val="00DC2310"/>
    <w:rsid w:val="00DC2398"/>
    <w:rsid w:val="00DC23CF"/>
    <w:rsid w:val="00DC2805"/>
    <w:rsid w:val="00DC292B"/>
    <w:rsid w:val="00DC29CD"/>
    <w:rsid w:val="00DC2B1A"/>
    <w:rsid w:val="00DC2E0F"/>
    <w:rsid w:val="00DC329A"/>
    <w:rsid w:val="00DC3315"/>
    <w:rsid w:val="00DC336C"/>
    <w:rsid w:val="00DC34D4"/>
    <w:rsid w:val="00DC351B"/>
    <w:rsid w:val="00DC35F8"/>
    <w:rsid w:val="00DC366A"/>
    <w:rsid w:val="00DC38E9"/>
    <w:rsid w:val="00DC3C51"/>
    <w:rsid w:val="00DC3D22"/>
    <w:rsid w:val="00DC3DC6"/>
    <w:rsid w:val="00DC3FF4"/>
    <w:rsid w:val="00DC4172"/>
    <w:rsid w:val="00DC41A0"/>
    <w:rsid w:val="00DC41B3"/>
    <w:rsid w:val="00DC4341"/>
    <w:rsid w:val="00DC45E7"/>
    <w:rsid w:val="00DC4C2A"/>
    <w:rsid w:val="00DC50B1"/>
    <w:rsid w:val="00DC52D1"/>
    <w:rsid w:val="00DC52DC"/>
    <w:rsid w:val="00DC53F7"/>
    <w:rsid w:val="00DC55B7"/>
    <w:rsid w:val="00DC56F9"/>
    <w:rsid w:val="00DC570F"/>
    <w:rsid w:val="00DC5713"/>
    <w:rsid w:val="00DC5CAF"/>
    <w:rsid w:val="00DC5CDD"/>
    <w:rsid w:val="00DC5E38"/>
    <w:rsid w:val="00DC5E89"/>
    <w:rsid w:val="00DC5ED2"/>
    <w:rsid w:val="00DC6690"/>
    <w:rsid w:val="00DC67BC"/>
    <w:rsid w:val="00DC6D53"/>
    <w:rsid w:val="00DC6D61"/>
    <w:rsid w:val="00DC6D63"/>
    <w:rsid w:val="00DC6EF9"/>
    <w:rsid w:val="00DC7468"/>
    <w:rsid w:val="00DC77C6"/>
    <w:rsid w:val="00DC79AF"/>
    <w:rsid w:val="00DC7CEE"/>
    <w:rsid w:val="00DD0227"/>
    <w:rsid w:val="00DD0332"/>
    <w:rsid w:val="00DD068B"/>
    <w:rsid w:val="00DD07B8"/>
    <w:rsid w:val="00DD07BE"/>
    <w:rsid w:val="00DD0B32"/>
    <w:rsid w:val="00DD0F58"/>
    <w:rsid w:val="00DD1043"/>
    <w:rsid w:val="00DD136E"/>
    <w:rsid w:val="00DD13F8"/>
    <w:rsid w:val="00DD1531"/>
    <w:rsid w:val="00DD166B"/>
    <w:rsid w:val="00DD17EF"/>
    <w:rsid w:val="00DD1A7B"/>
    <w:rsid w:val="00DD1F47"/>
    <w:rsid w:val="00DD1FB0"/>
    <w:rsid w:val="00DD20A4"/>
    <w:rsid w:val="00DD21F5"/>
    <w:rsid w:val="00DD2329"/>
    <w:rsid w:val="00DD233A"/>
    <w:rsid w:val="00DD2654"/>
    <w:rsid w:val="00DD2BCB"/>
    <w:rsid w:val="00DD2D05"/>
    <w:rsid w:val="00DD2F63"/>
    <w:rsid w:val="00DD30CC"/>
    <w:rsid w:val="00DD31B9"/>
    <w:rsid w:val="00DD31E7"/>
    <w:rsid w:val="00DD32D4"/>
    <w:rsid w:val="00DD349A"/>
    <w:rsid w:val="00DD3618"/>
    <w:rsid w:val="00DD3856"/>
    <w:rsid w:val="00DD3A73"/>
    <w:rsid w:val="00DD3D6E"/>
    <w:rsid w:val="00DD4127"/>
    <w:rsid w:val="00DD43E3"/>
    <w:rsid w:val="00DD4B92"/>
    <w:rsid w:val="00DD4F5B"/>
    <w:rsid w:val="00DD5226"/>
    <w:rsid w:val="00DD5594"/>
    <w:rsid w:val="00DD564C"/>
    <w:rsid w:val="00DD56CF"/>
    <w:rsid w:val="00DD572A"/>
    <w:rsid w:val="00DD5740"/>
    <w:rsid w:val="00DD5AE5"/>
    <w:rsid w:val="00DD5BB5"/>
    <w:rsid w:val="00DD5BDC"/>
    <w:rsid w:val="00DD6211"/>
    <w:rsid w:val="00DD62BA"/>
    <w:rsid w:val="00DD668E"/>
    <w:rsid w:val="00DD6984"/>
    <w:rsid w:val="00DD6986"/>
    <w:rsid w:val="00DD6A19"/>
    <w:rsid w:val="00DD6A2F"/>
    <w:rsid w:val="00DD6E1D"/>
    <w:rsid w:val="00DD6F6E"/>
    <w:rsid w:val="00DD7100"/>
    <w:rsid w:val="00DD7750"/>
    <w:rsid w:val="00DD7764"/>
    <w:rsid w:val="00DD77EF"/>
    <w:rsid w:val="00DD7A34"/>
    <w:rsid w:val="00DD7B22"/>
    <w:rsid w:val="00DD7DA5"/>
    <w:rsid w:val="00DE067B"/>
    <w:rsid w:val="00DE0706"/>
    <w:rsid w:val="00DE0ECB"/>
    <w:rsid w:val="00DE1002"/>
    <w:rsid w:val="00DE113C"/>
    <w:rsid w:val="00DE1226"/>
    <w:rsid w:val="00DE1388"/>
    <w:rsid w:val="00DE1E42"/>
    <w:rsid w:val="00DE2033"/>
    <w:rsid w:val="00DE21EF"/>
    <w:rsid w:val="00DE21FC"/>
    <w:rsid w:val="00DE233A"/>
    <w:rsid w:val="00DE2515"/>
    <w:rsid w:val="00DE2740"/>
    <w:rsid w:val="00DE27EC"/>
    <w:rsid w:val="00DE2878"/>
    <w:rsid w:val="00DE28BD"/>
    <w:rsid w:val="00DE2C5B"/>
    <w:rsid w:val="00DE3081"/>
    <w:rsid w:val="00DE36D3"/>
    <w:rsid w:val="00DE3734"/>
    <w:rsid w:val="00DE384F"/>
    <w:rsid w:val="00DE3BDA"/>
    <w:rsid w:val="00DE46E1"/>
    <w:rsid w:val="00DE46E9"/>
    <w:rsid w:val="00DE487F"/>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CDB"/>
    <w:rsid w:val="00DE628B"/>
    <w:rsid w:val="00DE6325"/>
    <w:rsid w:val="00DE663D"/>
    <w:rsid w:val="00DE66DD"/>
    <w:rsid w:val="00DE67B5"/>
    <w:rsid w:val="00DE69EB"/>
    <w:rsid w:val="00DE6CCE"/>
    <w:rsid w:val="00DE6D56"/>
    <w:rsid w:val="00DE6D61"/>
    <w:rsid w:val="00DE7647"/>
    <w:rsid w:val="00DE76B7"/>
    <w:rsid w:val="00DE7772"/>
    <w:rsid w:val="00DE7838"/>
    <w:rsid w:val="00DE7A06"/>
    <w:rsid w:val="00DE7B65"/>
    <w:rsid w:val="00DE7C94"/>
    <w:rsid w:val="00DE7DEB"/>
    <w:rsid w:val="00DF008E"/>
    <w:rsid w:val="00DF00BC"/>
    <w:rsid w:val="00DF016C"/>
    <w:rsid w:val="00DF06D4"/>
    <w:rsid w:val="00DF07A0"/>
    <w:rsid w:val="00DF0A5E"/>
    <w:rsid w:val="00DF0E76"/>
    <w:rsid w:val="00DF0EAF"/>
    <w:rsid w:val="00DF102F"/>
    <w:rsid w:val="00DF10DA"/>
    <w:rsid w:val="00DF124C"/>
    <w:rsid w:val="00DF134C"/>
    <w:rsid w:val="00DF155E"/>
    <w:rsid w:val="00DF15E6"/>
    <w:rsid w:val="00DF1765"/>
    <w:rsid w:val="00DF1906"/>
    <w:rsid w:val="00DF19CF"/>
    <w:rsid w:val="00DF1A39"/>
    <w:rsid w:val="00DF1A51"/>
    <w:rsid w:val="00DF1C64"/>
    <w:rsid w:val="00DF1CA1"/>
    <w:rsid w:val="00DF1D48"/>
    <w:rsid w:val="00DF1FCB"/>
    <w:rsid w:val="00DF253B"/>
    <w:rsid w:val="00DF258D"/>
    <w:rsid w:val="00DF2596"/>
    <w:rsid w:val="00DF2633"/>
    <w:rsid w:val="00DF2722"/>
    <w:rsid w:val="00DF27D4"/>
    <w:rsid w:val="00DF2881"/>
    <w:rsid w:val="00DF28F7"/>
    <w:rsid w:val="00DF2932"/>
    <w:rsid w:val="00DF3242"/>
    <w:rsid w:val="00DF3399"/>
    <w:rsid w:val="00DF36DC"/>
    <w:rsid w:val="00DF377A"/>
    <w:rsid w:val="00DF3813"/>
    <w:rsid w:val="00DF39EF"/>
    <w:rsid w:val="00DF3BF9"/>
    <w:rsid w:val="00DF3D81"/>
    <w:rsid w:val="00DF3F49"/>
    <w:rsid w:val="00DF4015"/>
    <w:rsid w:val="00DF469B"/>
    <w:rsid w:val="00DF4829"/>
    <w:rsid w:val="00DF4AD2"/>
    <w:rsid w:val="00DF523A"/>
    <w:rsid w:val="00DF5258"/>
    <w:rsid w:val="00DF5577"/>
    <w:rsid w:val="00DF5A45"/>
    <w:rsid w:val="00DF604F"/>
    <w:rsid w:val="00DF618D"/>
    <w:rsid w:val="00DF619E"/>
    <w:rsid w:val="00DF63EC"/>
    <w:rsid w:val="00DF66E9"/>
    <w:rsid w:val="00DF6CC1"/>
    <w:rsid w:val="00DF6F75"/>
    <w:rsid w:val="00DF77EE"/>
    <w:rsid w:val="00DF7C5B"/>
    <w:rsid w:val="00DF7ECE"/>
    <w:rsid w:val="00DF7EF3"/>
    <w:rsid w:val="00E0005C"/>
    <w:rsid w:val="00E00060"/>
    <w:rsid w:val="00E00151"/>
    <w:rsid w:val="00E002E4"/>
    <w:rsid w:val="00E007E0"/>
    <w:rsid w:val="00E0080E"/>
    <w:rsid w:val="00E00BA1"/>
    <w:rsid w:val="00E00D2E"/>
    <w:rsid w:val="00E00FC6"/>
    <w:rsid w:val="00E010D8"/>
    <w:rsid w:val="00E0132C"/>
    <w:rsid w:val="00E01797"/>
    <w:rsid w:val="00E01A01"/>
    <w:rsid w:val="00E02237"/>
    <w:rsid w:val="00E0236F"/>
    <w:rsid w:val="00E023C4"/>
    <w:rsid w:val="00E02588"/>
    <w:rsid w:val="00E026F6"/>
    <w:rsid w:val="00E028C6"/>
    <w:rsid w:val="00E02994"/>
    <w:rsid w:val="00E02B11"/>
    <w:rsid w:val="00E02E7D"/>
    <w:rsid w:val="00E031AA"/>
    <w:rsid w:val="00E03288"/>
    <w:rsid w:val="00E038EA"/>
    <w:rsid w:val="00E03A3A"/>
    <w:rsid w:val="00E03AEB"/>
    <w:rsid w:val="00E03C02"/>
    <w:rsid w:val="00E04369"/>
    <w:rsid w:val="00E0465C"/>
    <w:rsid w:val="00E047E2"/>
    <w:rsid w:val="00E04CB2"/>
    <w:rsid w:val="00E052BD"/>
    <w:rsid w:val="00E0559E"/>
    <w:rsid w:val="00E056BB"/>
    <w:rsid w:val="00E056DF"/>
    <w:rsid w:val="00E0582B"/>
    <w:rsid w:val="00E059AA"/>
    <w:rsid w:val="00E05A7E"/>
    <w:rsid w:val="00E05C12"/>
    <w:rsid w:val="00E05D70"/>
    <w:rsid w:val="00E05FB9"/>
    <w:rsid w:val="00E060AC"/>
    <w:rsid w:val="00E060F1"/>
    <w:rsid w:val="00E06780"/>
    <w:rsid w:val="00E06C7C"/>
    <w:rsid w:val="00E07018"/>
    <w:rsid w:val="00E073A8"/>
    <w:rsid w:val="00E07571"/>
    <w:rsid w:val="00E075DC"/>
    <w:rsid w:val="00E07743"/>
    <w:rsid w:val="00E078C3"/>
    <w:rsid w:val="00E07B7B"/>
    <w:rsid w:val="00E07E7D"/>
    <w:rsid w:val="00E10184"/>
    <w:rsid w:val="00E102FE"/>
    <w:rsid w:val="00E10409"/>
    <w:rsid w:val="00E10752"/>
    <w:rsid w:val="00E10755"/>
    <w:rsid w:val="00E1086B"/>
    <w:rsid w:val="00E109EC"/>
    <w:rsid w:val="00E109FA"/>
    <w:rsid w:val="00E10DCA"/>
    <w:rsid w:val="00E111C5"/>
    <w:rsid w:val="00E112B9"/>
    <w:rsid w:val="00E116EC"/>
    <w:rsid w:val="00E11819"/>
    <w:rsid w:val="00E11B4A"/>
    <w:rsid w:val="00E11B99"/>
    <w:rsid w:val="00E11E8C"/>
    <w:rsid w:val="00E11F02"/>
    <w:rsid w:val="00E1217B"/>
    <w:rsid w:val="00E123FC"/>
    <w:rsid w:val="00E126DF"/>
    <w:rsid w:val="00E12CDF"/>
    <w:rsid w:val="00E12D77"/>
    <w:rsid w:val="00E12F5B"/>
    <w:rsid w:val="00E12FAD"/>
    <w:rsid w:val="00E13009"/>
    <w:rsid w:val="00E130F5"/>
    <w:rsid w:val="00E13291"/>
    <w:rsid w:val="00E1346C"/>
    <w:rsid w:val="00E13503"/>
    <w:rsid w:val="00E13565"/>
    <w:rsid w:val="00E13A5C"/>
    <w:rsid w:val="00E13BFB"/>
    <w:rsid w:val="00E13F32"/>
    <w:rsid w:val="00E14663"/>
    <w:rsid w:val="00E146E4"/>
    <w:rsid w:val="00E14797"/>
    <w:rsid w:val="00E147F1"/>
    <w:rsid w:val="00E1494C"/>
    <w:rsid w:val="00E1495B"/>
    <w:rsid w:val="00E14E9F"/>
    <w:rsid w:val="00E15057"/>
    <w:rsid w:val="00E151A9"/>
    <w:rsid w:val="00E156A1"/>
    <w:rsid w:val="00E1571B"/>
    <w:rsid w:val="00E15755"/>
    <w:rsid w:val="00E15AE0"/>
    <w:rsid w:val="00E15B1B"/>
    <w:rsid w:val="00E15B7B"/>
    <w:rsid w:val="00E15D09"/>
    <w:rsid w:val="00E15D94"/>
    <w:rsid w:val="00E15F70"/>
    <w:rsid w:val="00E1652B"/>
    <w:rsid w:val="00E166D0"/>
    <w:rsid w:val="00E16750"/>
    <w:rsid w:val="00E168DA"/>
    <w:rsid w:val="00E16947"/>
    <w:rsid w:val="00E16A18"/>
    <w:rsid w:val="00E16A7E"/>
    <w:rsid w:val="00E16F3E"/>
    <w:rsid w:val="00E171DF"/>
    <w:rsid w:val="00E173D0"/>
    <w:rsid w:val="00E1740B"/>
    <w:rsid w:val="00E174A4"/>
    <w:rsid w:val="00E17A91"/>
    <w:rsid w:val="00E17C3F"/>
    <w:rsid w:val="00E20535"/>
    <w:rsid w:val="00E206DD"/>
    <w:rsid w:val="00E20820"/>
    <w:rsid w:val="00E208A1"/>
    <w:rsid w:val="00E20934"/>
    <w:rsid w:val="00E209E8"/>
    <w:rsid w:val="00E20D0E"/>
    <w:rsid w:val="00E2173C"/>
    <w:rsid w:val="00E21E96"/>
    <w:rsid w:val="00E21EB6"/>
    <w:rsid w:val="00E22496"/>
    <w:rsid w:val="00E22812"/>
    <w:rsid w:val="00E228EF"/>
    <w:rsid w:val="00E22965"/>
    <w:rsid w:val="00E22C64"/>
    <w:rsid w:val="00E22CD0"/>
    <w:rsid w:val="00E22F8E"/>
    <w:rsid w:val="00E237C2"/>
    <w:rsid w:val="00E238A2"/>
    <w:rsid w:val="00E23946"/>
    <w:rsid w:val="00E23958"/>
    <w:rsid w:val="00E23D9D"/>
    <w:rsid w:val="00E24075"/>
    <w:rsid w:val="00E2459E"/>
    <w:rsid w:val="00E245B3"/>
    <w:rsid w:val="00E2463A"/>
    <w:rsid w:val="00E24868"/>
    <w:rsid w:val="00E2582D"/>
    <w:rsid w:val="00E258E6"/>
    <w:rsid w:val="00E25A4F"/>
    <w:rsid w:val="00E25DB1"/>
    <w:rsid w:val="00E260F5"/>
    <w:rsid w:val="00E2666E"/>
    <w:rsid w:val="00E269BE"/>
    <w:rsid w:val="00E26B1E"/>
    <w:rsid w:val="00E27183"/>
    <w:rsid w:val="00E27C31"/>
    <w:rsid w:val="00E27CA0"/>
    <w:rsid w:val="00E27D81"/>
    <w:rsid w:val="00E30181"/>
    <w:rsid w:val="00E30354"/>
    <w:rsid w:val="00E30695"/>
    <w:rsid w:val="00E30697"/>
    <w:rsid w:val="00E30920"/>
    <w:rsid w:val="00E30BCB"/>
    <w:rsid w:val="00E30C06"/>
    <w:rsid w:val="00E30C5F"/>
    <w:rsid w:val="00E30D7D"/>
    <w:rsid w:val="00E3114B"/>
    <w:rsid w:val="00E3118F"/>
    <w:rsid w:val="00E3123B"/>
    <w:rsid w:val="00E3129B"/>
    <w:rsid w:val="00E315F8"/>
    <w:rsid w:val="00E3186C"/>
    <w:rsid w:val="00E31876"/>
    <w:rsid w:val="00E31C33"/>
    <w:rsid w:val="00E31DC3"/>
    <w:rsid w:val="00E3237A"/>
    <w:rsid w:val="00E32B1F"/>
    <w:rsid w:val="00E32C44"/>
    <w:rsid w:val="00E32F06"/>
    <w:rsid w:val="00E331C8"/>
    <w:rsid w:val="00E33296"/>
    <w:rsid w:val="00E33408"/>
    <w:rsid w:val="00E33756"/>
    <w:rsid w:val="00E3377A"/>
    <w:rsid w:val="00E33A33"/>
    <w:rsid w:val="00E33C6B"/>
    <w:rsid w:val="00E33DE6"/>
    <w:rsid w:val="00E33E27"/>
    <w:rsid w:val="00E34145"/>
    <w:rsid w:val="00E342A2"/>
    <w:rsid w:val="00E34453"/>
    <w:rsid w:val="00E3459E"/>
    <w:rsid w:val="00E34D8C"/>
    <w:rsid w:val="00E35428"/>
    <w:rsid w:val="00E35506"/>
    <w:rsid w:val="00E355B5"/>
    <w:rsid w:val="00E356B5"/>
    <w:rsid w:val="00E35736"/>
    <w:rsid w:val="00E35A61"/>
    <w:rsid w:val="00E35B14"/>
    <w:rsid w:val="00E35B65"/>
    <w:rsid w:val="00E35C3E"/>
    <w:rsid w:val="00E35F05"/>
    <w:rsid w:val="00E3606D"/>
    <w:rsid w:val="00E361CF"/>
    <w:rsid w:val="00E362AD"/>
    <w:rsid w:val="00E36839"/>
    <w:rsid w:val="00E3709E"/>
    <w:rsid w:val="00E370FA"/>
    <w:rsid w:val="00E3716C"/>
    <w:rsid w:val="00E371FF"/>
    <w:rsid w:val="00E37418"/>
    <w:rsid w:val="00E37430"/>
    <w:rsid w:val="00E3754D"/>
    <w:rsid w:val="00E376CF"/>
    <w:rsid w:val="00E37C99"/>
    <w:rsid w:val="00E37F0B"/>
    <w:rsid w:val="00E37F29"/>
    <w:rsid w:val="00E37F9A"/>
    <w:rsid w:val="00E40019"/>
    <w:rsid w:val="00E402F1"/>
    <w:rsid w:val="00E40442"/>
    <w:rsid w:val="00E407D4"/>
    <w:rsid w:val="00E40A85"/>
    <w:rsid w:val="00E40DBB"/>
    <w:rsid w:val="00E410B7"/>
    <w:rsid w:val="00E41188"/>
    <w:rsid w:val="00E41229"/>
    <w:rsid w:val="00E41428"/>
    <w:rsid w:val="00E41476"/>
    <w:rsid w:val="00E414DB"/>
    <w:rsid w:val="00E41B80"/>
    <w:rsid w:val="00E4203E"/>
    <w:rsid w:val="00E42054"/>
    <w:rsid w:val="00E42271"/>
    <w:rsid w:val="00E422FF"/>
    <w:rsid w:val="00E423E4"/>
    <w:rsid w:val="00E424D1"/>
    <w:rsid w:val="00E427C7"/>
    <w:rsid w:val="00E42C9F"/>
    <w:rsid w:val="00E42DA0"/>
    <w:rsid w:val="00E42E3C"/>
    <w:rsid w:val="00E431B8"/>
    <w:rsid w:val="00E434B9"/>
    <w:rsid w:val="00E4355D"/>
    <w:rsid w:val="00E43626"/>
    <w:rsid w:val="00E43804"/>
    <w:rsid w:val="00E438F8"/>
    <w:rsid w:val="00E43D1F"/>
    <w:rsid w:val="00E44BCC"/>
    <w:rsid w:val="00E44EA4"/>
    <w:rsid w:val="00E44F48"/>
    <w:rsid w:val="00E451CD"/>
    <w:rsid w:val="00E452D4"/>
    <w:rsid w:val="00E453EB"/>
    <w:rsid w:val="00E4562C"/>
    <w:rsid w:val="00E4572A"/>
    <w:rsid w:val="00E457DD"/>
    <w:rsid w:val="00E4589D"/>
    <w:rsid w:val="00E459A8"/>
    <w:rsid w:val="00E459D5"/>
    <w:rsid w:val="00E45ADE"/>
    <w:rsid w:val="00E45ECF"/>
    <w:rsid w:val="00E46297"/>
    <w:rsid w:val="00E462C2"/>
    <w:rsid w:val="00E46388"/>
    <w:rsid w:val="00E464C1"/>
    <w:rsid w:val="00E4677E"/>
    <w:rsid w:val="00E46946"/>
    <w:rsid w:val="00E46B7E"/>
    <w:rsid w:val="00E46DAD"/>
    <w:rsid w:val="00E46E3D"/>
    <w:rsid w:val="00E471F8"/>
    <w:rsid w:val="00E4766E"/>
    <w:rsid w:val="00E476DA"/>
    <w:rsid w:val="00E47790"/>
    <w:rsid w:val="00E47D65"/>
    <w:rsid w:val="00E47DFA"/>
    <w:rsid w:val="00E47F91"/>
    <w:rsid w:val="00E5000A"/>
    <w:rsid w:val="00E5082A"/>
    <w:rsid w:val="00E5088E"/>
    <w:rsid w:val="00E50C38"/>
    <w:rsid w:val="00E50C5A"/>
    <w:rsid w:val="00E50FD8"/>
    <w:rsid w:val="00E51176"/>
    <w:rsid w:val="00E51386"/>
    <w:rsid w:val="00E5142A"/>
    <w:rsid w:val="00E515F6"/>
    <w:rsid w:val="00E516E1"/>
    <w:rsid w:val="00E51739"/>
    <w:rsid w:val="00E51B8E"/>
    <w:rsid w:val="00E51F62"/>
    <w:rsid w:val="00E51F88"/>
    <w:rsid w:val="00E5253E"/>
    <w:rsid w:val="00E5275E"/>
    <w:rsid w:val="00E529FC"/>
    <w:rsid w:val="00E52A80"/>
    <w:rsid w:val="00E52BA4"/>
    <w:rsid w:val="00E531BC"/>
    <w:rsid w:val="00E5449A"/>
    <w:rsid w:val="00E546AB"/>
    <w:rsid w:val="00E549AA"/>
    <w:rsid w:val="00E549CE"/>
    <w:rsid w:val="00E54BB0"/>
    <w:rsid w:val="00E54C36"/>
    <w:rsid w:val="00E54C5C"/>
    <w:rsid w:val="00E54F97"/>
    <w:rsid w:val="00E5502E"/>
    <w:rsid w:val="00E550CC"/>
    <w:rsid w:val="00E551D9"/>
    <w:rsid w:val="00E5529B"/>
    <w:rsid w:val="00E5543E"/>
    <w:rsid w:val="00E55567"/>
    <w:rsid w:val="00E55791"/>
    <w:rsid w:val="00E55AB6"/>
    <w:rsid w:val="00E55BCD"/>
    <w:rsid w:val="00E55C52"/>
    <w:rsid w:val="00E55CA2"/>
    <w:rsid w:val="00E55EFE"/>
    <w:rsid w:val="00E5603C"/>
    <w:rsid w:val="00E5634A"/>
    <w:rsid w:val="00E56775"/>
    <w:rsid w:val="00E56AC9"/>
    <w:rsid w:val="00E56B78"/>
    <w:rsid w:val="00E56BB1"/>
    <w:rsid w:val="00E56D68"/>
    <w:rsid w:val="00E5732B"/>
    <w:rsid w:val="00E574FD"/>
    <w:rsid w:val="00E575C9"/>
    <w:rsid w:val="00E57739"/>
    <w:rsid w:val="00E579F2"/>
    <w:rsid w:val="00E57A26"/>
    <w:rsid w:val="00E57CD5"/>
    <w:rsid w:val="00E57F46"/>
    <w:rsid w:val="00E57F5D"/>
    <w:rsid w:val="00E57FBA"/>
    <w:rsid w:val="00E57FD5"/>
    <w:rsid w:val="00E60174"/>
    <w:rsid w:val="00E60528"/>
    <w:rsid w:val="00E609E6"/>
    <w:rsid w:val="00E60DAE"/>
    <w:rsid w:val="00E61031"/>
    <w:rsid w:val="00E61141"/>
    <w:rsid w:val="00E6134E"/>
    <w:rsid w:val="00E614F0"/>
    <w:rsid w:val="00E61621"/>
    <w:rsid w:val="00E61A83"/>
    <w:rsid w:val="00E61CD6"/>
    <w:rsid w:val="00E61ED5"/>
    <w:rsid w:val="00E623ED"/>
    <w:rsid w:val="00E62575"/>
    <w:rsid w:val="00E62CCB"/>
    <w:rsid w:val="00E63413"/>
    <w:rsid w:val="00E6375D"/>
    <w:rsid w:val="00E63847"/>
    <w:rsid w:val="00E638FB"/>
    <w:rsid w:val="00E63FAE"/>
    <w:rsid w:val="00E64517"/>
    <w:rsid w:val="00E6470D"/>
    <w:rsid w:val="00E6477A"/>
    <w:rsid w:val="00E64946"/>
    <w:rsid w:val="00E64FF4"/>
    <w:rsid w:val="00E65251"/>
    <w:rsid w:val="00E65503"/>
    <w:rsid w:val="00E65A33"/>
    <w:rsid w:val="00E65F70"/>
    <w:rsid w:val="00E65FDE"/>
    <w:rsid w:val="00E6620A"/>
    <w:rsid w:val="00E664D4"/>
    <w:rsid w:val="00E673D5"/>
    <w:rsid w:val="00E67511"/>
    <w:rsid w:val="00E676C4"/>
    <w:rsid w:val="00E67724"/>
    <w:rsid w:val="00E67AD3"/>
    <w:rsid w:val="00E700A0"/>
    <w:rsid w:val="00E70123"/>
    <w:rsid w:val="00E704D9"/>
    <w:rsid w:val="00E70527"/>
    <w:rsid w:val="00E70793"/>
    <w:rsid w:val="00E70903"/>
    <w:rsid w:val="00E70E20"/>
    <w:rsid w:val="00E71385"/>
    <w:rsid w:val="00E714F6"/>
    <w:rsid w:val="00E71738"/>
    <w:rsid w:val="00E718DA"/>
    <w:rsid w:val="00E71A3A"/>
    <w:rsid w:val="00E71AC9"/>
    <w:rsid w:val="00E71CBA"/>
    <w:rsid w:val="00E72116"/>
    <w:rsid w:val="00E7263F"/>
    <w:rsid w:val="00E7268A"/>
    <w:rsid w:val="00E726CD"/>
    <w:rsid w:val="00E72EC0"/>
    <w:rsid w:val="00E72F16"/>
    <w:rsid w:val="00E73700"/>
    <w:rsid w:val="00E73A84"/>
    <w:rsid w:val="00E74222"/>
    <w:rsid w:val="00E7474F"/>
    <w:rsid w:val="00E747E3"/>
    <w:rsid w:val="00E748DF"/>
    <w:rsid w:val="00E74C1F"/>
    <w:rsid w:val="00E74F5E"/>
    <w:rsid w:val="00E75486"/>
    <w:rsid w:val="00E7565A"/>
    <w:rsid w:val="00E75C21"/>
    <w:rsid w:val="00E75DA8"/>
    <w:rsid w:val="00E765A4"/>
    <w:rsid w:val="00E76893"/>
    <w:rsid w:val="00E768D3"/>
    <w:rsid w:val="00E769B1"/>
    <w:rsid w:val="00E769F8"/>
    <w:rsid w:val="00E771F0"/>
    <w:rsid w:val="00E7766B"/>
    <w:rsid w:val="00E77804"/>
    <w:rsid w:val="00E77E33"/>
    <w:rsid w:val="00E80A35"/>
    <w:rsid w:val="00E80B06"/>
    <w:rsid w:val="00E80C5A"/>
    <w:rsid w:val="00E80F19"/>
    <w:rsid w:val="00E810F7"/>
    <w:rsid w:val="00E81494"/>
    <w:rsid w:val="00E81518"/>
    <w:rsid w:val="00E81745"/>
    <w:rsid w:val="00E817B1"/>
    <w:rsid w:val="00E8193C"/>
    <w:rsid w:val="00E81B94"/>
    <w:rsid w:val="00E81C08"/>
    <w:rsid w:val="00E81F6A"/>
    <w:rsid w:val="00E82092"/>
    <w:rsid w:val="00E820A6"/>
    <w:rsid w:val="00E822D6"/>
    <w:rsid w:val="00E82416"/>
    <w:rsid w:val="00E82956"/>
    <w:rsid w:val="00E82AA9"/>
    <w:rsid w:val="00E82B4F"/>
    <w:rsid w:val="00E82CFD"/>
    <w:rsid w:val="00E82D26"/>
    <w:rsid w:val="00E82D53"/>
    <w:rsid w:val="00E82FFF"/>
    <w:rsid w:val="00E830C8"/>
    <w:rsid w:val="00E83167"/>
    <w:rsid w:val="00E832E9"/>
    <w:rsid w:val="00E835A9"/>
    <w:rsid w:val="00E835C0"/>
    <w:rsid w:val="00E837DE"/>
    <w:rsid w:val="00E8389D"/>
    <w:rsid w:val="00E83AB6"/>
    <w:rsid w:val="00E83AE5"/>
    <w:rsid w:val="00E83E08"/>
    <w:rsid w:val="00E84823"/>
    <w:rsid w:val="00E84BF9"/>
    <w:rsid w:val="00E84C10"/>
    <w:rsid w:val="00E84C43"/>
    <w:rsid w:val="00E84EF3"/>
    <w:rsid w:val="00E85370"/>
    <w:rsid w:val="00E85928"/>
    <w:rsid w:val="00E85979"/>
    <w:rsid w:val="00E85BBB"/>
    <w:rsid w:val="00E85D33"/>
    <w:rsid w:val="00E866BF"/>
    <w:rsid w:val="00E869F1"/>
    <w:rsid w:val="00E86B15"/>
    <w:rsid w:val="00E86C0A"/>
    <w:rsid w:val="00E86D08"/>
    <w:rsid w:val="00E86DB4"/>
    <w:rsid w:val="00E86E26"/>
    <w:rsid w:val="00E86E61"/>
    <w:rsid w:val="00E87712"/>
    <w:rsid w:val="00E8783D"/>
    <w:rsid w:val="00E87968"/>
    <w:rsid w:val="00E879AF"/>
    <w:rsid w:val="00E87D62"/>
    <w:rsid w:val="00E87E95"/>
    <w:rsid w:val="00E87F1C"/>
    <w:rsid w:val="00E87F8A"/>
    <w:rsid w:val="00E90110"/>
    <w:rsid w:val="00E90800"/>
    <w:rsid w:val="00E90E6A"/>
    <w:rsid w:val="00E90F0D"/>
    <w:rsid w:val="00E9123B"/>
    <w:rsid w:val="00E915EE"/>
    <w:rsid w:val="00E91F06"/>
    <w:rsid w:val="00E92393"/>
    <w:rsid w:val="00E92476"/>
    <w:rsid w:val="00E925D2"/>
    <w:rsid w:val="00E92A4A"/>
    <w:rsid w:val="00E92A81"/>
    <w:rsid w:val="00E92B87"/>
    <w:rsid w:val="00E92CDB"/>
    <w:rsid w:val="00E92D64"/>
    <w:rsid w:val="00E932BE"/>
    <w:rsid w:val="00E934B5"/>
    <w:rsid w:val="00E93631"/>
    <w:rsid w:val="00E9369A"/>
    <w:rsid w:val="00E93CC4"/>
    <w:rsid w:val="00E93F11"/>
    <w:rsid w:val="00E93FFF"/>
    <w:rsid w:val="00E942AF"/>
    <w:rsid w:val="00E94495"/>
    <w:rsid w:val="00E95015"/>
    <w:rsid w:val="00E9557B"/>
    <w:rsid w:val="00E955F8"/>
    <w:rsid w:val="00E9561F"/>
    <w:rsid w:val="00E956B1"/>
    <w:rsid w:val="00E95877"/>
    <w:rsid w:val="00E9593B"/>
    <w:rsid w:val="00E95ABA"/>
    <w:rsid w:val="00E95B19"/>
    <w:rsid w:val="00E95B71"/>
    <w:rsid w:val="00E95BF3"/>
    <w:rsid w:val="00E96013"/>
    <w:rsid w:val="00E963CD"/>
    <w:rsid w:val="00E96683"/>
    <w:rsid w:val="00E966CC"/>
    <w:rsid w:val="00E96805"/>
    <w:rsid w:val="00E96891"/>
    <w:rsid w:val="00E96936"/>
    <w:rsid w:val="00E96DF8"/>
    <w:rsid w:val="00E97225"/>
    <w:rsid w:val="00E97362"/>
    <w:rsid w:val="00E97BDE"/>
    <w:rsid w:val="00E97F7F"/>
    <w:rsid w:val="00EA001E"/>
    <w:rsid w:val="00EA0E4D"/>
    <w:rsid w:val="00EA123B"/>
    <w:rsid w:val="00EA15B3"/>
    <w:rsid w:val="00EA16F4"/>
    <w:rsid w:val="00EA1F14"/>
    <w:rsid w:val="00EA2209"/>
    <w:rsid w:val="00EA2EAC"/>
    <w:rsid w:val="00EA377B"/>
    <w:rsid w:val="00EA3870"/>
    <w:rsid w:val="00EA41D7"/>
    <w:rsid w:val="00EA424B"/>
    <w:rsid w:val="00EA4279"/>
    <w:rsid w:val="00EA4598"/>
    <w:rsid w:val="00EA4859"/>
    <w:rsid w:val="00EA485F"/>
    <w:rsid w:val="00EA49ED"/>
    <w:rsid w:val="00EA4A69"/>
    <w:rsid w:val="00EA4BCF"/>
    <w:rsid w:val="00EA4C04"/>
    <w:rsid w:val="00EA4CC2"/>
    <w:rsid w:val="00EA4DDC"/>
    <w:rsid w:val="00EA4FE9"/>
    <w:rsid w:val="00EA5442"/>
    <w:rsid w:val="00EA58B0"/>
    <w:rsid w:val="00EA5A53"/>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4EB"/>
    <w:rsid w:val="00EA756A"/>
    <w:rsid w:val="00EA77E0"/>
    <w:rsid w:val="00EA780A"/>
    <w:rsid w:val="00EA7E7E"/>
    <w:rsid w:val="00EB005B"/>
    <w:rsid w:val="00EB0193"/>
    <w:rsid w:val="00EB068D"/>
    <w:rsid w:val="00EB08F6"/>
    <w:rsid w:val="00EB092E"/>
    <w:rsid w:val="00EB0D68"/>
    <w:rsid w:val="00EB0DCE"/>
    <w:rsid w:val="00EB0F6E"/>
    <w:rsid w:val="00EB103D"/>
    <w:rsid w:val="00EB10D7"/>
    <w:rsid w:val="00EB12EF"/>
    <w:rsid w:val="00EB1406"/>
    <w:rsid w:val="00EB19A1"/>
    <w:rsid w:val="00EB19E9"/>
    <w:rsid w:val="00EB1C7A"/>
    <w:rsid w:val="00EB1E12"/>
    <w:rsid w:val="00EB1F04"/>
    <w:rsid w:val="00EB1FB7"/>
    <w:rsid w:val="00EB2670"/>
    <w:rsid w:val="00EB269B"/>
    <w:rsid w:val="00EB282B"/>
    <w:rsid w:val="00EB283D"/>
    <w:rsid w:val="00EB2853"/>
    <w:rsid w:val="00EB28CA"/>
    <w:rsid w:val="00EB2925"/>
    <w:rsid w:val="00EB307E"/>
    <w:rsid w:val="00EB3188"/>
    <w:rsid w:val="00EB3963"/>
    <w:rsid w:val="00EB3F39"/>
    <w:rsid w:val="00EB3F9F"/>
    <w:rsid w:val="00EB42A3"/>
    <w:rsid w:val="00EB4460"/>
    <w:rsid w:val="00EB4578"/>
    <w:rsid w:val="00EB4720"/>
    <w:rsid w:val="00EB489E"/>
    <w:rsid w:val="00EB5BFB"/>
    <w:rsid w:val="00EB5D47"/>
    <w:rsid w:val="00EB60EF"/>
    <w:rsid w:val="00EB66A2"/>
    <w:rsid w:val="00EB68EC"/>
    <w:rsid w:val="00EB6BA2"/>
    <w:rsid w:val="00EB7440"/>
    <w:rsid w:val="00EB78B7"/>
    <w:rsid w:val="00EB7E56"/>
    <w:rsid w:val="00EB7E7E"/>
    <w:rsid w:val="00EB7EC3"/>
    <w:rsid w:val="00EC055A"/>
    <w:rsid w:val="00EC05AA"/>
    <w:rsid w:val="00EC0635"/>
    <w:rsid w:val="00EC0838"/>
    <w:rsid w:val="00EC085B"/>
    <w:rsid w:val="00EC0B8C"/>
    <w:rsid w:val="00EC0BE5"/>
    <w:rsid w:val="00EC1C9B"/>
    <w:rsid w:val="00EC204D"/>
    <w:rsid w:val="00EC206C"/>
    <w:rsid w:val="00EC2656"/>
    <w:rsid w:val="00EC2BAC"/>
    <w:rsid w:val="00EC2CA8"/>
    <w:rsid w:val="00EC3048"/>
    <w:rsid w:val="00EC313F"/>
    <w:rsid w:val="00EC37EF"/>
    <w:rsid w:val="00EC384E"/>
    <w:rsid w:val="00EC42EE"/>
    <w:rsid w:val="00EC4B92"/>
    <w:rsid w:val="00EC5140"/>
    <w:rsid w:val="00EC5669"/>
    <w:rsid w:val="00EC5672"/>
    <w:rsid w:val="00EC56EF"/>
    <w:rsid w:val="00EC584C"/>
    <w:rsid w:val="00EC58B9"/>
    <w:rsid w:val="00EC59BE"/>
    <w:rsid w:val="00EC5B52"/>
    <w:rsid w:val="00EC5F3F"/>
    <w:rsid w:val="00EC6537"/>
    <w:rsid w:val="00EC694F"/>
    <w:rsid w:val="00EC6972"/>
    <w:rsid w:val="00EC6A47"/>
    <w:rsid w:val="00EC6E9D"/>
    <w:rsid w:val="00EC71C0"/>
    <w:rsid w:val="00EC731C"/>
    <w:rsid w:val="00EC74D9"/>
    <w:rsid w:val="00EC756F"/>
    <w:rsid w:val="00EC7642"/>
    <w:rsid w:val="00EC779E"/>
    <w:rsid w:val="00EC7873"/>
    <w:rsid w:val="00EC7933"/>
    <w:rsid w:val="00EC7EA4"/>
    <w:rsid w:val="00EC7EAB"/>
    <w:rsid w:val="00ED0239"/>
    <w:rsid w:val="00ED0450"/>
    <w:rsid w:val="00ED045E"/>
    <w:rsid w:val="00ED055D"/>
    <w:rsid w:val="00ED05CC"/>
    <w:rsid w:val="00ED0701"/>
    <w:rsid w:val="00ED0790"/>
    <w:rsid w:val="00ED085B"/>
    <w:rsid w:val="00ED0885"/>
    <w:rsid w:val="00ED0B30"/>
    <w:rsid w:val="00ED102D"/>
    <w:rsid w:val="00ED13F1"/>
    <w:rsid w:val="00ED190A"/>
    <w:rsid w:val="00ED1A45"/>
    <w:rsid w:val="00ED1B12"/>
    <w:rsid w:val="00ED1E23"/>
    <w:rsid w:val="00ED200C"/>
    <w:rsid w:val="00ED210F"/>
    <w:rsid w:val="00ED2341"/>
    <w:rsid w:val="00ED2748"/>
    <w:rsid w:val="00ED2A70"/>
    <w:rsid w:val="00ED2C06"/>
    <w:rsid w:val="00ED2C0E"/>
    <w:rsid w:val="00ED2C16"/>
    <w:rsid w:val="00ED2CD0"/>
    <w:rsid w:val="00ED2F63"/>
    <w:rsid w:val="00ED2FF2"/>
    <w:rsid w:val="00ED302A"/>
    <w:rsid w:val="00ED305C"/>
    <w:rsid w:val="00ED3089"/>
    <w:rsid w:val="00ED3443"/>
    <w:rsid w:val="00ED3533"/>
    <w:rsid w:val="00ED36D5"/>
    <w:rsid w:val="00ED3836"/>
    <w:rsid w:val="00ED3953"/>
    <w:rsid w:val="00ED3B8B"/>
    <w:rsid w:val="00ED4178"/>
    <w:rsid w:val="00ED4528"/>
    <w:rsid w:val="00ED4755"/>
    <w:rsid w:val="00ED49B1"/>
    <w:rsid w:val="00ED4AF4"/>
    <w:rsid w:val="00ED4B28"/>
    <w:rsid w:val="00ED537C"/>
    <w:rsid w:val="00ED53F5"/>
    <w:rsid w:val="00ED5400"/>
    <w:rsid w:val="00ED55C0"/>
    <w:rsid w:val="00ED5701"/>
    <w:rsid w:val="00ED5ED2"/>
    <w:rsid w:val="00ED643E"/>
    <w:rsid w:val="00ED6625"/>
    <w:rsid w:val="00ED6982"/>
    <w:rsid w:val="00ED6B96"/>
    <w:rsid w:val="00ED6C01"/>
    <w:rsid w:val="00ED7251"/>
    <w:rsid w:val="00ED75FE"/>
    <w:rsid w:val="00ED79CA"/>
    <w:rsid w:val="00ED7A6B"/>
    <w:rsid w:val="00ED7B12"/>
    <w:rsid w:val="00ED7C01"/>
    <w:rsid w:val="00ED7C4D"/>
    <w:rsid w:val="00ED7E60"/>
    <w:rsid w:val="00ED7FFD"/>
    <w:rsid w:val="00EE004A"/>
    <w:rsid w:val="00EE00B8"/>
    <w:rsid w:val="00EE036B"/>
    <w:rsid w:val="00EE04AF"/>
    <w:rsid w:val="00EE0648"/>
    <w:rsid w:val="00EE0C30"/>
    <w:rsid w:val="00EE0E1D"/>
    <w:rsid w:val="00EE0E4F"/>
    <w:rsid w:val="00EE0EEF"/>
    <w:rsid w:val="00EE1024"/>
    <w:rsid w:val="00EE166B"/>
    <w:rsid w:val="00EE17C5"/>
    <w:rsid w:val="00EE1ADE"/>
    <w:rsid w:val="00EE1B60"/>
    <w:rsid w:val="00EE1C9B"/>
    <w:rsid w:val="00EE1D4D"/>
    <w:rsid w:val="00EE1E32"/>
    <w:rsid w:val="00EE23C7"/>
    <w:rsid w:val="00EE2457"/>
    <w:rsid w:val="00EE24EA"/>
    <w:rsid w:val="00EE257D"/>
    <w:rsid w:val="00EE2634"/>
    <w:rsid w:val="00EE2B8A"/>
    <w:rsid w:val="00EE3215"/>
    <w:rsid w:val="00EE3EA3"/>
    <w:rsid w:val="00EE4CB6"/>
    <w:rsid w:val="00EE4E64"/>
    <w:rsid w:val="00EE4FD5"/>
    <w:rsid w:val="00EE5131"/>
    <w:rsid w:val="00EE520F"/>
    <w:rsid w:val="00EE553F"/>
    <w:rsid w:val="00EE570B"/>
    <w:rsid w:val="00EE5CFF"/>
    <w:rsid w:val="00EE6106"/>
    <w:rsid w:val="00EE6298"/>
    <w:rsid w:val="00EE62B2"/>
    <w:rsid w:val="00EE63BF"/>
    <w:rsid w:val="00EE6585"/>
    <w:rsid w:val="00EE65CB"/>
    <w:rsid w:val="00EE6A90"/>
    <w:rsid w:val="00EE6D5A"/>
    <w:rsid w:val="00EE6DC4"/>
    <w:rsid w:val="00EE6E08"/>
    <w:rsid w:val="00EE6F88"/>
    <w:rsid w:val="00EE7333"/>
    <w:rsid w:val="00EE746F"/>
    <w:rsid w:val="00EE74AD"/>
    <w:rsid w:val="00EE74C6"/>
    <w:rsid w:val="00EE7544"/>
    <w:rsid w:val="00EE7627"/>
    <w:rsid w:val="00EE79F7"/>
    <w:rsid w:val="00EE7A44"/>
    <w:rsid w:val="00EE7B5E"/>
    <w:rsid w:val="00EE7E15"/>
    <w:rsid w:val="00EF0039"/>
    <w:rsid w:val="00EF004A"/>
    <w:rsid w:val="00EF0363"/>
    <w:rsid w:val="00EF03FA"/>
    <w:rsid w:val="00EF040D"/>
    <w:rsid w:val="00EF0644"/>
    <w:rsid w:val="00EF086C"/>
    <w:rsid w:val="00EF0BE4"/>
    <w:rsid w:val="00EF0C2E"/>
    <w:rsid w:val="00EF0CDF"/>
    <w:rsid w:val="00EF0E19"/>
    <w:rsid w:val="00EF0EF1"/>
    <w:rsid w:val="00EF11AC"/>
    <w:rsid w:val="00EF13F6"/>
    <w:rsid w:val="00EF16AE"/>
    <w:rsid w:val="00EF1A16"/>
    <w:rsid w:val="00EF1B17"/>
    <w:rsid w:val="00EF20B6"/>
    <w:rsid w:val="00EF2332"/>
    <w:rsid w:val="00EF2356"/>
    <w:rsid w:val="00EF2846"/>
    <w:rsid w:val="00EF28D6"/>
    <w:rsid w:val="00EF2A36"/>
    <w:rsid w:val="00EF2D13"/>
    <w:rsid w:val="00EF2D80"/>
    <w:rsid w:val="00EF2D9E"/>
    <w:rsid w:val="00EF2EF4"/>
    <w:rsid w:val="00EF3048"/>
    <w:rsid w:val="00EF3609"/>
    <w:rsid w:val="00EF366B"/>
    <w:rsid w:val="00EF367F"/>
    <w:rsid w:val="00EF3B00"/>
    <w:rsid w:val="00EF3B82"/>
    <w:rsid w:val="00EF4255"/>
    <w:rsid w:val="00EF4371"/>
    <w:rsid w:val="00EF44F8"/>
    <w:rsid w:val="00EF4726"/>
    <w:rsid w:val="00EF4DEA"/>
    <w:rsid w:val="00EF4F96"/>
    <w:rsid w:val="00EF4FFA"/>
    <w:rsid w:val="00EF5391"/>
    <w:rsid w:val="00EF53B1"/>
    <w:rsid w:val="00EF56B8"/>
    <w:rsid w:val="00EF58FE"/>
    <w:rsid w:val="00EF5990"/>
    <w:rsid w:val="00EF599B"/>
    <w:rsid w:val="00EF5A1E"/>
    <w:rsid w:val="00EF5B9E"/>
    <w:rsid w:val="00EF60A6"/>
    <w:rsid w:val="00EF631D"/>
    <w:rsid w:val="00EF68E9"/>
    <w:rsid w:val="00EF6C4B"/>
    <w:rsid w:val="00EF74A5"/>
    <w:rsid w:val="00EF74DB"/>
    <w:rsid w:val="00EF788F"/>
    <w:rsid w:val="00EF7965"/>
    <w:rsid w:val="00EF7AF0"/>
    <w:rsid w:val="00EF7EBF"/>
    <w:rsid w:val="00EF7F7F"/>
    <w:rsid w:val="00EF7F96"/>
    <w:rsid w:val="00F00061"/>
    <w:rsid w:val="00F003DE"/>
    <w:rsid w:val="00F00559"/>
    <w:rsid w:val="00F0056A"/>
    <w:rsid w:val="00F006C7"/>
    <w:rsid w:val="00F00E8C"/>
    <w:rsid w:val="00F00EBE"/>
    <w:rsid w:val="00F00FF5"/>
    <w:rsid w:val="00F010E9"/>
    <w:rsid w:val="00F013C2"/>
    <w:rsid w:val="00F01794"/>
    <w:rsid w:val="00F01839"/>
    <w:rsid w:val="00F01AF1"/>
    <w:rsid w:val="00F01EEA"/>
    <w:rsid w:val="00F01F06"/>
    <w:rsid w:val="00F02300"/>
    <w:rsid w:val="00F02313"/>
    <w:rsid w:val="00F0248D"/>
    <w:rsid w:val="00F02618"/>
    <w:rsid w:val="00F0272A"/>
    <w:rsid w:val="00F02B25"/>
    <w:rsid w:val="00F02BD2"/>
    <w:rsid w:val="00F02D08"/>
    <w:rsid w:val="00F02DAA"/>
    <w:rsid w:val="00F02E95"/>
    <w:rsid w:val="00F031F4"/>
    <w:rsid w:val="00F034EA"/>
    <w:rsid w:val="00F03B42"/>
    <w:rsid w:val="00F03DB8"/>
    <w:rsid w:val="00F03FAB"/>
    <w:rsid w:val="00F04047"/>
    <w:rsid w:val="00F04324"/>
    <w:rsid w:val="00F04500"/>
    <w:rsid w:val="00F04965"/>
    <w:rsid w:val="00F04AAB"/>
    <w:rsid w:val="00F04B0B"/>
    <w:rsid w:val="00F04B86"/>
    <w:rsid w:val="00F04C9C"/>
    <w:rsid w:val="00F04ECE"/>
    <w:rsid w:val="00F05151"/>
    <w:rsid w:val="00F05171"/>
    <w:rsid w:val="00F052E0"/>
    <w:rsid w:val="00F0545C"/>
    <w:rsid w:val="00F05576"/>
    <w:rsid w:val="00F05A7A"/>
    <w:rsid w:val="00F05AB9"/>
    <w:rsid w:val="00F05BE3"/>
    <w:rsid w:val="00F060B2"/>
    <w:rsid w:val="00F062C8"/>
    <w:rsid w:val="00F065D3"/>
    <w:rsid w:val="00F066E3"/>
    <w:rsid w:val="00F0671B"/>
    <w:rsid w:val="00F06781"/>
    <w:rsid w:val="00F068C7"/>
    <w:rsid w:val="00F06BE2"/>
    <w:rsid w:val="00F06C7C"/>
    <w:rsid w:val="00F072E9"/>
    <w:rsid w:val="00F076D8"/>
    <w:rsid w:val="00F07733"/>
    <w:rsid w:val="00F07C50"/>
    <w:rsid w:val="00F10024"/>
    <w:rsid w:val="00F10516"/>
    <w:rsid w:val="00F10B69"/>
    <w:rsid w:val="00F10D46"/>
    <w:rsid w:val="00F11443"/>
    <w:rsid w:val="00F11557"/>
    <w:rsid w:val="00F11678"/>
    <w:rsid w:val="00F11690"/>
    <w:rsid w:val="00F1180A"/>
    <w:rsid w:val="00F1193B"/>
    <w:rsid w:val="00F11CF2"/>
    <w:rsid w:val="00F11FAB"/>
    <w:rsid w:val="00F12217"/>
    <w:rsid w:val="00F12315"/>
    <w:rsid w:val="00F123CE"/>
    <w:rsid w:val="00F12421"/>
    <w:rsid w:val="00F1262E"/>
    <w:rsid w:val="00F12DFC"/>
    <w:rsid w:val="00F13162"/>
    <w:rsid w:val="00F13534"/>
    <w:rsid w:val="00F135D1"/>
    <w:rsid w:val="00F1382F"/>
    <w:rsid w:val="00F139C1"/>
    <w:rsid w:val="00F13BA7"/>
    <w:rsid w:val="00F13BBE"/>
    <w:rsid w:val="00F13EC1"/>
    <w:rsid w:val="00F14024"/>
    <w:rsid w:val="00F14318"/>
    <w:rsid w:val="00F14331"/>
    <w:rsid w:val="00F14D62"/>
    <w:rsid w:val="00F1516F"/>
    <w:rsid w:val="00F15224"/>
    <w:rsid w:val="00F1524F"/>
    <w:rsid w:val="00F155FC"/>
    <w:rsid w:val="00F15898"/>
    <w:rsid w:val="00F15CED"/>
    <w:rsid w:val="00F15E7B"/>
    <w:rsid w:val="00F16384"/>
    <w:rsid w:val="00F16551"/>
    <w:rsid w:val="00F16604"/>
    <w:rsid w:val="00F1686F"/>
    <w:rsid w:val="00F1695C"/>
    <w:rsid w:val="00F16B3F"/>
    <w:rsid w:val="00F16BA8"/>
    <w:rsid w:val="00F16CAF"/>
    <w:rsid w:val="00F16CB9"/>
    <w:rsid w:val="00F16E59"/>
    <w:rsid w:val="00F17096"/>
    <w:rsid w:val="00F172AA"/>
    <w:rsid w:val="00F176BD"/>
    <w:rsid w:val="00F178FC"/>
    <w:rsid w:val="00F179D7"/>
    <w:rsid w:val="00F17B0A"/>
    <w:rsid w:val="00F17F9D"/>
    <w:rsid w:val="00F20027"/>
    <w:rsid w:val="00F200D8"/>
    <w:rsid w:val="00F20247"/>
    <w:rsid w:val="00F204D1"/>
    <w:rsid w:val="00F2068D"/>
    <w:rsid w:val="00F2085A"/>
    <w:rsid w:val="00F208EB"/>
    <w:rsid w:val="00F20C0E"/>
    <w:rsid w:val="00F20CCF"/>
    <w:rsid w:val="00F21D2A"/>
    <w:rsid w:val="00F21E8F"/>
    <w:rsid w:val="00F220F8"/>
    <w:rsid w:val="00F2218B"/>
    <w:rsid w:val="00F22196"/>
    <w:rsid w:val="00F223E8"/>
    <w:rsid w:val="00F2259A"/>
    <w:rsid w:val="00F2266F"/>
    <w:rsid w:val="00F22EAF"/>
    <w:rsid w:val="00F22FFB"/>
    <w:rsid w:val="00F239EF"/>
    <w:rsid w:val="00F23D1C"/>
    <w:rsid w:val="00F242C7"/>
    <w:rsid w:val="00F24306"/>
    <w:rsid w:val="00F24470"/>
    <w:rsid w:val="00F246F6"/>
    <w:rsid w:val="00F24854"/>
    <w:rsid w:val="00F248CD"/>
    <w:rsid w:val="00F24AF6"/>
    <w:rsid w:val="00F24C71"/>
    <w:rsid w:val="00F250F7"/>
    <w:rsid w:val="00F251AD"/>
    <w:rsid w:val="00F2530B"/>
    <w:rsid w:val="00F254C6"/>
    <w:rsid w:val="00F2580A"/>
    <w:rsid w:val="00F25D21"/>
    <w:rsid w:val="00F25D6B"/>
    <w:rsid w:val="00F25E7B"/>
    <w:rsid w:val="00F25FBB"/>
    <w:rsid w:val="00F25FFD"/>
    <w:rsid w:val="00F26103"/>
    <w:rsid w:val="00F265EE"/>
    <w:rsid w:val="00F2699C"/>
    <w:rsid w:val="00F26C8B"/>
    <w:rsid w:val="00F26D0B"/>
    <w:rsid w:val="00F270E1"/>
    <w:rsid w:val="00F27239"/>
    <w:rsid w:val="00F272C1"/>
    <w:rsid w:val="00F2757C"/>
    <w:rsid w:val="00F27598"/>
    <w:rsid w:val="00F2760B"/>
    <w:rsid w:val="00F277B1"/>
    <w:rsid w:val="00F2787F"/>
    <w:rsid w:val="00F27958"/>
    <w:rsid w:val="00F27D15"/>
    <w:rsid w:val="00F30170"/>
    <w:rsid w:val="00F30520"/>
    <w:rsid w:val="00F3056A"/>
    <w:rsid w:val="00F3071F"/>
    <w:rsid w:val="00F307DE"/>
    <w:rsid w:val="00F30B2F"/>
    <w:rsid w:val="00F30B78"/>
    <w:rsid w:val="00F311A7"/>
    <w:rsid w:val="00F31828"/>
    <w:rsid w:val="00F31B0E"/>
    <w:rsid w:val="00F31BE5"/>
    <w:rsid w:val="00F31E0B"/>
    <w:rsid w:val="00F31F04"/>
    <w:rsid w:val="00F3255B"/>
    <w:rsid w:val="00F329D3"/>
    <w:rsid w:val="00F32C49"/>
    <w:rsid w:val="00F33442"/>
    <w:rsid w:val="00F33D4E"/>
    <w:rsid w:val="00F33F63"/>
    <w:rsid w:val="00F3420F"/>
    <w:rsid w:val="00F34254"/>
    <w:rsid w:val="00F343A0"/>
    <w:rsid w:val="00F343F9"/>
    <w:rsid w:val="00F34862"/>
    <w:rsid w:val="00F34FB5"/>
    <w:rsid w:val="00F3513C"/>
    <w:rsid w:val="00F351ED"/>
    <w:rsid w:val="00F3529D"/>
    <w:rsid w:val="00F356B8"/>
    <w:rsid w:val="00F35705"/>
    <w:rsid w:val="00F35910"/>
    <w:rsid w:val="00F35AC3"/>
    <w:rsid w:val="00F35D30"/>
    <w:rsid w:val="00F368BD"/>
    <w:rsid w:val="00F368F1"/>
    <w:rsid w:val="00F36A27"/>
    <w:rsid w:val="00F36AFF"/>
    <w:rsid w:val="00F36D94"/>
    <w:rsid w:val="00F36DBD"/>
    <w:rsid w:val="00F3730B"/>
    <w:rsid w:val="00F37866"/>
    <w:rsid w:val="00F379FF"/>
    <w:rsid w:val="00F37A39"/>
    <w:rsid w:val="00F37AE0"/>
    <w:rsid w:val="00F37C83"/>
    <w:rsid w:val="00F37EE6"/>
    <w:rsid w:val="00F4017B"/>
    <w:rsid w:val="00F40816"/>
    <w:rsid w:val="00F40821"/>
    <w:rsid w:val="00F40929"/>
    <w:rsid w:val="00F40A0B"/>
    <w:rsid w:val="00F40BBB"/>
    <w:rsid w:val="00F40C93"/>
    <w:rsid w:val="00F40FC7"/>
    <w:rsid w:val="00F41242"/>
    <w:rsid w:val="00F414B1"/>
    <w:rsid w:val="00F41770"/>
    <w:rsid w:val="00F418E8"/>
    <w:rsid w:val="00F41E93"/>
    <w:rsid w:val="00F424B8"/>
    <w:rsid w:val="00F42527"/>
    <w:rsid w:val="00F42591"/>
    <w:rsid w:val="00F42711"/>
    <w:rsid w:val="00F427EA"/>
    <w:rsid w:val="00F4282B"/>
    <w:rsid w:val="00F429BA"/>
    <w:rsid w:val="00F429E2"/>
    <w:rsid w:val="00F42A78"/>
    <w:rsid w:val="00F42AD9"/>
    <w:rsid w:val="00F42BB7"/>
    <w:rsid w:val="00F42F55"/>
    <w:rsid w:val="00F42FBA"/>
    <w:rsid w:val="00F430CA"/>
    <w:rsid w:val="00F43162"/>
    <w:rsid w:val="00F433FB"/>
    <w:rsid w:val="00F43507"/>
    <w:rsid w:val="00F437D9"/>
    <w:rsid w:val="00F438FB"/>
    <w:rsid w:val="00F43C85"/>
    <w:rsid w:val="00F43C93"/>
    <w:rsid w:val="00F4425D"/>
    <w:rsid w:val="00F44344"/>
    <w:rsid w:val="00F44651"/>
    <w:rsid w:val="00F446B2"/>
    <w:rsid w:val="00F44AE4"/>
    <w:rsid w:val="00F44C1D"/>
    <w:rsid w:val="00F44CF2"/>
    <w:rsid w:val="00F450D2"/>
    <w:rsid w:val="00F452F6"/>
    <w:rsid w:val="00F453EB"/>
    <w:rsid w:val="00F454D1"/>
    <w:rsid w:val="00F45874"/>
    <w:rsid w:val="00F458CC"/>
    <w:rsid w:val="00F45A61"/>
    <w:rsid w:val="00F45B41"/>
    <w:rsid w:val="00F45D0C"/>
    <w:rsid w:val="00F45E35"/>
    <w:rsid w:val="00F45EE4"/>
    <w:rsid w:val="00F462BE"/>
    <w:rsid w:val="00F4655F"/>
    <w:rsid w:val="00F46569"/>
    <w:rsid w:val="00F4694A"/>
    <w:rsid w:val="00F46C4D"/>
    <w:rsid w:val="00F46C8B"/>
    <w:rsid w:val="00F46D34"/>
    <w:rsid w:val="00F46EC8"/>
    <w:rsid w:val="00F46F00"/>
    <w:rsid w:val="00F46F70"/>
    <w:rsid w:val="00F46FEB"/>
    <w:rsid w:val="00F47268"/>
    <w:rsid w:val="00F472A1"/>
    <w:rsid w:val="00F47A31"/>
    <w:rsid w:val="00F47A6E"/>
    <w:rsid w:val="00F47B37"/>
    <w:rsid w:val="00F47CFA"/>
    <w:rsid w:val="00F47FAA"/>
    <w:rsid w:val="00F50215"/>
    <w:rsid w:val="00F50343"/>
    <w:rsid w:val="00F5063D"/>
    <w:rsid w:val="00F507E2"/>
    <w:rsid w:val="00F509B1"/>
    <w:rsid w:val="00F50ED5"/>
    <w:rsid w:val="00F50FC9"/>
    <w:rsid w:val="00F51002"/>
    <w:rsid w:val="00F51121"/>
    <w:rsid w:val="00F513BF"/>
    <w:rsid w:val="00F51780"/>
    <w:rsid w:val="00F523AF"/>
    <w:rsid w:val="00F524F7"/>
    <w:rsid w:val="00F52B04"/>
    <w:rsid w:val="00F52C18"/>
    <w:rsid w:val="00F52E38"/>
    <w:rsid w:val="00F52F76"/>
    <w:rsid w:val="00F536A6"/>
    <w:rsid w:val="00F5439B"/>
    <w:rsid w:val="00F54411"/>
    <w:rsid w:val="00F5466E"/>
    <w:rsid w:val="00F54E15"/>
    <w:rsid w:val="00F54F10"/>
    <w:rsid w:val="00F5523C"/>
    <w:rsid w:val="00F554DC"/>
    <w:rsid w:val="00F5556C"/>
    <w:rsid w:val="00F55739"/>
    <w:rsid w:val="00F559BC"/>
    <w:rsid w:val="00F55A51"/>
    <w:rsid w:val="00F55A99"/>
    <w:rsid w:val="00F55C7F"/>
    <w:rsid w:val="00F55CCD"/>
    <w:rsid w:val="00F55D88"/>
    <w:rsid w:val="00F55ECC"/>
    <w:rsid w:val="00F562EF"/>
    <w:rsid w:val="00F563B5"/>
    <w:rsid w:val="00F563BB"/>
    <w:rsid w:val="00F5660E"/>
    <w:rsid w:val="00F5663C"/>
    <w:rsid w:val="00F568B7"/>
    <w:rsid w:val="00F569FE"/>
    <w:rsid w:val="00F56E13"/>
    <w:rsid w:val="00F56F6B"/>
    <w:rsid w:val="00F570BC"/>
    <w:rsid w:val="00F572FE"/>
    <w:rsid w:val="00F5790F"/>
    <w:rsid w:val="00F57B38"/>
    <w:rsid w:val="00F57BEA"/>
    <w:rsid w:val="00F57C6F"/>
    <w:rsid w:val="00F6004C"/>
    <w:rsid w:val="00F6027B"/>
    <w:rsid w:val="00F60490"/>
    <w:rsid w:val="00F6050A"/>
    <w:rsid w:val="00F608C2"/>
    <w:rsid w:val="00F60B94"/>
    <w:rsid w:val="00F61098"/>
    <w:rsid w:val="00F6167F"/>
    <w:rsid w:val="00F6175E"/>
    <w:rsid w:val="00F61A95"/>
    <w:rsid w:val="00F61C21"/>
    <w:rsid w:val="00F61CBE"/>
    <w:rsid w:val="00F620B4"/>
    <w:rsid w:val="00F62181"/>
    <w:rsid w:val="00F626E9"/>
    <w:rsid w:val="00F628A5"/>
    <w:rsid w:val="00F62948"/>
    <w:rsid w:val="00F62AA4"/>
    <w:rsid w:val="00F630D8"/>
    <w:rsid w:val="00F63387"/>
    <w:rsid w:val="00F635ED"/>
    <w:rsid w:val="00F63A0E"/>
    <w:rsid w:val="00F63ACF"/>
    <w:rsid w:val="00F63E12"/>
    <w:rsid w:val="00F64092"/>
    <w:rsid w:val="00F6448E"/>
    <w:rsid w:val="00F64883"/>
    <w:rsid w:val="00F64AA0"/>
    <w:rsid w:val="00F64C54"/>
    <w:rsid w:val="00F65605"/>
    <w:rsid w:val="00F658C1"/>
    <w:rsid w:val="00F65A08"/>
    <w:rsid w:val="00F65BD1"/>
    <w:rsid w:val="00F65C02"/>
    <w:rsid w:val="00F65DB3"/>
    <w:rsid w:val="00F65E42"/>
    <w:rsid w:val="00F65FAA"/>
    <w:rsid w:val="00F66058"/>
    <w:rsid w:val="00F66115"/>
    <w:rsid w:val="00F66583"/>
    <w:rsid w:val="00F66CCF"/>
    <w:rsid w:val="00F66D45"/>
    <w:rsid w:val="00F671D9"/>
    <w:rsid w:val="00F6728C"/>
    <w:rsid w:val="00F67290"/>
    <w:rsid w:val="00F674F2"/>
    <w:rsid w:val="00F676D7"/>
    <w:rsid w:val="00F67DB3"/>
    <w:rsid w:val="00F67E3E"/>
    <w:rsid w:val="00F67E3F"/>
    <w:rsid w:val="00F70487"/>
    <w:rsid w:val="00F706DD"/>
    <w:rsid w:val="00F70AC2"/>
    <w:rsid w:val="00F71161"/>
    <w:rsid w:val="00F71232"/>
    <w:rsid w:val="00F7123E"/>
    <w:rsid w:val="00F71ED5"/>
    <w:rsid w:val="00F7207D"/>
    <w:rsid w:val="00F7229C"/>
    <w:rsid w:val="00F729CE"/>
    <w:rsid w:val="00F72A06"/>
    <w:rsid w:val="00F733C6"/>
    <w:rsid w:val="00F73610"/>
    <w:rsid w:val="00F7366A"/>
    <w:rsid w:val="00F7368F"/>
    <w:rsid w:val="00F73A50"/>
    <w:rsid w:val="00F73B43"/>
    <w:rsid w:val="00F73B8D"/>
    <w:rsid w:val="00F73D30"/>
    <w:rsid w:val="00F73F03"/>
    <w:rsid w:val="00F74053"/>
    <w:rsid w:val="00F7426F"/>
    <w:rsid w:val="00F7430B"/>
    <w:rsid w:val="00F74407"/>
    <w:rsid w:val="00F7442A"/>
    <w:rsid w:val="00F74A49"/>
    <w:rsid w:val="00F74FAF"/>
    <w:rsid w:val="00F75106"/>
    <w:rsid w:val="00F7524D"/>
    <w:rsid w:val="00F7550A"/>
    <w:rsid w:val="00F7557B"/>
    <w:rsid w:val="00F75813"/>
    <w:rsid w:val="00F7583F"/>
    <w:rsid w:val="00F7594F"/>
    <w:rsid w:val="00F75DCA"/>
    <w:rsid w:val="00F75EDB"/>
    <w:rsid w:val="00F75F76"/>
    <w:rsid w:val="00F75F82"/>
    <w:rsid w:val="00F76052"/>
    <w:rsid w:val="00F760DE"/>
    <w:rsid w:val="00F762F5"/>
    <w:rsid w:val="00F76328"/>
    <w:rsid w:val="00F764C1"/>
    <w:rsid w:val="00F7660B"/>
    <w:rsid w:val="00F76AC7"/>
    <w:rsid w:val="00F76C38"/>
    <w:rsid w:val="00F76C85"/>
    <w:rsid w:val="00F771E1"/>
    <w:rsid w:val="00F77214"/>
    <w:rsid w:val="00F773BC"/>
    <w:rsid w:val="00F77669"/>
    <w:rsid w:val="00F77BFA"/>
    <w:rsid w:val="00F77C1F"/>
    <w:rsid w:val="00F77DFF"/>
    <w:rsid w:val="00F804AE"/>
    <w:rsid w:val="00F80F20"/>
    <w:rsid w:val="00F81892"/>
    <w:rsid w:val="00F81919"/>
    <w:rsid w:val="00F8197A"/>
    <w:rsid w:val="00F8198A"/>
    <w:rsid w:val="00F8198D"/>
    <w:rsid w:val="00F819B9"/>
    <w:rsid w:val="00F81A7F"/>
    <w:rsid w:val="00F81D42"/>
    <w:rsid w:val="00F81D8E"/>
    <w:rsid w:val="00F81F02"/>
    <w:rsid w:val="00F82284"/>
    <w:rsid w:val="00F82561"/>
    <w:rsid w:val="00F82650"/>
    <w:rsid w:val="00F82AC0"/>
    <w:rsid w:val="00F82B49"/>
    <w:rsid w:val="00F82B8B"/>
    <w:rsid w:val="00F82C5C"/>
    <w:rsid w:val="00F82CFE"/>
    <w:rsid w:val="00F83074"/>
    <w:rsid w:val="00F832D3"/>
    <w:rsid w:val="00F83453"/>
    <w:rsid w:val="00F8356A"/>
    <w:rsid w:val="00F835C8"/>
    <w:rsid w:val="00F8368B"/>
    <w:rsid w:val="00F83715"/>
    <w:rsid w:val="00F83776"/>
    <w:rsid w:val="00F83851"/>
    <w:rsid w:val="00F84092"/>
    <w:rsid w:val="00F8413B"/>
    <w:rsid w:val="00F8441C"/>
    <w:rsid w:val="00F84820"/>
    <w:rsid w:val="00F84CD2"/>
    <w:rsid w:val="00F84D79"/>
    <w:rsid w:val="00F85225"/>
    <w:rsid w:val="00F853FA"/>
    <w:rsid w:val="00F8549C"/>
    <w:rsid w:val="00F856CC"/>
    <w:rsid w:val="00F856CD"/>
    <w:rsid w:val="00F85713"/>
    <w:rsid w:val="00F85A37"/>
    <w:rsid w:val="00F85C91"/>
    <w:rsid w:val="00F85CC4"/>
    <w:rsid w:val="00F864EF"/>
    <w:rsid w:val="00F86E6C"/>
    <w:rsid w:val="00F870B9"/>
    <w:rsid w:val="00F871AF"/>
    <w:rsid w:val="00F873D2"/>
    <w:rsid w:val="00F876A0"/>
    <w:rsid w:val="00F8771C"/>
    <w:rsid w:val="00F879D1"/>
    <w:rsid w:val="00F87C1F"/>
    <w:rsid w:val="00F87CA4"/>
    <w:rsid w:val="00F901CC"/>
    <w:rsid w:val="00F903B1"/>
    <w:rsid w:val="00F907C4"/>
    <w:rsid w:val="00F908DC"/>
    <w:rsid w:val="00F90AC2"/>
    <w:rsid w:val="00F91127"/>
    <w:rsid w:val="00F9118C"/>
    <w:rsid w:val="00F911DF"/>
    <w:rsid w:val="00F913BB"/>
    <w:rsid w:val="00F9176B"/>
    <w:rsid w:val="00F91869"/>
    <w:rsid w:val="00F91A54"/>
    <w:rsid w:val="00F91C84"/>
    <w:rsid w:val="00F91F8F"/>
    <w:rsid w:val="00F92036"/>
    <w:rsid w:val="00F92270"/>
    <w:rsid w:val="00F92330"/>
    <w:rsid w:val="00F924FD"/>
    <w:rsid w:val="00F92EAA"/>
    <w:rsid w:val="00F930BC"/>
    <w:rsid w:val="00F930C9"/>
    <w:rsid w:val="00F934B9"/>
    <w:rsid w:val="00F93583"/>
    <w:rsid w:val="00F93617"/>
    <w:rsid w:val="00F93E52"/>
    <w:rsid w:val="00F94117"/>
    <w:rsid w:val="00F9426D"/>
    <w:rsid w:val="00F942BF"/>
    <w:rsid w:val="00F94654"/>
    <w:rsid w:val="00F94671"/>
    <w:rsid w:val="00F94756"/>
    <w:rsid w:val="00F9486E"/>
    <w:rsid w:val="00F95322"/>
    <w:rsid w:val="00F9580E"/>
    <w:rsid w:val="00F95869"/>
    <w:rsid w:val="00F958D9"/>
    <w:rsid w:val="00F9592E"/>
    <w:rsid w:val="00F95B99"/>
    <w:rsid w:val="00F95D5C"/>
    <w:rsid w:val="00F95F16"/>
    <w:rsid w:val="00F95F9E"/>
    <w:rsid w:val="00F96034"/>
    <w:rsid w:val="00F960B7"/>
    <w:rsid w:val="00F966E5"/>
    <w:rsid w:val="00F96707"/>
    <w:rsid w:val="00F9684C"/>
    <w:rsid w:val="00F969AD"/>
    <w:rsid w:val="00F96A3A"/>
    <w:rsid w:val="00F96B7E"/>
    <w:rsid w:val="00F96E02"/>
    <w:rsid w:val="00F96EFE"/>
    <w:rsid w:val="00F96FCD"/>
    <w:rsid w:val="00F97205"/>
    <w:rsid w:val="00F97290"/>
    <w:rsid w:val="00F972A5"/>
    <w:rsid w:val="00F97460"/>
    <w:rsid w:val="00F9771E"/>
    <w:rsid w:val="00F97760"/>
    <w:rsid w:val="00F977D0"/>
    <w:rsid w:val="00F978B6"/>
    <w:rsid w:val="00F978E0"/>
    <w:rsid w:val="00F97DB9"/>
    <w:rsid w:val="00F97F43"/>
    <w:rsid w:val="00FA042B"/>
    <w:rsid w:val="00FA0952"/>
    <w:rsid w:val="00FA0D00"/>
    <w:rsid w:val="00FA11AD"/>
    <w:rsid w:val="00FA1260"/>
    <w:rsid w:val="00FA1297"/>
    <w:rsid w:val="00FA1352"/>
    <w:rsid w:val="00FA139A"/>
    <w:rsid w:val="00FA13CD"/>
    <w:rsid w:val="00FA1581"/>
    <w:rsid w:val="00FA1630"/>
    <w:rsid w:val="00FA190E"/>
    <w:rsid w:val="00FA1A0C"/>
    <w:rsid w:val="00FA1FC1"/>
    <w:rsid w:val="00FA22AC"/>
    <w:rsid w:val="00FA2609"/>
    <w:rsid w:val="00FA28F6"/>
    <w:rsid w:val="00FA2936"/>
    <w:rsid w:val="00FA2CAD"/>
    <w:rsid w:val="00FA2DF1"/>
    <w:rsid w:val="00FA3252"/>
    <w:rsid w:val="00FA35D4"/>
    <w:rsid w:val="00FA35F9"/>
    <w:rsid w:val="00FA36E5"/>
    <w:rsid w:val="00FA382B"/>
    <w:rsid w:val="00FA3A26"/>
    <w:rsid w:val="00FA3A47"/>
    <w:rsid w:val="00FA3B38"/>
    <w:rsid w:val="00FA3BC9"/>
    <w:rsid w:val="00FA3CB5"/>
    <w:rsid w:val="00FA3F80"/>
    <w:rsid w:val="00FA4007"/>
    <w:rsid w:val="00FA416A"/>
    <w:rsid w:val="00FA4697"/>
    <w:rsid w:val="00FA4BCE"/>
    <w:rsid w:val="00FA4C93"/>
    <w:rsid w:val="00FA4ECD"/>
    <w:rsid w:val="00FA529B"/>
    <w:rsid w:val="00FA52D1"/>
    <w:rsid w:val="00FA5780"/>
    <w:rsid w:val="00FA5E9A"/>
    <w:rsid w:val="00FA5FF1"/>
    <w:rsid w:val="00FA61DC"/>
    <w:rsid w:val="00FA628C"/>
    <w:rsid w:val="00FA62F2"/>
    <w:rsid w:val="00FA6AB0"/>
    <w:rsid w:val="00FA6D5D"/>
    <w:rsid w:val="00FA724A"/>
    <w:rsid w:val="00FA7568"/>
    <w:rsid w:val="00FA7585"/>
    <w:rsid w:val="00FA767C"/>
    <w:rsid w:val="00FA769A"/>
    <w:rsid w:val="00FA78DA"/>
    <w:rsid w:val="00FA79D7"/>
    <w:rsid w:val="00FB00B0"/>
    <w:rsid w:val="00FB041A"/>
    <w:rsid w:val="00FB0778"/>
    <w:rsid w:val="00FB0C5B"/>
    <w:rsid w:val="00FB0CE5"/>
    <w:rsid w:val="00FB0EC3"/>
    <w:rsid w:val="00FB104D"/>
    <w:rsid w:val="00FB11A7"/>
    <w:rsid w:val="00FB1486"/>
    <w:rsid w:val="00FB1845"/>
    <w:rsid w:val="00FB1A3A"/>
    <w:rsid w:val="00FB1CD2"/>
    <w:rsid w:val="00FB1CE8"/>
    <w:rsid w:val="00FB1E65"/>
    <w:rsid w:val="00FB262B"/>
    <w:rsid w:val="00FB272F"/>
    <w:rsid w:val="00FB2841"/>
    <w:rsid w:val="00FB2912"/>
    <w:rsid w:val="00FB2A0F"/>
    <w:rsid w:val="00FB2E1E"/>
    <w:rsid w:val="00FB2E66"/>
    <w:rsid w:val="00FB2FBA"/>
    <w:rsid w:val="00FB31C3"/>
    <w:rsid w:val="00FB326D"/>
    <w:rsid w:val="00FB35C5"/>
    <w:rsid w:val="00FB3B93"/>
    <w:rsid w:val="00FB3BBF"/>
    <w:rsid w:val="00FB40DD"/>
    <w:rsid w:val="00FB4419"/>
    <w:rsid w:val="00FB4428"/>
    <w:rsid w:val="00FB4949"/>
    <w:rsid w:val="00FB4AC4"/>
    <w:rsid w:val="00FB502D"/>
    <w:rsid w:val="00FB507D"/>
    <w:rsid w:val="00FB5256"/>
    <w:rsid w:val="00FB5290"/>
    <w:rsid w:val="00FB52A9"/>
    <w:rsid w:val="00FB5768"/>
    <w:rsid w:val="00FB5838"/>
    <w:rsid w:val="00FB60E5"/>
    <w:rsid w:val="00FB6615"/>
    <w:rsid w:val="00FB6F6F"/>
    <w:rsid w:val="00FB7083"/>
    <w:rsid w:val="00FB719E"/>
    <w:rsid w:val="00FB7877"/>
    <w:rsid w:val="00FB78B9"/>
    <w:rsid w:val="00FB7AA5"/>
    <w:rsid w:val="00FB7C75"/>
    <w:rsid w:val="00FB7EC1"/>
    <w:rsid w:val="00FB7F56"/>
    <w:rsid w:val="00FB7F8B"/>
    <w:rsid w:val="00FC0123"/>
    <w:rsid w:val="00FC042B"/>
    <w:rsid w:val="00FC0456"/>
    <w:rsid w:val="00FC061E"/>
    <w:rsid w:val="00FC0B47"/>
    <w:rsid w:val="00FC0C18"/>
    <w:rsid w:val="00FC0FD4"/>
    <w:rsid w:val="00FC189F"/>
    <w:rsid w:val="00FC1C51"/>
    <w:rsid w:val="00FC1D5A"/>
    <w:rsid w:val="00FC1E35"/>
    <w:rsid w:val="00FC1E66"/>
    <w:rsid w:val="00FC1EC7"/>
    <w:rsid w:val="00FC1F83"/>
    <w:rsid w:val="00FC21E9"/>
    <w:rsid w:val="00FC22D4"/>
    <w:rsid w:val="00FC27A3"/>
    <w:rsid w:val="00FC286E"/>
    <w:rsid w:val="00FC2BD7"/>
    <w:rsid w:val="00FC2E80"/>
    <w:rsid w:val="00FC3115"/>
    <w:rsid w:val="00FC36CA"/>
    <w:rsid w:val="00FC389B"/>
    <w:rsid w:val="00FC3936"/>
    <w:rsid w:val="00FC3949"/>
    <w:rsid w:val="00FC3B75"/>
    <w:rsid w:val="00FC3BF6"/>
    <w:rsid w:val="00FC409E"/>
    <w:rsid w:val="00FC428D"/>
    <w:rsid w:val="00FC4616"/>
    <w:rsid w:val="00FC46A2"/>
    <w:rsid w:val="00FC4876"/>
    <w:rsid w:val="00FC4973"/>
    <w:rsid w:val="00FC49E7"/>
    <w:rsid w:val="00FC4F0F"/>
    <w:rsid w:val="00FC519D"/>
    <w:rsid w:val="00FC5484"/>
    <w:rsid w:val="00FC55B1"/>
    <w:rsid w:val="00FC55CE"/>
    <w:rsid w:val="00FC55F3"/>
    <w:rsid w:val="00FC5611"/>
    <w:rsid w:val="00FC58CA"/>
    <w:rsid w:val="00FC5965"/>
    <w:rsid w:val="00FC5C9E"/>
    <w:rsid w:val="00FC63B9"/>
    <w:rsid w:val="00FC63BC"/>
    <w:rsid w:val="00FC6525"/>
    <w:rsid w:val="00FC6583"/>
    <w:rsid w:val="00FC6613"/>
    <w:rsid w:val="00FC6A65"/>
    <w:rsid w:val="00FC6D10"/>
    <w:rsid w:val="00FC6F10"/>
    <w:rsid w:val="00FC7605"/>
    <w:rsid w:val="00FC7611"/>
    <w:rsid w:val="00FC7B7F"/>
    <w:rsid w:val="00FC7EDD"/>
    <w:rsid w:val="00FC7EE8"/>
    <w:rsid w:val="00FD0711"/>
    <w:rsid w:val="00FD081A"/>
    <w:rsid w:val="00FD0830"/>
    <w:rsid w:val="00FD090D"/>
    <w:rsid w:val="00FD0D62"/>
    <w:rsid w:val="00FD10E3"/>
    <w:rsid w:val="00FD10EF"/>
    <w:rsid w:val="00FD11B5"/>
    <w:rsid w:val="00FD11CB"/>
    <w:rsid w:val="00FD132A"/>
    <w:rsid w:val="00FD1470"/>
    <w:rsid w:val="00FD164C"/>
    <w:rsid w:val="00FD16BC"/>
    <w:rsid w:val="00FD1AC8"/>
    <w:rsid w:val="00FD1B3C"/>
    <w:rsid w:val="00FD1D94"/>
    <w:rsid w:val="00FD2029"/>
    <w:rsid w:val="00FD2719"/>
    <w:rsid w:val="00FD2A5A"/>
    <w:rsid w:val="00FD2ABC"/>
    <w:rsid w:val="00FD2AE3"/>
    <w:rsid w:val="00FD2ED5"/>
    <w:rsid w:val="00FD3199"/>
    <w:rsid w:val="00FD3D33"/>
    <w:rsid w:val="00FD3D7B"/>
    <w:rsid w:val="00FD4021"/>
    <w:rsid w:val="00FD4375"/>
    <w:rsid w:val="00FD49A4"/>
    <w:rsid w:val="00FD4B63"/>
    <w:rsid w:val="00FD506A"/>
    <w:rsid w:val="00FD5100"/>
    <w:rsid w:val="00FD5174"/>
    <w:rsid w:val="00FD59E4"/>
    <w:rsid w:val="00FD5BCC"/>
    <w:rsid w:val="00FD61C2"/>
    <w:rsid w:val="00FD6368"/>
    <w:rsid w:val="00FD6445"/>
    <w:rsid w:val="00FD6C83"/>
    <w:rsid w:val="00FD725F"/>
    <w:rsid w:val="00FD73CB"/>
    <w:rsid w:val="00FD75E2"/>
    <w:rsid w:val="00FD7678"/>
    <w:rsid w:val="00FD7936"/>
    <w:rsid w:val="00FD798F"/>
    <w:rsid w:val="00FD7CC1"/>
    <w:rsid w:val="00FD7E1F"/>
    <w:rsid w:val="00FD7F49"/>
    <w:rsid w:val="00FE0168"/>
    <w:rsid w:val="00FE03C7"/>
    <w:rsid w:val="00FE0611"/>
    <w:rsid w:val="00FE077A"/>
    <w:rsid w:val="00FE07DC"/>
    <w:rsid w:val="00FE07DD"/>
    <w:rsid w:val="00FE0B4C"/>
    <w:rsid w:val="00FE0B9B"/>
    <w:rsid w:val="00FE0F2D"/>
    <w:rsid w:val="00FE193F"/>
    <w:rsid w:val="00FE19C9"/>
    <w:rsid w:val="00FE19FE"/>
    <w:rsid w:val="00FE1C2C"/>
    <w:rsid w:val="00FE2344"/>
    <w:rsid w:val="00FE23C1"/>
    <w:rsid w:val="00FE23C7"/>
    <w:rsid w:val="00FE2418"/>
    <w:rsid w:val="00FE244F"/>
    <w:rsid w:val="00FE2527"/>
    <w:rsid w:val="00FE2676"/>
    <w:rsid w:val="00FE275D"/>
    <w:rsid w:val="00FE35FC"/>
    <w:rsid w:val="00FE363A"/>
    <w:rsid w:val="00FE3A81"/>
    <w:rsid w:val="00FE3B64"/>
    <w:rsid w:val="00FE3C55"/>
    <w:rsid w:val="00FE4045"/>
    <w:rsid w:val="00FE40BD"/>
    <w:rsid w:val="00FE4228"/>
    <w:rsid w:val="00FE4295"/>
    <w:rsid w:val="00FE42A5"/>
    <w:rsid w:val="00FE4393"/>
    <w:rsid w:val="00FE43F9"/>
    <w:rsid w:val="00FE451F"/>
    <w:rsid w:val="00FE487C"/>
    <w:rsid w:val="00FE49C4"/>
    <w:rsid w:val="00FE4ABE"/>
    <w:rsid w:val="00FE4BB3"/>
    <w:rsid w:val="00FE4FBE"/>
    <w:rsid w:val="00FE4FC5"/>
    <w:rsid w:val="00FE522D"/>
    <w:rsid w:val="00FE52B2"/>
    <w:rsid w:val="00FE5C26"/>
    <w:rsid w:val="00FE5D4D"/>
    <w:rsid w:val="00FE5E34"/>
    <w:rsid w:val="00FE5E50"/>
    <w:rsid w:val="00FE60F7"/>
    <w:rsid w:val="00FE6190"/>
    <w:rsid w:val="00FE6611"/>
    <w:rsid w:val="00FE6665"/>
    <w:rsid w:val="00FE69E9"/>
    <w:rsid w:val="00FE6B32"/>
    <w:rsid w:val="00FE6B94"/>
    <w:rsid w:val="00FE6BDC"/>
    <w:rsid w:val="00FE733D"/>
    <w:rsid w:val="00FE74D9"/>
    <w:rsid w:val="00FE76DD"/>
    <w:rsid w:val="00FE77C6"/>
    <w:rsid w:val="00FE7845"/>
    <w:rsid w:val="00FE78AA"/>
    <w:rsid w:val="00FE796B"/>
    <w:rsid w:val="00FE7C80"/>
    <w:rsid w:val="00FE7CB4"/>
    <w:rsid w:val="00FF023D"/>
    <w:rsid w:val="00FF0287"/>
    <w:rsid w:val="00FF03EF"/>
    <w:rsid w:val="00FF0B46"/>
    <w:rsid w:val="00FF0C36"/>
    <w:rsid w:val="00FF0F4F"/>
    <w:rsid w:val="00FF13C0"/>
    <w:rsid w:val="00FF155C"/>
    <w:rsid w:val="00FF18EF"/>
    <w:rsid w:val="00FF1C88"/>
    <w:rsid w:val="00FF2914"/>
    <w:rsid w:val="00FF2D91"/>
    <w:rsid w:val="00FF3106"/>
    <w:rsid w:val="00FF386B"/>
    <w:rsid w:val="00FF393E"/>
    <w:rsid w:val="00FF3AC2"/>
    <w:rsid w:val="00FF3C19"/>
    <w:rsid w:val="00FF3CAD"/>
    <w:rsid w:val="00FF3E67"/>
    <w:rsid w:val="00FF403F"/>
    <w:rsid w:val="00FF40E5"/>
    <w:rsid w:val="00FF4154"/>
    <w:rsid w:val="00FF443F"/>
    <w:rsid w:val="00FF4651"/>
    <w:rsid w:val="00FF4693"/>
    <w:rsid w:val="00FF4731"/>
    <w:rsid w:val="00FF4AF1"/>
    <w:rsid w:val="00FF4C43"/>
    <w:rsid w:val="00FF4C6C"/>
    <w:rsid w:val="00FF4E30"/>
    <w:rsid w:val="00FF50BA"/>
    <w:rsid w:val="00FF5556"/>
    <w:rsid w:val="00FF5AB7"/>
    <w:rsid w:val="00FF60BC"/>
    <w:rsid w:val="00FF61EF"/>
    <w:rsid w:val="00FF6746"/>
    <w:rsid w:val="00FF69AC"/>
    <w:rsid w:val="00FF69EB"/>
    <w:rsid w:val="00FF6A67"/>
    <w:rsid w:val="00FF6B0B"/>
    <w:rsid w:val="00FF6BB6"/>
    <w:rsid w:val="00FF6DEB"/>
    <w:rsid w:val="00FF6F6E"/>
    <w:rsid w:val="00FF6FED"/>
    <w:rsid w:val="00FF7089"/>
    <w:rsid w:val="00FF716A"/>
    <w:rsid w:val="00FF73EC"/>
    <w:rsid w:val="00FF788F"/>
    <w:rsid w:val="00FF7901"/>
    <w:rsid w:val="00FF7988"/>
    <w:rsid w:val="00FF7BDD"/>
    <w:rsid w:val="00FF7CAD"/>
    <w:rsid w:val="00FF7D37"/>
    <w:rsid w:val="00FF7D64"/>
    <w:rsid w:val="0FBA3DF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nhideWhenUsed="0" w:uiPriority="9" w:semiHidden="0" w:name="heading 3"/>
    <w:lsdException w:qFormat="1" w:unhideWhenUsed="0" w:uiPriority="9" w:semiHidden="0" w:name="heading 4"/>
    <w:lsdException w:qFormat="1" w:uiPriority="9" w:semiHidden="0" w:name="heading 5"/>
    <w:lsdException w:qFormat="1" w:unhideWhenUsed="0" w:uiPriority="9" w:semiHidden="0" w:name="heading 6"/>
    <w:lsdException w:qFormat="1" w:uiPriority="9" w:semiHidden="0"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39" w:semiHidden="0" w:name="toc 2"/>
    <w:lsdException w:qFormat="1" w:unhideWhenUsed="0" w:uiPriority="39" w:semiHidden="0" w:name="toc 3"/>
    <w:lsdException w:qFormat="1" w:unhideWhenUsed="0" w:uiPriority="39" w:semiHidden="0" w:name="toc 4"/>
    <w:lsdException w:qFormat="1" w:uiPriority="39" w:semiHidden="0" w:name="toc 5"/>
    <w:lsdException w:qFormat="1" w:uiPriority="39" w:semiHidden="0" w:name="toc 6"/>
    <w:lsdException w:qFormat="1" w:uiPriority="39" w:semiHidden="0" w:name="toc 7"/>
    <w:lsdException w:qFormat="1" w:uiPriority="39" w:semiHidden="0" w:name="toc 8"/>
    <w:lsdException w:uiPriority="39" w:semiHidden="0" w:name="toc 9"/>
    <w:lsdException w:uiPriority="99" w:name="Normal Indent"/>
    <w:lsdException w:uiPriority="99" w:name="footnote text"/>
    <w:lsdException w:qFormat="1" w:uiPriority="0" w:semiHidden="0" w:name="annotation text"/>
    <w:lsdException w:qFormat="1" w:uiPriority="99" w:semiHidden="0" w:name="header"/>
    <w:lsdException w:qFormat="1" w:uiPriority="99" w:semiHidden="0" w:name="footer"/>
    <w:lsdException w:uiPriority="99" w:name="index heading"/>
    <w:lsdException w:qFormat="1" w:uiPriority="35" w:name="caption"/>
    <w:lsdException w:qFormat="1" w:unhideWhenUsed="0" w:uiPriority="99" w:semiHidden="0" w:name="table of figures"/>
    <w:lsdException w:uiPriority="99" w:name="envelope address"/>
    <w:lsdException w:uiPriority="99" w:name="envelope return"/>
    <w:lsdException w:uiPriority="99" w:name="footnote reference"/>
    <w:lsdException w:unhideWhenUsed="0" w:uiPriority="0" w:semiHidden="0" w:name="annotation reference"/>
    <w:lsdException w:uiPriority="99" w:name="line number"/>
    <w:lsdException w:uiPriority="99" w:name="page number"/>
    <w:lsdException w:qFormat="1"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nhideWhenUsed="0" w:uiPriority="0"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uiPriority="99" w:name="E-mail Signature"/>
    <w:lsdException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qFormat="1" w:unhideWhenUsed="0" w:uiPriority="0" w:semiHidden="0" w:name="annotation subject"/>
    <w:lsdException w:uiPriority="99" w:name="Table Simple 1"/>
    <w:lsdException w:uiPriority="99" w:name="Table Simple 2"/>
    <w:lsdException w:uiPriority="99" w:name="Table Simple 3"/>
    <w:lsdException w:qFormat="1" w:unhideWhenUsed="0" w:uiPriority="0" w:semiHidden="0" w:name="Table Classic 1"/>
    <w:lsdException w:uiPriority="99" w:name="Table Classic 2"/>
    <w:lsdException w:uiPriority="99" w:name="Table Classic 3"/>
    <w:lsdException w:uiPriority="99" w:name="Table Classic 4"/>
    <w:lsdException w:uiPriority="99" w:name="Table Colorful 1"/>
    <w:lsdException w:qFormat="1" w:unhideWhenUsed="0" w:uiPriority="0" w:semiHidden="0" w:name="Table Colorful 2"/>
    <w:lsdException w:uiPriority="99" w:name="Table Colorful 3"/>
    <w:lsdException w:uiPriority="99" w:name="Table Columns 1"/>
    <w:lsdException w:qFormat="1" w:unhideWhenUsed="0" w:uiPriority="0" w:semiHidden="0" w:name="Table Columns 2"/>
    <w:lsdException w:unhideWhenUsed="0" w:uiPriority="0" w:semiHidden="0" w:name="Table Columns 3"/>
    <w:lsdException w:uiPriority="99" w:name="Table Columns 4"/>
    <w:lsdException w:unhideWhenUsed="0" w:uiPriority="0" w:semiHidden="0" w:name="Table Columns 5"/>
    <w:lsdException w:uiPriority="99" w:name="Table Grid 1"/>
    <w:lsdException w:uiPriority="99" w:name="Table Grid 2"/>
    <w:lsdException w:qFormat="1" w:unhideWhenUsed="0" w:uiPriority="0" w:semiHidden="0" w:name="Table Grid 3"/>
    <w:lsdException w:unhideWhenUsed="0" w:uiPriority="0" w:semiHidden="0" w:name="Table Grid 4"/>
    <w:lsdException w:uiPriority="99" w:name="Table Grid 5"/>
    <w:lsdException w:uiPriority="99" w:name="Table Grid 6"/>
    <w:lsdException w:uiPriority="99" w:name="Table Grid 7"/>
    <w:lsdException w:qFormat="1" w:unhideWhenUsed="0" w:uiPriority="0" w:semiHidden="0"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39" w:semiHidden="0" w:name="Table Grid"/>
    <w:lsdException w:uiPriority="99" w:name="Table Theme"/>
    <w:lsdException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qFormat="1"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qFormat="1"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qFormat="1"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qFormat="1"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iPriority="61" w:semiHidden="0" w:name="Light List Accent 2"/>
    <w:lsdException w:unhideWhenUsed="0" w:uiPriority="62" w:semiHidden="0" w:name="Light Grid Accent 2"/>
    <w:lsdException w:uiPriority="63" w:semiHidden="0" w:name="Medium Shading 1 Accent 2"/>
    <w:lsdException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iPriority="61" w:semiHidden="0" w:name="Light List Accent 3"/>
    <w:lsdException w:unhideWhenUsed="0" w:uiPriority="62" w:semiHidden="0" w:name="Light Grid Accent 3"/>
    <w:lsdException w:uiPriority="63" w:semiHidden="0" w:name="Medium Shading 1 Accent 3"/>
    <w:lsdException w:uiPriority="64" w:semiHidden="0" w:name="Medium Shading 2 Accent 3"/>
    <w:lsdException w:unhideWhenUsed="0" w:uiPriority="65" w:semiHidden="0" w:name="Medium List 1 Accent 3"/>
    <w:lsdException w:unhideWhenUsed="0" w:uiPriority="66" w:semiHidden="0" w:name="Medium List 2 Accent 3"/>
    <w:lsdException w:qFormat="1" w:uiPriority="67" w:semiHidden="0" w:name="Medium Grid 1 Accent 3"/>
    <w:lsdException w:unhideWhenUsed="0" w:uiPriority="68" w:semiHidden="0" w:name="Medium Grid 2 Accent 3"/>
    <w:lsdException w:uiPriority="69" w:semiHidden="0" w:name="Medium Grid 3 Accent 3"/>
    <w:lsdException w:qFormat="1" w:uiPriority="70" w:semiHidden="0" w:name="Dark List Accent 3"/>
    <w:lsdException w:unhideWhenUsed="0" w:uiPriority="71" w:semiHidden="0" w:name="Colorful Shading Accent 3"/>
    <w:lsdException w:unhideWhenUsed="0" w:uiPriority="72" w:semiHidden="0" w:name="Colorful List Accent 3"/>
    <w:lsdException w:qFormat="1" w:uiPriority="73" w:semiHidden="0" w:name="Colorful Grid Accent 3"/>
    <w:lsdException w:unhideWhenUsed="0" w:uiPriority="60" w:semiHidden="0" w:name="Light Shading Accent 4"/>
    <w:lsdException w:uiPriority="61" w:semiHidden="0" w:name="Light List Accent 4"/>
    <w:lsdException w:unhideWhenUsed="0" w:uiPriority="62" w:semiHidden="0" w:name="Light Grid Accent 4"/>
    <w:lsdException w:qFormat="1"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qFormat="1"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qFormat="1" w:uiPriority="61" w:semiHidden="0" w:name="Light List Accent 5"/>
    <w:lsdException w:unhideWhenUsed="0" w:uiPriority="62" w:semiHidden="0" w:name="Light Grid Accent 5"/>
    <w:lsdException w:qFormat="1" w:uiPriority="63" w:semiHidden="0" w:name="Medium Shading 1 Accent 5"/>
    <w:lsdException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iPriority="70" w:semiHidden="0" w:name="Dark List Accent 5"/>
    <w:lsdException w:unhideWhenUsed="0" w:uiPriority="71" w:semiHidden="0" w:name="Colorful Shading Accent 5"/>
    <w:lsdException w:unhideWhenUsed="0" w:uiPriority="72" w:semiHidden="0" w:name="Colorful List Accent 5"/>
    <w:lsdException w:qFormat="1"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topLinePunct/>
      <w:spacing w:after="40"/>
      <w:jc w:val="both"/>
    </w:pPr>
    <w:rPr>
      <w:rFonts w:ascii="Tahoma" w:hAnsi="Tahoma" w:eastAsia="宋体" w:cstheme="minorBidi"/>
      <w:kern w:val="2"/>
      <w:sz w:val="21"/>
      <w:szCs w:val="21"/>
      <w:lang w:val="en-US" w:eastAsia="zh-CN" w:bidi="ar-SA"/>
    </w:rPr>
  </w:style>
  <w:style w:type="paragraph" w:styleId="2">
    <w:name w:val="heading 1"/>
    <w:basedOn w:val="1"/>
    <w:next w:val="1"/>
    <w:link w:val="81"/>
    <w:autoRedefine/>
    <w:qFormat/>
    <w:uiPriority w:val="9"/>
    <w:pPr>
      <w:keepNext/>
      <w:keepLines/>
      <w:pageBreakBefore/>
      <w:widowControl/>
      <w:numPr>
        <w:ilvl w:val="0"/>
        <w:numId w:val="1"/>
      </w:numPr>
      <w:topLinePunct w:val="0"/>
      <w:spacing w:before="240" w:after="240"/>
      <w:jc w:val="center"/>
      <w:outlineLvl w:val="0"/>
    </w:pPr>
    <w:rPr>
      <w:rFonts w:cs="Calibri"/>
      <w:b/>
      <w:color w:val="FF8200"/>
      <w:kern w:val="0"/>
      <w:sz w:val="44"/>
      <w:szCs w:val="32"/>
      <w:lang w:val="en-IN" w:eastAsia="en-US"/>
    </w:rPr>
  </w:style>
  <w:style w:type="paragraph" w:styleId="3">
    <w:name w:val="heading 2"/>
    <w:basedOn w:val="1"/>
    <w:next w:val="1"/>
    <w:link w:val="82"/>
    <w:autoRedefine/>
    <w:qFormat/>
    <w:uiPriority w:val="9"/>
    <w:pPr>
      <w:keepNext/>
      <w:keepLines/>
      <w:numPr>
        <w:ilvl w:val="1"/>
        <w:numId w:val="1"/>
      </w:numPr>
      <w:spacing w:before="240" w:after="240"/>
      <w:ind w:left="680" w:hanging="680"/>
      <w:jc w:val="left"/>
      <w:outlineLvl w:val="1"/>
    </w:pPr>
    <w:rPr>
      <w:rFonts w:cs="Calibri"/>
      <w:b/>
      <w:bCs/>
      <w:color w:val="0D0D0D" w:themeColor="text1" w:themeTint="F2"/>
      <w:sz w:val="32"/>
      <w:szCs w:val="32"/>
      <w14:textFill>
        <w14:solidFill>
          <w14:schemeClr w14:val="tx1">
            <w14:lumMod w14:val="95000"/>
            <w14:lumOff w14:val="5000"/>
          </w14:schemeClr>
        </w14:solidFill>
      </w14:textFill>
    </w:rPr>
  </w:style>
  <w:style w:type="paragraph" w:styleId="4">
    <w:name w:val="heading 3"/>
    <w:basedOn w:val="1"/>
    <w:next w:val="1"/>
    <w:link w:val="83"/>
    <w:autoRedefine/>
    <w:qFormat/>
    <w:uiPriority w:val="9"/>
    <w:pPr>
      <w:keepNext/>
      <w:keepLines/>
      <w:numPr>
        <w:ilvl w:val="2"/>
        <w:numId w:val="1"/>
      </w:numPr>
      <w:spacing w:before="160" w:after="120"/>
      <w:jc w:val="left"/>
      <w:outlineLvl w:val="2"/>
    </w:pPr>
    <w:rPr>
      <w:rFonts w:cs="Calibri"/>
      <w:b/>
      <w:bCs/>
      <w:color w:val="0D0D0D" w:themeColor="text1" w:themeTint="F2"/>
      <w:sz w:val="28"/>
      <w:szCs w:val="32"/>
      <w14:textFill>
        <w14:solidFill>
          <w14:schemeClr w14:val="tx1">
            <w14:lumMod w14:val="95000"/>
            <w14:lumOff w14:val="5000"/>
          </w14:schemeClr>
        </w14:solidFill>
      </w14:textFill>
    </w:rPr>
  </w:style>
  <w:style w:type="paragraph" w:styleId="5">
    <w:name w:val="heading 4"/>
    <w:basedOn w:val="1"/>
    <w:next w:val="1"/>
    <w:link w:val="84"/>
    <w:qFormat/>
    <w:uiPriority w:val="9"/>
    <w:pPr>
      <w:keepNext/>
      <w:keepLines/>
      <w:numPr>
        <w:ilvl w:val="3"/>
        <w:numId w:val="1"/>
      </w:numPr>
      <w:spacing w:before="80" w:after="80"/>
      <w:ind w:left="567" w:hanging="567"/>
      <w:outlineLvl w:val="3"/>
    </w:pPr>
    <w:rPr>
      <w:b/>
      <w:bCs/>
      <w:sz w:val="26"/>
      <w:szCs w:val="26"/>
      <w:lang w:val="zh-CN" w:eastAsia="zh-CN"/>
    </w:rPr>
  </w:style>
  <w:style w:type="paragraph" w:styleId="6">
    <w:name w:val="heading 5"/>
    <w:basedOn w:val="1"/>
    <w:next w:val="1"/>
    <w:link w:val="85"/>
    <w:unhideWhenUsed/>
    <w:qFormat/>
    <w:uiPriority w:val="9"/>
    <w:pPr>
      <w:keepNext/>
      <w:keepLines/>
      <w:numPr>
        <w:ilvl w:val="4"/>
        <w:numId w:val="1"/>
      </w:numPr>
      <w:spacing w:before="280" w:after="290" w:line="376" w:lineRule="auto"/>
      <w:outlineLvl w:val="4"/>
    </w:pPr>
    <w:rPr>
      <w:b/>
      <w:bCs/>
      <w:sz w:val="28"/>
      <w:szCs w:val="28"/>
    </w:rPr>
  </w:style>
  <w:style w:type="paragraph" w:styleId="7">
    <w:name w:val="heading 6"/>
    <w:basedOn w:val="1"/>
    <w:next w:val="1"/>
    <w:link w:val="86"/>
    <w:autoRedefine/>
    <w:qFormat/>
    <w:uiPriority w:val="9"/>
    <w:pPr>
      <w:keepNext/>
      <w:keepLines/>
      <w:spacing w:before="360" w:after="120" w:line="288" w:lineRule="auto"/>
      <w:outlineLvl w:val="5"/>
    </w:pPr>
    <w:rPr>
      <w:rFonts w:eastAsiaTheme="majorEastAsia"/>
      <w:b/>
      <w:bCs/>
      <w:color w:val="44546A" w:themeColor="text2"/>
      <w14:textFill>
        <w14:solidFill>
          <w14:schemeClr w14:val="tx2"/>
        </w14:solidFill>
      </w14:textFill>
    </w:rPr>
  </w:style>
  <w:style w:type="paragraph" w:styleId="8">
    <w:name w:val="heading 7"/>
    <w:basedOn w:val="1"/>
    <w:next w:val="1"/>
    <w:link w:val="192"/>
    <w:unhideWhenUsed/>
    <w:qFormat/>
    <w:uiPriority w:val="9"/>
    <w:pPr>
      <w:keepNext/>
      <w:keepLines/>
      <w:spacing w:before="240" w:after="64" w:line="320" w:lineRule="auto"/>
      <w:outlineLvl w:val="6"/>
    </w:pPr>
    <w:rPr>
      <w:rFonts w:ascii="Book Antiqua" w:hAnsi="Book Antiqua"/>
      <w:b/>
      <w:bCs/>
      <w:color w:val="1A1A1A" w:themeColor="background1" w:themeShade="1A"/>
      <w:szCs w:val="24"/>
    </w:rPr>
  </w:style>
  <w:style w:type="paragraph" w:styleId="9">
    <w:name w:val="heading 8"/>
    <w:basedOn w:val="1"/>
    <w:next w:val="1"/>
    <w:link w:val="193"/>
    <w:autoRedefine/>
    <w:semiHidden/>
    <w:unhideWhenUsed/>
    <w:qFormat/>
    <w:uiPriority w:val="9"/>
    <w:pPr>
      <w:keepNext/>
      <w:keepLines/>
      <w:spacing w:before="240" w:after="64" w:line="320" w:lineRule="auto"/>
      <w:outlineLvl w:val="7"/>
    </w:pPr>
    <w:rPr>
      <w:rFonts w:asciiTheme="majorHAnsi" w:hAnsiTheme="majorHAnsi" w:eastAsiaTheme="majorEastAsia" w:cstheme="majorBidi"/>
      <w:sz w:val="24"/>
      <w:szCs w:val="24"/>
    </w:rPr>
  </w:style>
  <w:style w:type="character" w:default="1" w:styleId="67">
    <w:name w:val="Default Paragraph Font"/>
    <w:semiHidden/>
    <w:unhideWhenUsed/>
    <w:uiPriority w:val="1"/>
  </w:style>
  <w:style w:type="table" w:default="1" w:styleId="34">
    <w:name w:val="Normal Table"/>
    <w:semiHidden/>
    <w:unhideWhenUsed/>
    <w:uiPriority w:val="99"/>
    <w:tblPr>
      <w:tblCellMar>
        <w:top w:w="0" w:type="dxa"/>
        <w:left w:w="108" w:type="dxa"/>
        <w:bottom w:w="0" w:type="dxa"/>
        <w:right w:w="108" w:type="dxa"/>
      </w:tblCellMar>
    </w:tblPr>
  </w:style>
  <w:style w:type="paragraph" w:styleId="10">
    <w:name w:val="toc 7"/>
    <w:basedOn w:val="1"/>
    <w:next w:val="1"/>
    <w:autoRedefine/>
    <w:unhideWhenUsed/>
    <w:qFormat/>
    <w:uiPriority w:val="39"/>
    <w:pPr>
      <w:ind w:left="2520" w:leftChars="1200"/>
    </w:pPr>
  </w:style>
  <w:style w:type="paragraph" w:styleId="11">
    <w:name w:val="Document Map"/>
    <w:basedOn w:val="1"/>
    <w:link w:val="91"/>
    <w:autoRedefine/>
    <w:qFormat/>
    <w:uiPriority w:val="0"/>
    <w:pPr>
      <w:shd w:val="clear" w:color="auto" w:fill="000080"/>
    </w:pPr>
    <w:rPr>
      <w:rFonts w:asciiTheme="minorHAnsi" w:hAnsiTheme="minorHAnsi"/>
    </w:rPr>
  </w:style>
  <w:style w:type="paragraph" w:styleId="12">
    <w:name w:val="annotation text"/>
    <w:basedOn w:val="1"/>
    <w:link w:val="116"/>
    <w:autoRedefine/>
    <w:unhideWhenUsed/>
    <w:qFormat/>
    <w:uiPriority w:val="0"/>
    <w:pPr>
      <w:jc w:val="left"/>
    </w:pPr>
  </w:style>
  <w:style w:type="paragraph" w:styleId="13">
    <w:name w:val="Body Text"/>
    <w:basedOn w:val="1"/>
    <w:link w:val="112"/>
    <w:uiPriority w:val="1"/>
    <w:pPr>
      <w:jc w:val="left"/>
    </w:pPr>
    <w:rPr>
      <w:rFonts w:eastAsia="Arial" w:cs="Arial"/>
      <w:kern w:val="0"/>
      <w:sz w:val="53"/>
      <w:szCs w:val="53"/>
      <w:lang w:eastAsia="en-US"/>
    </w:rPr>
  </w:style>
  <w:style w:type="paragraph" w:styleId="14">
    <w:name w:val="toc 5"/>
    <w:basedOn w:val="1"/>
    <w:next w:val="1"/>
    <w:autoRedefine/>
    <w:unhideWhenUsed/>
    <w:qFormat/>
    <w:uiPriority w:val="39"/>
    <w:pPr>
      <w:ind w:left="1680" w:leftChars="800"/>
    </w:pPr>
  </w:style>
  <w:style w:type="paragraph" w:styleId="15">
    <w:name w:val="toc 3"/>
    <w:basedOn w:val="1"/>
    <w:next w:val="1"/>
    <w:autoRedefine/>
    <w:qFormat/>
    <w:uiPriority w:val="39"/>
    <w:pPr>
      <w:tabs>
        <w:tab w:val="right" w:pos="9746"/>
      </w:tabs>
      <w:ind w:left="1009" w:hanging="578"/>
    </w:pPr>
    <w:rPr>
      <w:color w:val="000000" w:themeColor="text1"/>
      <w14:textFill>
        <w14:solidFill>
          <w14:schemeClr w14:val="tx1"/>
        </w14:solidFill>
      </w14:textFill>
    </w:rPr>
  </w:style>
  <w:style w:type="paragraph" w:styleId="16">
    <w:name w:val="Plain Text"/>
    <w:basedOn w:val="1"/>
    <w:link w:val="108"/>
    <w:autoRedefine/>
    <w:qFormat/>
    <w:uiPriority w:val="0"/>
    <w:rPr>
      <w:rFonts w:ascii="宋体" w:hAnsi="Courier New" w:cs="Courier New"/>
    </w:rPr>
  </w:style>
  <w:style w:type="paragraph" w:styleId="17">
    <w:name w:val="toc 8"/>
    <w:basedOn w:val="1"/>
    <w:next w:val="1"/>
    <w:autoRedefine/>
    <w:unhideWhenUsed/>
    <w:qFormat/>
    <w:uiPriority w:val="39"/>
    <w:pPr>
      <w:ind w:left="2940" w:leftChars="1400"/>
    </w:pPr>
  </w:style>
  <w:style w:type="paragraph" w:styleId="18">
    <w:name w:val="Date"/>
    <w:basedOn w:val="1"/>
    <w:next w:val="1"/>
    <w:link w:val="120"/>
    <w:uiPriority w:val="0"/>
    <w:pPr>
      <w:ind w:left="100" w:leftChars="2500"/>
    </w:pPr>
  </w:style>
  <w:style w:type="paragraph" w:styleId="19">
    <w:name w:val="endnote text"/>
    <w:basedOn w:val="1"/>
    <w:link w:val="140"/>
    <w:autoRedefine/>
    <w:semiHidden/>
    <w:unhideWhenUsed/>
    <w:uiPriority w:val="99"/>
    <w:pPr>
      <w:snapToGrid w:val="0"/>
      <w:jc w:val="left"/>
    </w:pPr>
  </w:style>
  <w:style w:type="paragraph" w:styleId="20">
    <w:name w:val="Balloon Text"/>
    <w:basedOn w:val="1"/>
    <w:link w:val="104"/>
    <w:autoRedefine/>
    <w:unhideWhenUsed/>
    <w:qFormat/>
    <w:uiPriority w:val="99"/>
    <w:rPr>
      <w:rFonts w:cs="Arial"/>
      <w:kern w:val="0"/>
      <w:sz w:val="18"/>
      <w:szCs w:val="18"/>
      <w:lang w:eastAsia="en-US"/>
    </w:rPr>
  </w:style>
  <w:style w:type="paragraph" w:styleId="21">
    <w:name w:val="footer"/>
    <w:basedOn w:val="1"/>
    <w:link w:val="74"/>
    <w:autoRedefine/>
    <w:unhideWhenUsed/>
    <w:qFormat/>
    <w:uiPriority w:val="99"/>
    <w:pPr>
      <w:tabs>
        <w:tab w:val="center" w:pos="4153"/>
        <w:tab w:val="right" w:pos="8306"/>
      </w:tabs>
      <w:snapToGrid w:val="0"/>
      <w:jc w:val="left"/>
    </w:pPr>
    <w:rPr>
      <w:sz w:val="18"/>
      <w:szCs w:val="18"/>
    </w:rPr>
  </w:style>
  <w:style w:type="paragraph" w:styleId="22">
    <w:name w:val="header"/>
    <w:basedOn w:val="1"/>
    <w:link w:val="73"/>
    <w:autoRedefine/>
    <w:unhideWhenUsed/>
    <w:qFormat/>
    <w:uiPriority w:val="99"/>
    <w:pPr>
      <w:pBdr>
        <w:bottom w:val="single" w:color="auto" w:sz="6" w:space="1"/>
      </w:pBdr>
      <w:tabs>
        <w:tab w:val="center" w:pos="4153"/>
        <w:tab w:val="right" w:pos="8306"/>
      </w:tabs>
      <w:snapToGrid w:val="0"/>
      <w:jc w:val="center"/>
    </w:pPr>
    <w:rPr>
      <w:sz w:val="18"/>
      <w:szCs w:val="18"/>
    </w:rPr>
  </w:style>
  <w:style w:type="paragraph" w:styleId="23">
    <w:name w:val="toc 1"/>
    <w:basedOn w:val="24"/>
    <w:next w:val="24"/>
    <w:autoRedefine/>
    <w:qFormat/>
    <w:uiPriority w:val="39"/>
    <w:pPr>
      <w:tabs>
        <w:tab w:val="right" w:pos="9746"/>
      </w:tabs>
      <w:spacing w:before="160" w:after="0" w:line="240" w:lineRule="auto"/>
      <w:ind w:left="567" w:hanging="567"/>
      <w:jc w:val="left"/>
    </w:pPr>
    <w:rPr>
      <w:rFonts w:eastAsia="宋体" w:cstheme="majorHAnsi"/>
      <w:b/>
      <w:bCs/>
      <w:caps w:val="0"/>
      <w:color w:val="002060"/>
      <w:spacing w:val="0"/>
      <w:szCs w:val="24"/>
      <w:lang w:val="en-IN"/>
    </w:rPr>
  </w:style>
  <w:style w:type="paragraph" w:customStyle="1" w:styleId="24">
    <w:name w:val="Bold text_1"/>
    <w:basedOn w:val="1"/>
    <w:link w:val="138"/>
    <w:autoRedefine/>
    <w:qFormat/>
    <w:uiPriority w:val="0"/>
    <w:pPr>
      <w:widowControl/>
      <w:topLinePunct w:val="0"/>
      <w:spacing w:before="240" w:after="80" w:line="288" w:lineRule="auto"/>
    </w:pPr>
    <w:rPr>
      <w:rFonts w:eastAsiaTheme="minorHAnsi"/>
      <w:caps/>
      <w:color w:val="1F4E79" w:themeColor="accent1" w:themeShade="80"/>
      <w:spacing w:val="-6"/>
      <w:kern w:val="0"/>
      <w:szCs w:val="22"/>
      <w:lang w:eastAsia="en-US"/>
    </w:rPr>
  </w:style>
  <w:style w:type="paragraph" w:styleId="25">
    <w:name w:val="toc 4"/>
    <w:basedOn w:val="1"/>
    <w:next w:val="1"/>
    <w:autoRedefine/>
    <w:qFormat/>
    <w:uiPriority w:val="39"/>
    <w:pPr>
      <w:ind w:left="867" w:leftChars="300" w:hanging="567"/>
    </w:pPr>
    <w:rPr>
      <w:color w:val="203864" w:themeColor="accent5" w:themeShade="80"/>
      <w:sz w:val="20"/>
    </w:rPr>
  </w:style>
  <w:style w:type="paragraph" w:styleId="26">
    <w:name w:val="Subtitle"/>
    <w:basedOn w:val="1"/>
    <w:next w:val="1"/>
    <w:link w:val="101"/>
    <w:autoRedefine/>
    <w:qFormat/>
    <w:uiPriority w:val="11"/>
    <w:pPr>
      <w:spacing w:before="240" w:after="60" w:line="312" w:lineRule="auto"/>
      <w:jc w:val="center"/>
      <w:outlineLvl w:val="1"/>
    </w:pPr>
    <w:rPr>
      <w:rFonts w:ascii="Cambria" w:hAnsi="Cambria"/>
      <w:b/>
      <w:bCs/>
      <w:kern w:val="28"/>
      <w:sz w:val="32"/>
      <w:szCs w:val="32"/>
    </w:rPr>
  </w:style>
  <w:style w:type="paragraph" w:styleId="27">
    <w:name w:val="toc 6"/>
    <w:basedOn w:val="1"/>
    <w:next w:val="1"/>
    <w:autoRedefine/>
    <w:unhideWhenUsed/>
    <w:qFormat/>
    <w:uiPriority w:val="39"/>
  </w:style>
  <w:style w:type="paragraph" w:styleId="28">
    <w:name w:val="table of figures"/>
    <w:autoRedefine/>
    <w:qFormat/>
    <w:uiPriority w:val="99"/>
    <w:pPr>
      <w:widowControl w:val="0"/>
      <w:tabs>
        <w:tab w:val="right" w:leader="dot" w:pos="9736"/>
      </w:tabs>
      <w:topLinePunct/>
      <w:spacing w:line="312" w:lineRule="auto"/>
      <w:ind w:left="879" w:hanging="879"/>
    </w:pPr>
    <w:rPr>
      <w:rFonts w:ascii="Frutiger" w:hAnsi="Frutiger" w:eastAsia="宋体" w:cstheme="minorBidi"/>
      <w:kern w:val="2"/>
      <w:sz w:val="20"/>
      <w:szCs w:val="20"/>
      <w:lang w:val="en-US" w:eastAsia="zh-CN" w:bidi="ar-SA"/>
    </w:rPr>
  </w:style>
  <w:style w:type="paragraph" w:styleId="29">
    <w:name w:val="toc 2"/>
    <w:basedOn w:val="24"/>
    <w:next w:val="24"/>
    <w:link w:val="157"/>
    <w:autoRedefine/>
    <w:qFormat/>
    <w:uiPriority w:val="39"/>
    <w:pPr>
      <w:spacing w:before="160" w:after="0" w:line="240" w:lineRule="auto"/>
      <w:ind w:left="578" w:hanging="578"/>
      <w:jc w:val="left"/>
    </w:pPr>
    <w:rPr>
      <w:rFonts w:eastAsia="宋体"/>
      <w:b/>
      <w:caps w:val="0"/>
      <w:color w:val="000000" w:themeColor="text1"/>
      <w14:textFill>
        <w14:solidFill>
          <w14:schemeClr w14:val="tx1"/>
        </w14:solidFill>
      </w14:textFill>
    </w:rPr>
  </w:style>
  <w:style w:type="paragraph" w:styleId="30">
    <w:name w:val="toc 9"/>
    <w:basedOn w:val="1"/>
    <w:next w:val="1"/>
    <w:autoRedefine/>
    <w:unhideWhenUsed/>
    <w:uiPriority w:val="39"/>
    <w:pPr>
      <w:ind w:left="3360" w:leftChars="1600"/>
    </w:pPr>
  </w:style>
  <w:style w:type="paragraph" w:styleId="31">
    <w:name w:val="Normal (Web)"/>
    <w:basedOn w:val="1"/>
    <w:unhideWhenUsed/>
    <w:uiPriority w:val="99"/>
    <w:pPr>
      <w:widowControl/>
      <w:spacing w:before="100" w:beforeAutospacing="1" w:after="100" w:afterAutospacing="1"/>
      <w:jc w:val="left"/>
    </w:pPr>
    <w:rPr>
      <w:rFonts w:ascii="宋体" w:hAnsi="宋体" w:cs="宋体"/>
      <w:kern w:val="0"/>
      <w:szCs w:val="24"/>
    </w:rPr>
  </w:style>
  <w:style w:type="paragraph" w:styleId="32">
    <w:name w:val="Title"/>
    <w:basedOn w:val="1"/>
    <w:next w:val="1"/>
    <w:link w:val="98"/>
    <w:qFormat/>
    <w:uiPriority w:val="10"/>
    <w:pPr>
      <w:spacing w:before="240" w:after="60"/>
      <w:jc w:val="center"/>
      <w:outlineLvl w:val="0"/>
    </w:pPr>
    <w:rPr>
      <w:rFonts w:ascii="Cambria" w:hAnsi="Cambria"/>
      <w:b/>
      <w:bCs/>
      <w:sz w:val="32"/>
      <w:szCs w:val="32"/>
    </w:rPr>
  </w:style>
  <w:style w:type="paragraph" w:styleId="33">
    <w:name w:val="annotation subject"/>
    <w:basedOn w:val="1"/>
    <w:next w:val="1"/>
    <w:link w:val="118"/>
    <w:autoRedefine/>
    <w:qFormat/>
    <w:uiPriority w:val="0"/>
    <w:pPr>
      <w:jc w:val="left"/>
    </w:pPr>
    <w:rPr>
      <w:b/>
      <w:bCs/>
    </w:rPr>
  </w:style>
  <w:style w:type="table" w:styleId="35">
    <w:name w:val="Table Grid"/>
    <w:basedOn w:val="34"/>
    <w:autoRedefine/>
    <w:qFormat/>
    <w:uiPriority w:val="39"/>
    <w:rPr>
      <w:rFonts w:ascii="Times New Roman" w:hAnsi="Times New Roman" w:eastAsia="宋体" w:cs="Times New Roman"/>
      <w:kern w:val="0"/>
      <w:sz w:val="20"/>
      <w:szCs w:val="20"/>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styleId="36">
    <w:name w:val="Table Colorful 2"/>
    <w:basedOn w:val="34"/>
    <w:autoRedefine/>
    <w:qFormat/>
    <w:uiPriority w:val="0"/>
    <w:pPr>
      <w:widowControl w:val="0"/>
      <w:jc w:val="both"/>
    </w:pPr>
    <w:rPr>
      <w:rFonts w:ascii="Times New Roman" w:hAnsi="Times New Roman" w:eastAsia="宋体" w:cs="Times New Roman"/>
      <w:kern w:val="0"/>
      <w:sz w:val="20"/>
      <w:szCs w:val="20"/>
    </w:rPr>
    <w:tblPr>
      <w:tblBorders>
        <w:bottom w:val="single" w:color="000000" w:sz="12" w:space="0"/>
      </w:tblBorders>
    </w:tblPr>
    <w:tcPr>
      <w:shd w:val="pct20" w:color="FFFF00" w:fill="FFFFFF"/>
    </w:tcPr>
    <w:tblStylePr w:type="firstRow">
      <w:rPr>
        <w:b/>
        <w:bCs/>
        <w:i/>
        <w:iCs/>
        <w:color w:val="FFFFFF"/>
      </w:rPr>
      <w:tblPr/>
      <w:tcPr>
        <w:tcBorders>
          <w:bottom w:val="single" w:color="000000" w:sz="12" w:space="0"/>
          <w:tl2br w:val="nil"/>
          <w:tr2bl w:val="nil"/>
        </w:tcBorders>
        <w:shd w:val="solid" w:color="800000" w:fill="FFFFFF"/>
      </w:tcPr>
    </w:tblStylePr>
    <w:tblStylePr w:type="firstCol">
      <w:rPr>
        <w:b/>
        <w:bCs/>
        <w:i/>
        <w:iCs/>
      </w:rPr>
      <w:tblPr/>
      <w:tcPr>
        <w:tcBorders>
          <w:tl2br w:val="nil"/>
          <w:tr2bl w:val="nil"/>
        </w:tcBorders>
      </w:tcPr>
    </w:tblStylePr>
    <w:tblStylePr w:type="lastCol">
      <w:tblPr/>
      <w:tcPr>
        <w:tcBorders>
          <w:tl2br w:val="nil"/>
          <w:tr2bl w:val="nil"/>
        </w:tcBorders>
        <w:shd w:val="solid" w:color="C0C0C0" w:fill="FFFFFF"/>
      </w:tcPr>
    </w:tblStylePr>
    <w:tblStylePr w:type="swCell">
      <w:rPr>
        <w:b/>
        <w:bCs/>
        <w:i w:val="0"/>
        <w:iCs w:val="0"/>
      </w:rPr>
      <w:tblPr/>
      <w:tcPr>
        <w:tcBorders>
          <w:tl2br w:val="nil"/>
          <w:tr2bl w:val="nil"/>
        </w:tcBorders>
      </w:tcPr>
    </w:tblStylePr>
  </w:style>
  <w:style w:type="table" w:styleId="37">
    <w:name w:val="Table Classic 1"/>
    <w:basedOn w:val="34"/>
    <w:autoRedefine/>
    <w:qFormat/>
    <w:uiPriority w:val="0"/>
    <w:pPr>
      <w:widowControl w:val="0"/>
      <w:jc w:val="both"/>
    </w:pPr>
    <w:rPr>
      <w:rFonts w:ascii="Times New Roman" w:hAnsi="Times New Roman" w:eastAsia="宋体" w:cs="Times New Roman"/>
      <w:kern w:val="0"/>
      <w:sz w:val="20"/>
      <w:szCs w:val="20"/>
    </w:rPr>
    <w:tblPr>
      <w:tblBorders>
        <w:top w:val="single" w:color="000000" w:sz="12" w:space="0"/>
        <w:bottom w:val="single" w:color="000000" w:sz="12" w:space="0"/>
      </w:tblBorders>
    </w:tblPr>
    <w:tcPr>
      <w:shd w:val="clear" w:color="auto" w:fill="auto"/>
    </w:tcPr>
    <w:tblStylePr w:type="firstRow">
      <w:rPr>
        <w:i/>
        <w:iCs/>
      </w:rPr>
      <w:tblPr/>
      <w:tcPr>
        <w:tcBorders>
          <w:bottom w:val="single" w:color="000000" w:sz="6" w:space="0"/>
          <w:tl2br w:val="nil"/>
          <w:tr2bl w:val="nil"/>
        </w:tcBorders>
      </w:tcPr>
    </w:tblStylePr>
    <w:tblStylePr w:type="lastRow">
      <w:rPr>
        <w:color w:val="auto"/>
      </w:rPr>
      <w:tblPr/>
      <w:tcPr>
        <w:tcBorders>
          <w:top w:val="single" w:color="000000" w:sz="6" w:space="0"/>
          <w:tl2br w:val="nil"/>
          <w:tr2bl w:val="nil"/>
        </w:tcBorders>
      </w:tcPr>
    </w:tblStylePr>
    <w:tblStylePr w:type="firstCol">
      <w:tblPr/>
      <w:tcPr>
        <w:tcBorders>
          <w:right w:val="single" w:color="000000" w:sz="6" w:space="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styleId="38">
    <w:name w:val="Table Columns 2"/>
    <w:basedOn w:val="34"/>
    <w:autoRedefine/>
    <w:qFormat/>
    <w:uiPriority w:val="0"/>
    <w:pPr>
      <w:widowControl w:val="0"/>
      <w:jc w:val="both"/>
    </w:pPr>
    <w:rPr>
      <w:rFonts w:ascii="Times New Roman" w:hAnsi="Times New Roman" w:eastAsia="宋体" w:cs="Times New Roman"/>
      <w:b/>
      <w:bCs/>
      <w:kern w:val="0"/>
      <w:sz w:val="20"/>
      <w:szCs w:val="20"/>
    </w:rPr>
    <w:tblPr>
      <w:tblStyleColBandSize w:val="1"/>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39">
    <w:name w:val="Table Columns 3"/>
    <w:basedOn w:val="34"/>
    <w:uiPriority w:val="0"/>
    <w:pPr>
      <w:widowControl w:val="0"/>
      <w:jc w:val="both"/>
    </w:pPr>
    <w:rPr>
      <w:rFonts w:ascii="Times New Roman" w:hAnsi="Times New Roman" w:eastAsia="宋体" w:cs="Times New Roman"/>
      <w:b/>
      <w:bCs/>
      <w:kern w:val="0"/>
      <w:sz w:val="20"/>
      <w:szCs w:val="20"/>
    </w:rPr>
    <w:tblPr>
      <w:tblBorders>
        <w:top w:val="single" w:color="000080" w:sz="6" w:space="0"/>
        <w:left w:val="single" w:color="000080" w:sz="6" w:space="0"/>
        <w:bottom w:val="single" w:color="000080" w:sz="6" w:space="0"/>
        <w:right w:val="single" w:color="000080" w:sz="6" w:space="0"/>
        <w:insideV w:val="single" w:color="000080" w:sz="6" w:space="0"/>
      </w:tblBorders>
    </w:tblPr>
    <w:tblStylePr w:type="firstRow">
      <w:rPr>
        <w:color w:val="FFFFFF"/>
      </w:rPr>
      <w:tblPr/>
      <w:tcPr>
        <w:tcBorders>
          <w:tl2br w:val="nil"/>
          <w:tr2bl w:val="nil"/>
        </w:tcBorders>
        <w:shd w:val="solid" w:color="000080" w:fill="FFFFFF"/>
      </w:tcPr>
    </w:tblStylePr>
    <w:tblStylePr w:type="lastRow">
      <w:rPr>
        <w:b w:val="0"/>
        <w:bCs w:val="0"/>
      </w:rPr>
      <w:tblPr/>
      <w:tcPr>
        <w:tcBorders>
          <w:top w:val="single" w:color="000080" w:sz="6" w:space="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il"/>
          <w:tr2bl w:val="nil"/>
        </w:tcBorders>
      </w:tcPr>
    </w:tblStylePr>
  </w:style>
  <w:style w:type="table" w:styleId="40">
    <w:name w:val="Table Columns 5"/>
    <w:basedOn w:val="34"/>
    <w:uiPriority w:val="0"/>
    <w:pPr>
      <w:widowControl w:val="0"/>
      <w:jc w:val="both"/>
    </w:pPr>
    <w:rPr>
      <w:rFonts w:ascii="Times New Roman" w:hAnsi="Times New Roman" w:eastAsia="宋体" w:cs="Times New Roman"/>
      <w:kern w:val="0"/>
      <w:sz w:val="20"/>
      <w:szCs w:val="20"/>
    </w:rPr>
    <w:tblPr>
      <w:tblBorders>
        <w:top w:val="single" w:color="808080" w:sz="12" w:space="0"/>
        <w:left w:val="single" w:color="808080" w:sz="12" w:space="0"/>
        <w:bottom w:val="single" w:color="808080" w:sz="12" w:space="0"/>
        <w:right w:val="single" w:color="808080" w:sz="12" w:space="0"/>
        <w:insideV w:val="single" w:color="C0C0C0" w:sz="6" w:space="0"/>
      </w:tblBorders>
    </w:tblPr>
    <w:tblStylePr w:type="firstRow">
      <w:rPr>
        <w:b/>
        <w:bCs/>
        <w:i/>
        <w:iCs/>
      </w:rPr>
      <w:tblPr/>
      <w:tcPr>
        <w:tcBorders>
          <w:bottom w:val="single" w:color="808080" w:sz="6" w:space="0"/>
          <w:tl2br w:val="nil"/>
          <w:tr2bl w:val="nil"/>
        </w:tcBorders>
      </w:tcPr>
    </w:tblStylePr>
    <w:tblStylePr w:type="lastRow">
      <w:rPr>
        <w:b/>
        <w:bCs/>
      </w:rPr>
      <w:tblPr/>
      <w:tcPr>
        <w:tcBorders>
          <w:top w:val="single" w:color="808080" w:sz="6" w:space="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solid" w:color="C0C0C0" w:fill="FFFFFF"/>
      </w:tcPr>
    </w:tblStylePr>
    <w:tblStylePr w:type="band2Vert">
      <w:rPr>
        <w:color w:val="auto"/>
      </w:rPr>
    </w:tblStylePr>
  </w:style>
  <w:style w:type="table" w:styleId="41">
    <w:name w:val="Table Grid 3"/>
    <w:basedOn w:val="34"/>
    <w:autoRedefine/>
    <w:qFormat/>
    <w:uiPriority w:val="0"/>
    <w:pPr>
      <w:widowControl w:val="0"/>
      <w:jc w:val="both"/>
    </w:pPr>
    <w:rPr>
      <w:rFonts w:ascii="Times New Roman" w:hAnsi="Times New Roman" w:eastAsia="宋体" w:cs="Times New Roman"/>
      <w:kern w:val="0"/>
      <w:sz w:val="20"/>
      <w:szCs w:val="20"/>
    </w:rPr>
    <w:tblPr>
      <w:tblBorders>
        <w:top w:val="single" w:color="000000" w:sz="6" w:space="0"/>
        <w:left w:val="single" w:color="000000" w:sz="12" w:space="0"/>
        <w:bottom w:val="single" w:color="000000" w:sz="6" w:space="0"/>
        <w:right w:val="single" w:color="000000" w:sz="12" w:space="0"/>
        <w:insideV w:val="single" w:color="000000" w:sz="6" w:space="0"/>
      </w:tblBorders>
    </w:tblPr>
    <w:tcPr>
      <w:shd w:val="clear" w:color="auto" w:fill="auto"/>
    </w:tcPr>
    <w:tblStylePr w:type="firstRow">
      <w:tblPr/>
      <w:tcPr>
        <w:tcBorders>
          <w:bottom w:val="single" w:color="000000" w:sz="6" w:space="0"/>
          <w:tl2br w:val="nil"/>
          <w:tr2bl w:val="nil"/>
        </w:tcBorders>
        <w:shd w:val="pct30" w:color="FFFF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color="000000" w:sz="6" w:space="0"/>
          <w:tr2bl w:val="nil"/>
        </w:tcBorders>
      </w:tcPr>
    </w:tblStylePr>
  </w:style>
  <w:style w:type="table" w:styleId="42">
    <w:name w:val="Table Grid 4"/>
    <w:basedOn w:val="34"/>
    <w:uiPriority w:val="0"/>
    <w:pPr>
      <w:widowControl w:val="0"/>
      <w:jc w:val="both"/>
    </w:pPr>
    <w:rPr>
      <w:rFonts w:ascii="Times New Roman" w:hAnsi="Times New Roman" w:eastAsia="宋体" w:cs="Times New Roman"/>
      <w:kern w:val="0"/>
      <w:sz w:val="20"/>
      <w:szCs w:val="20"/>
    </w:rPr>
    <w:tblPr>
      <w:tblBorders>
        <w:left w:val="single" w:color="000000" w:sz="12" w:space="0"/>
        <w:right w:val="single" w:color="000000" w:sz="12" w:space="0"/>
        <w:insideH w:val="single" w:color="000000" w:sz="6" w:space="0"/>
        <w:insideV w:val="single" w:color="000000" w:sz="6" w:space="0"/>
      </w:tblBorders>
    </w:tblPr>
    <w:tcPr>
      <w:shd w:val="clear" w:color="auto" w:fill="auto"/>
      <w:vAlign w:val="center"/>
    </w:tcPr>
    <w:tblStylePr w:type="firstRow">
      <w:rPr>
        <w:color w:val="auto"/>
      </w:rPr>
      <w:tblPr/>
      <w:tcPr>
        <w:tcBorders>
          <w:bottom w:val="single" w:color="000000" w:sz="6" w:space="0"/>
          <w:tl2br w:val="nil"/>
          <w:tr2bl w:val="nil"/>
        </w:tcBorders>
        <w:shd w:val="pct30" w:color="FFFF00" w:fill="FFFFFF"/>
      </w:tcPr>
    </w:tblStylePr>
    <w:tblStylePr w:type="lastRow">
      <w:rPr>
        <w:b/>
        <w:bCs/>
        <w:color w:val="auto"/>
      </w:rPr>
      <w:tblPr/>
      <w:tcPr>
        <w:tcBorders>
          <w:top w:val="single" w:color="000000" w:sz="6" w:space="0"/>
          <w:tl2br w:val="nil"/>
          <w:tr2bl w:val="nil"/>
        </w:tcBorders>
        <w:shd w:val="pct30" w:color="FFFF00" w:fill="FFFFFF"/>
      </w:tcPr>
    </w:tblStylePr>
    <w:tblStylePr w:type="lastCol">
      <w:rPr>
        <w:b/>
        <w:bCs/>
        <w:color w:val="auto"/>
      </w:rPr>
      <w:tblPr/>
      <w:tcPr>
        <w:tcBorders>
          <w:tl2br w:val="nil"/>
          <w:tr2bl w:val="nil"/>
        </w:tcBorders>
      </w:tcPr>
    </w:tblStylePr>
  </w:style>
  <w:style w:type="table" w:styleId="43">
    <w:name w:val="Table Grid 8"/>
    <w:basedOn w:val="34"/>
    <w:autoRedefine/>
    <w:qFormat/>
    <w:uiPriority w:val="0"/>
    <w:pPr>
      <w:widowControl w:val="0"/>
      <w:jc w:val="right"/>
    </w:pPr>
    <w:rPr>
      <w:rFonts w:ascii="Times New Roman" w:hAnsi="Times New Roman" w:eastAsia="宋体" w:cs="Times New Roman"/>
      <w:kern w:val="0"/>
      <w:sz w:val="20"/>
      <w:szCs w:val="20"/>
    </w:rPr>
    <w:tblPr>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il"/>
          <w:tr2bl w:val="nil"/>
        </w:tcBorders>
      </w:tcPr>
    </w:tblStylePr>
    <w:tblStylePr w:type="firstCol">
      <w:pPr>
        <w:jc w:val="both"/>
      </w:pPr>
    </w:tblStylePr>
    <w:tblStylePr w:type="lastCol">
      <w:pPr>
        <w:jc w:val="both"/>
      </w:pPr>
      <w:rPr>
        <w:b/>
        <w:bCs/>
        <w:color w:val="auto"/>
      </w:rPr>
      <w:tblPr/>
    </w:tblStylePr>
    <w:tblStylePr w:type="nwCell">
      <w:pPr>
        <w:jc w:val="both"/>
      </w:pPr>
    </w:tblStylePr>
  </w:style>
  <w:style w:type="table" w:styleId="44">
    <w:name w:val="Light List"/>
    <w:basedOn w:val="34"/>
    <w:uiPriority w:val="61"/>
    <w:rPr>
      <w:rFonts w:ascii="Calibri" w:hAnsi="Calibri" w:eastAsia="宋体" w:cs="Times New Roman"/>
      <w:kern w:val="0"/>
      <w:sz w:val="20"/>
      <w:szCs w:val="20"/>
    </w:rPr>
    <w:tblPr>
      <w:tblBorders>
        <w:top w:val="single" w:color="000000" w:sz="8" w:space="0"/>
        <w:left w:val="single" w:color="000000" w:sz="8" w:space="0"/>
        <w:bottom w:val="single" w:color="000000" w:sz="8" w:space="0"/>
        <w:right w:val="single" w:color="000000" w:sz="8" w:space="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color="000000" w:sz="6" w:space="0"/>
          <w:left w:val="single" w:color="000000" w:sz="8" w:space="0"/>
          <w:bottom w:val="single" w:color="000000" w:sz="8" w:space="0"/>
          <w:right w:val="single" w:color="000000" w:sz="8" w:space="0"/>
        </w:tcBorders>
      </w:tcPr>
    </w:tblStylePr>
    <w:tblStylePr w:type="firstCol">
      <w:rPr>
        <w:b/>
        <w:bCs/>
      </w:rPr>
    </w:tblStylePr>
    <w:tblStylePr w:type="lastCol">
      <w:rPr>
        <w:b/>
        <w:bCs/>
      </w:rPr>
    </w:tblStylePr>
    <w:tblStylePr w:type="band1Vert">
      <w:tblPr/>
      <w:tcPr>
        <w:tcBorders>
          <w:top w:val="single" w:color="000000" w:sz="8" w:space="0"/>
          <w:left w:val="single" w:color="000000" w:sz="8" w:space="0"/>
          <w:bottom w:val="single" w:color="000000" w:sz="8" w:space="0"/>
          <w:right w:val="single" w:color="000000" w:sz="8" w:space="0"/>
        </w:tcBorders>
      </w:tcPr>
    </w:tblStylePr>
    <w:tblStylePr w:type="band1Horz">
      <w:tblPr/>
      <w:tcPr>
        <w:tcBorders>
          <w:top w:val="single" w:color="000000" w:sz="8" w:space="0"/>
          <w:left w:val="single" w:color="000000" w:sz="8" w:space="0"/>
          <w:bottom w:val="single" w:color="000000" w:sz="8" w:space="0"/>
          <w:right w:val="single" w:color="000000" w:sz="8" w:space="0"/>
        </w:tcBorders>
      </w:tcPr>
    </w:tblStylePr>
  </w:style>
  <w:style w:type="table" w:styleId="45">
    <w:name w:val="Light List Accent 2"/>
    <w:basedOn w:val="34"/>
    <w:unhideWhenUsed/>
    <w:uiPriority w:val="61"/>
    <w:tblPr>
      <w:tblBorders>
        <w:top w:val="single" w:color="ED7D31" w:themeColor="accent2" w:sz="8" w:space="0"/>
        <w:left w:val="single" w:color="ED7D31" w:themeColor="accent2" w:sz="8" w:space="0"/>
        <w:bottom w:val="single" w:color="ED7D31" w:themeColor="accent2" w:sz="8" w:space="0"/>
        <w:right w:val="single" w:color="ED7D31" w:themeColor="accent2"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ED7D31" w:themeFill="accent2"/>
      </w:tcPr>
    </w:tblStylePr>
    <w:tblStylePr w:type="lastRow">
      <w:pPr>
        <w:spacing w:before="0" w:after="0" w:line="240" w:lineRule="auto"/>
      </w:pPr>
      <w:rPr>
        <w:b/>
        <w:bCs/>
      </w:rPr>
      <w:tblPr/>
      <w:tcPr>
        <w:tcBorders>
          <w:top w:val="double" w:color="ED7D31" w:themeColor="accent2" w:sz="6" w:space="0"/>
          <w:left w:val="single" w:color="ED7D31" w:themeColor="accent2" w:sz="8" w:space="0"/>
          <w:bottom w:val="single" w:color="ED7D31" w:themeColor="accent2" w:sz="8" w:space="0"/>
          <w:right w:val="single" w:color="ED7D31" w:themeColor="accent2" w:sz="8" w:space="0"/>
        </w:tcBorders>
      </w:tcPr>
    </w:tblStylePr>
    <w:tblStylePr w:type="firstCol">
      <w:rPr>
        <w:b/>
        <w:bCs/>
      </w:rPr>
    </w:tblStylePr>
    <w:tblStylePr w:type="lastCol">
      <w:rPr>
        <w:b/>
        <w:bCs/>
      </w:rPr>
    </w:tblStylePr>
    <w:tblStylePr w:type="band1Vert">
      <w:tblPr/>
      <w:tcPr>
        <w:tcBorders>
          <w:top w:val="single" w:color="ED7D31" w:themeColor="accent2" w:sz="8" w:space="0"/>
          <w:left w:val="single" w:color="ED7D31" w:themeColor="accent2" w:sz="8" w:space="0"/>
          <w:bottom w:val="single" w:color="ED7D31" w:themeColor="accent2" w:sz="8" w:space="0"/>
          <w:right w:val="single" w:color="ED7D31" w:themeColor="accent2" w:sz="8" w:space="0"/>
        </w:tcBorders>
      </w:tcPr>
    </w:tblStylePr>
    <w:tblStylePr w:type="band1Horz">
      <w:tblPr/>
      <w:tcPr>
        <w:tcBorders>
          <w:top w:val="single" w:color="ED7D31" w:themeColor="accent2" w:sz="8" w:space="0"/>
          <w:left w:val="single" w:color="ED7D31" w:themeColor="accent2" w:sz="8" w:space="0"/>
          <w:bottom w:val="single" w:color="ED7D31" w:themeColor="accent2" w:sz="8" w:space="0"/>
          <w:right w:val="single" w:color="ED7D31" w:themeColor="accent2" w:sz="8" w:space="0"/>
        </w:tcBorders>
      </w:tcPr>
    </w:tblStylePr>
  </w:style>
  <w:style w:type="table" w:styleId="46">
    <w:name w:val="Light List Accent 3"/>
    <w:basedOn w:val="34"/>
    <w:unhideWhenUsed/>
    <w:uiPriority w:val="61"/>
    <w:tblPr>
      <w:tblBorders>
        <w:top w:val="single" w:color="A5A5A5" w:themeColor="accent3" w:sz="8" w:space="0"/>
        <w:left w:val="single" w:color="A5A5A5" w:themeColor="accent3" w:sz="8" w:space="0"/>
        <w:bottom w:val="single" w:color="A5A5A5" w:themeColor="accent3" w:sz="8" w:space="0"/>
        <w:right w:val="single" w:color="A5A5A5" w:themeColor="accent3"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A5A5A5" w:themeFill="accent3"/>
      </w:tcPr>
    </w:tblStylePr>
    <w:tblStylePr w:type="lastRow">
      <w:pPr>
        <w:spacing w:before="0" w:after="0" w:line="240" w:lineRule="auto"/>
      </w:pPr>
      <w:rPr>
        <w:b/>
        <w:bCs/>
      </w:rPr>
      <w:tblPr/>
      <w:tcPr>
        <w:tcBorders>
          <w:top w:val="double" w:color="A5A5A5" w:themeColor="accent3" w:sz="6" w:space="0"/>
          <w:left w:val="single" w:color="A5A5A5" w:themeColor="accent3" w:sz="8" w:space="0"/>
          <w:bottom w:val="single" w:color="A5A5A5" w:themeColor="accent3" w:sz="8" w:space="0"/>
          <w:right w:val="single" w:color="A5A5A5" w:themeColor="accent3" w:sz="8" w:space="0"/>
        </w:tcBorders>
      </w:tcPr>
    </w:tblStylePr>
    <w:tblStylePr w:type="firstCol">
      <w:rPr>
        <w:b/>
        <w:bCs/>
      </w:rPr>
    </w:tblStylePr>
    <w:tblStylePr w:type="lastCol">
      <w:rPr>
        <w:b/>
        <w:bCs/>
      </w:rPr>
    </w:tblStylePr>
    <w:tblStylePr w:type="band1Vert">
      <w:tblPr/>
      <w:tcPr>
        <w:tcBorders>
          <w:top w:val="single" w:color="A5A5A5" w:themeColor="accent3" w:sz="8" w:space="0"/>
          <w:left w:val="single" w:color="A5A5A5" w:themeColor="accent3" w:sz="8" w:space="0"/>
          <w:bottom w:val="single" w:color="A5A5A5" w:themeColor="accent3" w:sz="8" w:space="0"/>
          <w:right w:val="single" w:color="A5A5A5" w:themeColor="accent3" w:sz="8" w:space="0"/>
        </w:tcBorders>
      </w:tcPr>
    </w:tblStylePr>
    <w:tblStylePr w:type="band1Horz">
      <w:tblPr/>
      <w:tcPr>
        <w:tcBorders>
          <w:top w:val="single" w:color="A5A5A5" w:themeColor="accent3" w:sz="8" w:space="0"/>
          <w:left w:val="single" w:color="A5A5A5" w:themeColor="accent3" w:sz="8" w:space="0"/>
          <w:bottom w:val="single" w:color="A5A5A5" w:themeColor="accent3" w:sz="8" w:space="0"/>
          <w:right w:val="single" w:color="A5A5A5" w:themeColor="accent3" w:sz="8" w:space="0"/>
        </w:tcBorders>
      </w:tcPr>
    </w:tblStylePr>
  </w:style>
  <w:style w:type="table" w:styleId="47">
    <w:name w:val="Light List Accent 4"/>
    <w:basedOn w:val="34"/>
    <w:unhideWhenUsed/>
    <w:uiPriority w:val="61"/>
    <w:tblPr>
      <w:tblBorders>
        <w:top w:val="single" w:color="FFC000" w:themeColor="accent4" w:sz="8" w:space="0"/>
        <w:left w:val="single" w:color="FFC000" w:themeColor="accent4" w:sz="8" w:space="0"/>
        <w:bottom w:val="single" w:color="FFC000" w:themeColor="accent4" w:sz="8" w:space="0"/>
        <w:right w:val="single" w:color="FFC000" w:themeColor="accent4"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FFC000" w:themeFill="accent4"/>
      </w:tcPr>
    </w:tblStylePr>
    <w:tblStylePr w:type="lastRow">
      <w:pPr>
        <w:spacing w:before="0" w:after="0" w:line="240" w:lineRule="auto"/>
      </w:pPr>
      <w:rPr>
        <w:b/>
        <w:bCs/>
      </w:rPr>
      <w:tblPr/>
      <w:tcPr>
        <w:tcBorders>
          <w:top w:val="double" w:color="FFC000" w:themeColor="accent4" w:sz="6" w:space="0"/>
          <w:left w:val="single" w:color="FFC000" w:themeColor="accent4" w:sz="8" w:space="0"/>
          <w:bottom w:val="single" w:color="FFC000" w:themeColor="accent4" w:sz="8" w:space="0"/>
          <w:right w:val="single" w:color="FFC000" w:themeColor="accent4" w:sz="8" w:space="0"/>
        </w:tcBorders>
      </w:tcPr>
    </w:tblStylePr>
    <w:tblStylePr w:type="firstCol">
      <w:rPr>
        <w:b/>
        <w:bCs/>
      </w:rPr>
    </w:tblStylePr>
    <w:tblStylePr w:type="lastCol">
      <w:rPr>
        <w:b/>
        <w:bCs/>
      </w:rPr>
    </w:tblStylePr>
    <w:tblStylePr w:type="band1Vert">
      <w:tblPr/>
      <w:tcPr>
        <w:tcBorders>
          <w:top w:val="single" w:color="FFC000" w:themeColor="accent4" w:sz="8" w:space="0"/>
          <w:left w:val="single" w:color="FFC000" w:themeColor="accent4" w:sz="8" w:space="0"/>
          <w:bottom w:val="single" w:color="FFC000" w:themeColor="accent4" w:sz="8" w:space="0"/>
          <w:right w:val="single" w:color="FFC000" w:themeColor="accent4" w:sz="8" w:space="0"/>
        </w:tcBorders>
      </w:tcPr>
    </w:tblStylePr>
    <w:tblStylePr w:type="band1Horz">
      <w:tblPr/>
      <w:tcPr>
        <w:tcBorders>
          <w:top w:val="single" w:color="FFC000" w:themeColor="accent4" w:sz="8" w:space="0"/>
          <w:left w:val="single" w:color="FFC000" w:themeColor="accent4" w:sz="8" w:space="0"/>
          <w:bottom w:val="single" w:color="FFC000" w:themeColor="accent4" w:sz="8" w:space="0"/>
          <w:right w:val="single" w:color="FFC000" w:themeColor="accent4" w:sz="8" w:space="0"/>
        </w:tcBorders>
      </w:tcPr>
    </w:tblStylePr>
  </w:style>
  <w:style w:type="table" w:styleId="48">
    <w:name w:val="Light List Accent 5"/>
    <w:basedOn w:val="34"/>
    <w:autoRedefine/>
    <w:unhideWhenUsed/>
    <w:qFormat/>
    <w:uiPriority w:val="61"/>
    <w:tblPr>
      <w:tblBorders>
        <w:top w:val="single" w:color="4472C4" w:themeColor="accent5" w:sz="8" w:space="0"/>
        <w:left w:val="single" w:color="4472C4" w:themeColor="accent5" w:sz="8" w:space="0"/>
        <w:bottom w:val="single" w:color="4472C4" w:themeColor="accent5" w:sz="8" w:space="0"/>
        <w:right w:val="single" w:color="4472C4" w:themeColor="accent5"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4472C4" w:themeFill="accent5"/>
      </w:tcPr>
    </w:tblStylePr>
    <w:tblStylePr w:type="lastRow">
      <w:pPr>
        <w:spacing w:before="0" w:after="0" w:line="240" w:lineRule="auto"/>
      </w:pPr>
      <w:rPr>
        <w:b/>
        <w:bCs/>
      </w:rPr>
      <w:tblPr/>
      <w:tcPr>
        <w:tcBorders>
          <w:top w:val="double" w:color="4472C4" w:themeColor="accent5" w:sz="6" w:space="0"/>
          <w:left w:val="single" w:color="4472C4" w:themeColor="accent5" w:sz="8" w:space="0"/>
          <w:bottom w:val="single" w:color="4472C4" w:themeColor="accent5" w:sz="8" w:space="0"/>
          <w:right w:val="single" w:color="4472C4" w:themeColor="accent5" w:sz="8" w:space="0"/>
        </w:tcBorders>
      </w:tcPr>
    </w:tblStylePr>
    <w:tblStylePr w:type="firstCol">
      <w:rPr>
        <w:b/>
        <w:bCs/>
      </w:rPr>
    </w:tblStylePr>
    <w:tblStylePr w:type="lastCol">
      <w:rPr>
        <w:b/>
        <w:bCs/>
      </w:rPr>
    </w:tblStylePr>
    <w:tblStylePr w:type="band1Vert">
      <w:tblPr/>
      <w:tcPr>
        <w:tcBorders>
          <w:top w:val="single" w:color="4472C4" w:themeColor="accent5" w:sz="8" w:space="0"/>
          <w:left w:val="single" w:color="4472C4" w:themeColor="accent5" w:sz="8" w:space="0"/>
          <w:bottom w:val="single" w:color="4472C4" w:themeColor="accent5" w:sz="8" w:space="0"/>
          <w:right w:val="single" w:color="4472C4" w:themeColor="accent5" w:sz="8" w:space="0"/>
        </w:tcBorders>
      </w:tcPr>
    </w:tblStylePr>
    <w:tblStylePr w:type="band1Horz">
      <w:tblPr/>
      <w:tcPr>
        <w:tcBorders>
          <w:top w:val="single" w:color="4472C4" w:themeColor="accent5" w:sz="8" w:space="0"/>
          <w:left w:val="single" w:color="4472C4" w:themeColor="accent5" w:sz="8" w:space="0"/>
          <w:bottom w:val="single" w:color="4472C4" w:themeColor="accent5" w:sz="8" w:space="0"/>
          <w:right w:val="single" w:color="4472C4" w:themeColor="accent5" w:sz="8" w:space="0"/>
        </w:tcBorders>
      </w:tcPr>
    </w:tblStylePr>
  </w:style>
  <w:style w:type="table" w:styleId="49">
    <w:name w:val="Medium Shading 1"/>
    <w:basedOn w:val="34"/>
    <w:autoRedefine/>
    <w:qFormat/>
    <w:uiPriority w:val="63"/>
    <w:rPr>
      <w:rFonts w:ascii="Calibri" w:hAnsi="Calibri" w:eastAsia="宋体" w:cs="Times New Roman"/>
      <w:kern w:val="0"/>
      <w:sz w:val="20"/>
      <w:szCs w:val="20"/>
    </w:rPr>
    <w:tblPr>
      <w:tblBorders>
        <w:top w:val="single" w:color="404040" w:sz="8" w:space="0"/>
        <w:left w:val="single" w:color="404040" w:sz="8" w:space="0"/>
        <w:bottom w:val="single" w:color="404040" w:sz="8" w:space="0"/>
        <w:right w:val="single" w:color="404040" w:sz="8" w:space="0"/>
        <w:insideH w:val="single" w:color="404040" w:sz="8" w:space="0"/>
      </w:tblBorders>
    </w:tblPr>
    <w:tblStylePr w:type="firstRow">
      <w:pPr>
        <w:spacing w:before="0" w:after="0" w:line="240" w:lineRule="auto"/>
      </w:pPr>
      <w:rPr>
        <w:b/>
        <w:bCs/>
        <w:color w:val="FFFFFF"/>
      </w:rPr>
      <w:tblPr/>
      <w:tcPr>
        <w:tcBorders>
          <w:top w:val="single" w:color="404040" w:sz="8" w:space="0"/>
          <w:left w:val="single" w:color="404040" w:sz="8" w:space="0"/>
          <w:bottom w:val="single" w:color="404040" w:sz="8" w:space="0"/>
          <w:right w:val="single" w:color="404040" w:sz="8" w:space="0"/>
          <w:insideH w:val="nil"/>
          <w:insideV w:val="nil"/>
        </w:tcBorders>
        <w:shd w:val="clear" w:color="auto" w:fill="000000"/>
      </w:tcPr>
    </w:tblStylePr>
    <w:tblStylePr w:type="lastRow">
      <w:pPr>
        <w:spacing w:before="0" w:after="0" w:line="240" w:lineRule="auto"/>
      </w:pPr>
      <w:rPr>
        <w:b/>
        <w:bCs/>
      </w:rPr>
      <w:tblPr/>
      <w:tcPr>
        <w:tcBorders>
          <w:top w:val="double" w:color="404040" w:sz="6" w:space="0"/>
          <w:left w:val="single" w:color="404040" w:sz="8" w:space="0"/>
          <w:bottom w:val="single" w:color="404040" w:sz="8" w:space="0"/>
          <w:right w:val="single" w:color="404040" w:sz="8" w:space="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50">
    <w:name w:val="Medium Shading 1 Accent 1"/>
    <w:basedOn w:val="34"/>
    <w:autoRedefine/>
    <w:unhideWhenUsed/>
    <w:qFormat/>
    <w:uiPriority w:val="63"/>
    <w:tblPr>
      <w:tblBorders>
        <w:top w:val="single" w:color="84B4DF" w:themeColor="accent1" w:themeTint="BF" w:sz="8" w:space="0"/>
        <w:left w:val="single" w:color="84B4DF" w:themeColor="accent1" w:themeTint="BF" w:sz="8" w:space="0"/>
        <w:bottom w:val="single" w:color="84B4DF" w:themeColor="accent1" w:themeTint="BF" w:sz="8" w:space="0"/>
        <w:right w:val="single" w:color="84B4DF" w:themeColor="accent1" w:themeTint="BF" w:sz="8" w:space="0"/>
        <w:insideH w:val="single" w:color="84B4DF" w:themeColor="accent1"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84B4DF" w:themeColor="accent1" w:themeTint="BF" w:sz="8" w:space="0"/>
          <w:left w:val="single" w:color="84B4DF" w:themeColor="accent1" w:themeTint="BF" w:sz="8" w:space="0"/>
          <w:bottom w:val="single" w:color="84B4DF" w:themeColor="accent1" w:themeTint="BF" w:sz="8" w:space="0"/>
          <w:right w:val="single" w:color="84B4DF" w:themeColor="accent1" w:themeTint="BF" w:sz="8" w:space="0"/>
          <w:insideH w:val="nil"/>
          <w:insideV w:val="nil"/>
        </w:tcBorders>
        <w:shd w:val="clear" w:color="auto" w:fill="5B9BD5" w:themeFill="accent1"/>
      </w:tcPr>
    </w:tblStylePr>
    <w:tblStylePr w:type="lastRow">
      <w:pPr>
        <w:spacing w:before="0" w:after="0" w:line="240" w:lineRule="auto"/>
      </w:pPr>
      <w:rPr>
        <w:b/>
        <w:bCs/>
      </w:rPr>
      <w:tblPr/>
      <w:tcPr>
        <w:tcBorders>
          <w:top w:val="double" w:color="84B4DF" w:themeColor="accent1" w:themeTint="BF" w:sz="6" w:space="0"/>
          <w:left w:val="single" w:color="84B4DF" w:themeColor="accent1" w:themeTint="BF" w:sz="8" w:space="0"/>
          <w:bottom w:val="single" w:color="84B4DF" w:themeColor="accent1" w:themeTint="BF" w:sz="8" w:space="0"/>
          <w:right w:val="single" w:color="84B4DF" w:themeColor="accent1" w:themeTint="BF" w:sz="8" w:space="0"/>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styleId="51">
    <w:name w:val="Medium Shading 1 Accent 2"/>
    <w:basedOn w:val="34"/>
    <w:unhideWhenUsed/>
    <w:uiPriority w:val="63"/>
    <w:tblPr>
      <w:tblBorders>
        <w:top w:val="single" w:color="F19D64" w:themeColor="accent2" w:themeTint="BF" w:sz="8" w:space="0"/>
        <w:left w:val="single" w:color="F19D64" w:themeColor="accent2" w:themeTint="BF" w:sz="8" w:space="0"/>
        <w:bottom w:val="single" w:color="F19D64" w:themeColor="accent2" w:themeTint="BF" w:sz="8" w:space="0"/>
        <w:right w:val="single" w:color="F19D64" w:themeColor="accent2" w:themeTint="BF" w:sz="8" w:space="0"/>
        <w:insideH w:val="single" w:color="F19D64" w:themeColor="accent2"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F19D64" w:themeColor="accent2" w:themeTint="BF" w:sz="8" w:space="0"/>
          <w:left w:val="single" w:color="F19D64" w:themeColor="accent2" w:themeTint="BF" w:sz="8" w:space="0"/>
          <w:bottom w:val="single" w:color="F19D64" w:themeColor="accent2" w:themeTint="BF" w:sz="8" w:space="0"/>
          <w:right w:val="single" w:color="F19D64" w:themeColor="accent2" w:themeTint="BF" w:sz="8" w:space="0"/>
          <w:insideH w:val="nil"/>
          <w:insideV w:val="nil"/>
        </w:tcBorders>
        <w:shd w:val="clear" w:color="auto" w:fill="ED7D31" w:themeFill="accent2"/>
      </w:tcPr>
    </w:tblStylePr>
    <w:tblStylePr w:type="lastRow">
      <w:pPr>
        <w:spacing w:before="0" w:after="0" w:line="240" w:lineRule="auto"/>
      </w:pPr>
      <w:rPr>
        <w:b/>
        <w:bCs/>
      </w:rPr>
      <w:tblPr/>
      <w:tcPr>
        <w:tcBorders>
          <w:top w:val="double" w:color="F19D64" w:themeColor="accent2" w:themeTint="BF" w:sz="6" w:space="0"/>
          <w:left w:val="single" w:color="F19D64" w:themeColor="accent2" w:themeTint="BF" w:sz="8" w:space="0"/>
          <w:bottom w:val="single" w:color="F19D64" w:themeColor="accent2" w:themeTint="BF" w:sz="8" w:space="0"/>
          <w:right w:val="single" w:color="F19D64" w:themeColor="accent2" w:themeTint="BF" w:sz="8" w:space="0"/>
          <w:insideH w:val="nil"/>
          <w:insideV w:val="nil"/>
        </w:tcBorders>
      </w:tcPr>
    </w:tblStylePr>
    <w:tblStylePr w:type="firstCol">
      <w:rPr>
        <w:b/>
        <w:bCs/>
      </w:rPr>
    </w:tblStylePr>
    <w:tblStylePr w:type="lastCol">
      <w:rPr>
        <w:b/>
        <w:bCs/>
      </w:rPr>
    </w:tblStylePr>
    <w:tblStylePr w:type="band1Vert">
      <w:tblPr/>
      <w:tcPr>
        <w:shd w:val="clear" w:color="auto" w:fill="FADECC" w:themeFill="accent2" w:themeFillTint="3F"/>
      </w:tcPr>
    </w:tblStylePr>
    <w:tblStylePr w:type="band1Horz">
      <w:tblPr/>
      <w:tcPr>
        <w:tcBorders>
          <w:insideH w:val="nil"/>
          <w:insideV w:val="nil"/>
        </w:tcBorders>
        <w:shd w:val="clear" w:color="auto" w:fill="FADECC" w:themeFill="accent2" w:themeFillTint="3F"/>
      </w:tcPr>
    </w:tblStylePr>
    <w:tblStylePr w:type="band2Horz">
      <w:tblPr/>
      <w:tcPr>
        <w:tcBorders>
          <w:insideH w:val="nil"/>
          <w:insideV w:val="nil"/>
        </w:tcBorders>
      </w:tcPr>
    </w:tblStylePr>
  </w:style>
  <w:style w:type="table" w:styleId="52">
    <w:name w:val="Medium Shading 1 Accent 3"/>
    <w:basedOn w:val="34"/>
    <w:unhideWhenUsed/>
    <w:uiPriority w:val="63"/>
    <w:tblPr>
      <w:tbl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single" w:color="BBBBBB" w:themeColor="accent3"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nil"/>
          <w:insideV w:val="nil"/>
        </w:tcBorders>
        <w:shd w:val="clear" w:color="auto" w:fill="A5A5A5" w:themeFill="accent3"/>
      </w:tcPr>
    </w:tblStylePr>
    <w:tblStylePr w:type="lastRow">
      <w:pPr>
        <w:spacing w:before="0" w:after="0" w:line="240" w:lineRule="auto"/>
      </w:pPr>
      <w:rPr>
        <w:b/>
        <w:bCs/>
      </w:rPr>
      <w:tblPr/>
      <w:tcPr>
        <w:tcBorders>
          <w:top w:val="double" w:color="BBBBBB" w:themeColor="accent3" w:themeTint="BF" w:sz="6" w:space="0"/>
          <w:left w:val="single" w:color="BBBBBB" w:themeColor="accent3" w:themeTint="BF" w:sz="8" w:space="0"/>
          <w:bottom w:val="single" w:color="BBBBBB" w:themeColor="accent3" w:themeTint="BF" w:sz="8" w:space="0"/>
          <w:right w:val="single" w:color="BBBBBB" w:themeColor="accent3" w:themeTint="BF" w:sz="8" w:space="0"/>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53">
    <w:name w:val="Medium Shading 1 Accent 4"/>
    <w:basedOn w:val="34"/>
    <w:autoRedefine/>
    <w:unhideWhenUsed/>
    <w:qFormat/>
    <w:uiPriority w:val="63"/>
    <w:tblPr>
      <w:tblBorders>
        <w:top w:val="single" w:color="FFCF3F" w:themeColor="accent4" w:themeTint="BF" w:sz="8" w:space="0"/>
        <w:left w:val="single" w:color="FFCF3F" w:themeColor="accent4" w:themeTint="BF" w:sz="8" w:space="0"/>
        <w:bottom w:val="single" w:color="FFCF3F" w:themeColor="accent4" w:themeTint="BF" w:sz="8" w:space="0"/>
        <w:right w:val="single" w:color="FFCF3F" w:themeColor="accent4" w:themeTint="BF" w:sz="8" w:space="0"/>
        <w:insideH w:val="single" w:color="FFCF3F" w:themeColor="accent4"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FFCF3F" w:themeColor="accent4" w:themeTint="BF" w:sz="8" w:space="0"/>
          <w:left w:val="single" w:color="FFCF3F" w:themeColor="accent4" w:themeTint="BF" w:sz="8" w:space="0"/>
          <w:bottom w:val="single" w:color="FFCF3F" w:themeColor="accent4" w:themeTint="BF" w:sz="8" w:space="0"/>
          <w:right w:val="single" w:color="FFCF3F" w:themeColor="accent4" w:themeTint="BF" w:sz="8" w:space="0"/>
          <w:insideH w:val="nil"/>
          <w:insideV w:val="nil"/>
        </w:tcBorders>
        <w:shd w:val="clear" w:color="auto" w:fill="FFC000" w:themeFill="accent4"/>
      </w:tcPr>
    </w:tblStylePr>
    <w:tblStylePr w:type="lastRow">
      <w:pPr>
        <w:spacing w:before="0" w:after="0" w:line="240" w:lineRule="auto"/>
      </w:pPr>
      <w:rPr>
        <w:b/>
        <w:bCs/>
      </w:rPr>
      <w:tblPr/>
      <w:tcPr>
        <w:tcBorders>
          <w:top w:val="double" w:color="FFCF3F" w:themeColor="accent4" w:themeTint="BF" w:sz="6" w:space="0"/>
          <w:left w:val="single" w:color="FFCF3F" w:themeColor="accent4" w:themeTint="BF" w:sz="8" w:space="0"/>
          <w:bottom w:val="single" w:color="FFCF3F" w:themeColor="accent4" w:themeTint="BF" w:sz="8" w:space="0"/>
          <w:right w:val="single" w:color="FFCF3F" w:themeColor="accent4" w:themeTint="BF" w:sz="8" w:space="0"/>
          <w:insideH w:val="nil"/>
          <w:insideV w:val="nil"/>
        </w:tcBorders>
      </w:tcPr>
    </w:tblStylePr>
    <w:tblStylePr w:type="firstCol">
      <w:rPr>
        <w:b/>
        <w:bCs/>
      </w:rPr>
    </w:tblStylePr>
    <w:tblStylePr w:type="lastCol">
      <w:rPr>
        <w:b/>
        <w:bCs/>
      </w:rPr>
    </w:tblStylePr>
    <w:tblStylePr w:type="band1Vert">
      <w:tblPr/>
      <w:tcPr>
        <w:shd w:val="clear" w:color="auto" w:fill="FFEFBF" w:themeFill="accent4" w:themeFillTint="3F"/>
      </w:tcPr>
    </w:tblStylePr>
    <w:tblStylePr w:type="band1Horz">
      <w:tblPr/>
      <w:tcPr>
        <w:tcBorders>
          <w:insideH w:val="nil"/>
          <w:insideV w:val="nil"/>
        </w:tcBorders>
        <w:shd w:val="clear" w:color="auto" w:fill="FFEFBF" w:themeFill="accent4" w:themeFillTint="3F"/>
      </w:tcPr>
    </w:tblStylePr>
    <w:tblStylePr w:type="band2Horz">
      <w:tblPr/>
      <w:tcPr>
        <w:tcBorders>
          <w:insideH w:val="nil"/>
          <w:insideV w:val="nil"/>
        </w:tcBorders>
      </w:tcPr>
    </w:tblStylePr>
  </w:style>
  <w:style w:type="table" w:styleId="54">
    <w:name w:val="Medium Shading 1 Accent 5"/>
    <w:basedOn w:val="34"/>
    <w:autoRedefine/>
    <w:unhideWhenUsed/>
    <w:qFormat/>
    <w:uiPriority w:val="63"/>
    <w:tblPr>
      <w:tblBorders>
        <w:top w:val="single" w:color="7295D2" w:themeColor="accent5" w:themeTint="BF" w:sz="8" w:space="0"/>
        <w:left w:val="single" w:color="7295D2" w:themeColor="accent5" w:themeTint="BF" w:sz="8" w:space="0"/>
        <w:bottom w:val="single" w:color="7295D2" w:themeColor="accent5" w:themeTint="BF" w:sz="8" w:space="0"/>
        <w:right w:val="single" w:color="7295D2" w:themeColor="accent5" w:themeTint="BF" w:sz="8" w:space="0"/>
        <w:insideH w:val="single" w:color="7295D2" w:themeColor="accent5"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7295D2" w:themeColor="accent5" w:themeTint="BF" w:sz="8" w:space="0"/>
          <w:left w:val="single" w:color="7295D2" w:themeColor="accent5" w:themeTint="BF" w:sz="8" w:space="0"/>
          <w:bottom w:val="single" w:color="7295D2" w:themeColor="accent5" w:themeTint="BF" w:sz="8" w:space="0"/>
          <w:right w:val="single" w:color="7295D2" w:themeColor="accent5" w:themeTint="BF" w:sz="8" w:space="0"/>
          <w:insideH w:val="nil"/>
          <w:insideV w:val="nil"/>
        </w:tcBorders>
        <w:shd w:val="clear" w:color="auto" w:fill="4472C4" w:themeFill="accent5"/>
      </w:tcPr>
    </w:tblStylePr>
    <w:tblStylePr w:type="lastRow">
      <w:pPr>
        <w:spacing w:before="0" w:after="0" w:line="240" w:lineRule="auto"/>
      </w:pPr>
      <w:rPr>
        <w:b/>
        <w:bCs/>
      </w:rPr>
      <w:tblPr/>
      <w:tcPr>
        <w:tcBorders>
          <w:top w:val="double" w:color="7295D2" w:themeColor="accent5" w:themeTint="BF" w:sz="6" w:space="0"/>
          <w:left w:val="single" w:color="7295D2" w:themeColor="accent5" w:themeTint="BF" w:sz="8" w:space="0"/>
          <w:bottom w:val="single" w:color="7295D2" w:themeColor="accent5" w:themeTint="BF" w:sz="8" w:space="0"/>
          <w:right w:val="single" w:color="7295D2" w:themeColor="accent5" w:themeTint="BF" w:sz="8" w:space="0"/>
          <w:insideH w:val="nil"/>
          <w:insideV w:val="nil"/>
        </w:tcBorders>
      </w:tcPr>
    </w:tblStylePr>
    <w:tblStylePr w:type="firstCol">
      <w:rPr>
        <w:b/>
        <w:bCs/>
      </w:rPr>
    </w:tblStylePr>
    <w:tblStylePr w:type="lastCol">
      <w:rPr>
        <w:b/>
        <w:bCs/>
      </w:rPr>
    </w:tblStylePr>
    <w:tblStylePr w:type="band1Vert">
      <w:tblPr/>
      <w:tcPr>
        <w:shd w:val="clear" w:color="auto" w:fill="D0DCF0" w:themeFill="accent5" w:themeFillTint="3F"/>
      </w:tcPr>
    </w:tblStylePr>
    <w:tblStylePr w:type="band1Horz">
      <w:tblPr/>
      <w:tcPr>
        <w:tcBorders>
          <w:insideH w:val="nil"/>
          <w:insideV w:val="nil"/>
        </w:tcBorders>
        <w:shd w:val="clear" w:color="auto" w:fill="D0DCF0" w:themeFill="accent5" w:themeFillTint="3F"/>
      </w:tcPr>
    </w:tblStylePr>
    <w:tblStylePr w:type="band2Horz">
      <w:tblPr/>
      <w:tcPr>
        <w:tcBorders>
          <w:insideH w:val="nil"/>
          <w:insideV w:val="nil"/>
        </w:tcBorders>
      </w:tcPr>
    </w:tblStylePr>
  </w:style>
  <w:style w:type="table" w:styleId="55">
    <w:name w:val="Medium Shading 2 Accent 2"/>
    <w:basedOn w:val="34"/>
    <w:autoRedefine/>
    <w:unhideWhenUsed/>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ED7D31" w:themeFill="accent2"/>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6">
    <w:name w:val="Medium Shading 2 Accent 3"/>
    <w:basedOn w:val="34"/>
    <w:unhideWhenUsed/>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7">
    <w:name w:val="Medium Shading 2 Accent 5"/>
    <w:basedOn w:val="34"/>
    <w:unhideWhenUsed/>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8">
    <w:name w:val="Medium Grid 1 Accent 3"/>
    <w:basedOn w:val="34"/>
    <w:autoRedefine/>
    <w:unhideWhenUsed/>
    <w:qFormat/>
    <w:uiPriority w:val="67"/>
    <w:tblPr>
      <w:tbl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single" w:color="BBBBBB" w:themeColor="accent3" w:themeTint="BF" w:sz="8" w:space="0"/>
        <w:insideV w:val="single" w:color="BBBBBB" w:themeColor="accent3" w:themeTint="BF" w:sz="8" w:space="0"/>
      </w:tblBorders>
    </w:tblPr>
    <w:tcPr>
      <w:shd w:val="clear" w:color="auto" w:fill="E8E8E8" w:themeFill="accent3" w:themeFillTint="3F"/>
    </w:tcPr>
    <w:tblStylePr w:type="firstRow">
      <w:rPr>
        <w:b/>
        <w:bCs/>
      </w:rPr>
    </w:tblStylePr>
    <w:tblStylePr w:type="lastRow">
      <w:rPr>
        <w:b/>
        <w:bCs/>
      </w:rPr>
      <w:tblPr/>
      <w:tcPr>
        <w:tcBorders>
          <w:top w:val="single" w:color="BBBBBB" w:themeColor="accent3" w:themeTint="BF" w:sz="18" w:space="0"/>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59">
    <w:name w:val="Medium Grid 3 Accent 1"/>
    <w:basedOn w:val="34"/>
    <w:autoRedefine/>
    <w:unhideWhenUsed/>
    <w:qFormat/>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D6E6F4" w:themeFill="accent1"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5B9BD5" w:themeFill="accent1"/>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5B9BD5" w:themeFill="accent1"/>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5B9BD5" w:themeFill="accent1"/>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5B9BD5" w:themeFill="accent1"/>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ADCDEA" w:themeFill="accent1"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ADCDEA" w:themeFill="accent1" w:themeFillTint="7F"/>
      </w:tcPr>
    </w:tblStylePr>
  </w:style>
  <w:style w:type="table" w:styleId="60">
    <w:name w:val="Medium Grid 3 Accent 3"/>
    <w:basedOn w:val="34"/>
    <w:unhideWhenUsed/>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E8E8E8" w:themeFill="accent3"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A5A5A5" w:themeFill="accent3"/>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A5A5A5" w:themeFill="accent3"/>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A5A5A5" w:themeFill="accent3"/>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A5A5A5" w:themeFill="accent3"/>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D2D2D2" w:themeFill="accent3"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D2D2D2" w:themeFill="accent3" w:themeFillTint="7F"/>
      </w:tcPr>
    </w:tblStylePr>
  </w:style>
  <w:style w:type="table" w:styleId="61">
    <w:name w:val="Dark List Accent 3"/>
    <w:basedOn w:val="34"/>
    <w:autoRedefine/>
    <w:unhideWhenUsed/>
    <w:qFormat/>
    <w:uiPriority w:val="70"/>
    <w:rPr>
      <w:color w:val="FFFFFF" w:themeColor="background1"/>
      <w14:textFill>
        <w14:solidFill>
          <w14:schemeClr w14:val="bg1"/>
        </w14:solidFill>
      </w14:textFill>
    </w:rPr>
    <w:tblPr>
      <w:tblStyleRowBandSize w:val="1"/>
      <w:tblStyleColBandSize w:val="1"/>
    </w:tblPr>
    <w:tcPr>
      <w:shd w:val="clear" w:color="auto" w:fill="A5A5A5" w:themeFill="accent3"/>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color="FFFFFF" w:themeColor="background1" w:sz="18" w:space="0"/>
          <w:insideH w:val="nil"/>
          <w:insideV w:val="nil"/>
        </w:tcBorders>
        <w:shd w:val="clear" w:color="auto" w:fill="7B7B7B" w:themeFill="accent3" w:themeFillShade="BF"/>
      </w:tcPr>
    </w:tblStylePr>
    <w:tblStylePr w:type="lastCol">
      <w:tblPr/>
      <w:tcPr>
        <w:tcBorders>
          <w:top w:val="nil"/>
          <w:left w:val="single" w:color="FFFFFF" w:themeColor="background1" w:sz="18" w:space="0"/>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62">
    <w:name w:val="Dark List Accent 4"/>
    <w:basedOn w:val="34"/>
    <w:autoRedefine/>
    <w:unhideWhenUsed/>
    <w:qFormat/>
    <w:uiPriority w:val="70"/>
    <w:rPr>
      <w:color w:val="FFFFFF" w:themeColor="background1"/>
      <w14:textFill>
        <w14:solidFill>
          <w14:schemeClr w14:val="bg1"/>
        </w14:solidFill>
      </w14:textFill>
    </w:rPr>
    <w:tblPr>
      <w:tblStyleRowBandSize w:val="1"/>
      <w:tblStyleColBandSize w:val="1"/>
    </w:tblPr>
    <w:tcPr>
      <w:shd w:val="clear" w:color="auto" w:fill="FFC000" w:themeFill="accent4"/>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7E5F00" w:themeFill="accent4" w:themeFillShade="7F"/>
      </w:tcPr>
    </w:tblStylePr>
    <w:tblStylePr w:type="firstCol">
      <w:tblPr/>
      <w:tcPr>
        <w:tcBorders>
          <w:top w:val="nil"/>
          <w:left w:val="nil"/>
          <w:bottom w:val="nil"/>
          <w:right w:val="single" w:color="FFFFFF" w:themeColor="background1" w:sz="18" w:space="0"/>
          <w:insideH w:val="nil"/>
          <w:insideV w:val="nil"/>
        </w:tcBorders>
        <w:shd w:val="clear" w:color="auto" w:fill="BE8F00" w:themeFill="accent4" w:themeFillShade="BF"/>
      </w:tcPr>
    </w:tblStylePr>
    <w:tblStylePr w:type="lastCol">
      <w:tblPr/>
      <w:tcPr>
        <w:tcBorders>
          <w:top w:val="nil"/>
          <w:left w:val="single" w:color="FFFFFF" w:themeColor="background1" w:sz="18" w:space="0"/>
          <w:bottom w:val="nil"/>
          <w:right w:val="nil"/>
          <w:insideH w:val="nil"/>
          <w:insideV w:val="nil"/>
        </w:tcBorders>
        <w:shd w:val="clear" w:color="auto" w:fill="BE8F00" w:themeFill="accent4" w:themeFillShade="BF"/>
      </w:tcPr>
    </w:tblStylePr>
    <w:tblStylePr w:type="band1Vert">
      <w:tblPr/>
      <w:tcPr>
        <w:tcBorders>
          <w:top w:val="nil"/>
          <w:left w:val="nil"/>
          <w:bottom w:val="nil"/>
          <w:right w:val="nil"/>
          <w:insideH w:val="nil"/>
          <w:insideV w:val="nil"/>
        </w:tcBorders>
        <w:shd w:val="clear" w:color="auto" w:fill="BE8F00" w:themeFill="accent4" w:themeFillShade="BF"/>
      </w:tcPr>
    </w:tblStylePr>
    <w:tblStylePr w:type="band1Horz">
      <w:tblPr/>
      <w:tcPr>
        <w:tcBorders>
          <w:top w:val="nil"/>
          <w:left w:val="nil"/>
          <w:bottom w:val="nil"/>
          <w:right w:val="nil"/>
          <w:insideH w:val="nil"/>
          <w:insideV w:val="nil"/>
        </w:tcBorders>
        <w:shd w:val="clear" w:color="auto" w:fill="BE8F00" w:themeFill="accent4" w:themeFillShade="BF"/>
      </w:tcPr>
    </w:tblStylePr>
  </w:style>
  <w:style w:type="table" w:styleId="63">
    <w:name w:val="Dark List Accent 5"/>
    <w:basedOn w:val="34"/>
    <w:autoRedefine/>
    <w:unhideWhenUsed/>
    <w:uiPriority w:val="70"/>
    <w:rPr>
      <w:color w:val="FFFFFF" w:themeColor="background1"/>
      <w14:textFill>
        <w14:solidFill>
          <w14:schemeClr w14:val="bg1"/>
        </w14:solidFill>
      </w14:textFill>
    </w:rPr>
    <w:tblPr>
      <w:tblStyleRowBandSize w:val="1"/>
      <w:tblStyleColBandSize w:val="1"/>
    </w:tblPr>
    <w:tcPr>
      <w:shd w:val="clear" w:color="auto" w:fill="4472C4" w:themeFill="accent5"/>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1F3863" w:themeFill="accent5" w:themeFillShade="7F"/>
      </w:tcPr>
    </w:tblStylePr>
    <w:tblStylePr w:type="firstCol">
      <w:tblPr/>
      <w:tcPr>
        <w:tcBorders>
          <w:top w:val="nil"/>
          <w:left w:val="nil"/>
          <w:bottom w:val="nil"/>
          <w:right w:val="single" w:color="FFFFFF" w:themeColor="background1" w:sz="18" w:space="0"/>
          <w:insideH w:val="nil"/>
          <w:insideV w:val="nil"/>
        </w:tcBorders>
        <w:shd w:val="clear" w:color="auto" w:fill="2F5496" w:themeFill="accent5" w:themeFillShade="BF"/>
      </w:tcPr>
    </w:tblStylePr>
    <w:tblStylePr w:type="lastCol">
      <w:tblPr/>
      <w:tcPr>
        <w:tcBorders>
          <w:top w:val="nil"/>
          <w:left w:val="single" w:color="FFFFFF" w:themeColor="background1" w:sz="18" w:space="0"/>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64">
    <w:name w:val="Colorful Grid"/>
    <w:basedOn w:val="34"/>
    <w:autoRedefine/>
    <w:qFormat/>
    <w:uiPriority w:val="73"/>
    <w:rPr>
      <w:rFonts w:ascii="Calibri" w:hAnsi="Calibri" w:eastAsia="宋体" w:cs="Times New Roman"/>
      <w:color w:val="000000"/>
      <w:kern w:val="0"/>
      <w:sz w:val="20"/>
      <w:szCs w:val="20"/>
    </w:rPr>
    <w:tblPr>
      <w:tblBorders>
        <w:insideH w:val="single" w:color="FFFFFF" w:sz="4" w:space="0"/>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65">
    <w:name w:val="Colorful Grid Accent 3"/>
    <w:basedOn w:val="34"/>
    <w:autoRedefine/>
    <w:unhideWhenUsed/>
    <w:qFormat/>
    <w:uiPriority w:val="73"/>
    <w:rPr>
      <w:color w:val="000000" w:themeColor="text1"/>
      <w14:textFill>
        <w14:solidFill>
          <w14:schemeClr w14:val="tx1"/>
        </w14:solidFill>
      </w14:textFill>
    </w:rPr>
    <w:tblPr>
      <w:tblBorders>
        <w:insideH w:val="single" w:color="FFFFFF" w:themeColor="background1" w:sz="4" w:space="0"/>
      </w:tblBorders>
    </w:tblPr>
    <w:tcPr>
      <w:shd w:val="clear" w:color="auto" w:fill="ECECEC" w:themeFill="accent3" w:themeFillTint="33"/>
    </w:tcPr>
    <w:tblStylePr w:type="firstRow">
      <w:rPr>
        <w:b/>
        <w:bCs/>
      </w:rPr>
      <w:tblPr/>
      <w:tcPr>
        <w:shd w:val="clear" w:color="auto" w:fill="DADADA" w:themeFill="accent3" w:themeFillTint="66"/>
      </w:tcPr>
    </w:tblStylePr>
    <w:tblStylePr w:type="lastRow">
      <w:rPr>
        <w:b/>
        <w:bCs/>
        <w:color w:val="000000" w:themeColor="text1"/>
        <w14:textFill>
          <w14:solidFill>
            <w14:schemeClr w14:val="tx1"/>
          </w14:solidFill>
        </w14:textFill>
      </w:rPr>
      <w:tblPr/>
      <w:tcPr>
        <w:shd w:val="clear" w:color="auto" w:fill="DADADA" w:themeFill="accent3" w:themeFillTint="66"/>
      </w:tcPr>
    </w:tblStylePr>
    <w:tblStylePr w:type="firstCol">
      <w:rPr>
        <w:color w:val="FFFFFF" w:themeColor="background1"/>
        <w14:textFill>
          <w14:solidFill>
            <w14:schemeClr w14:val="bg1"/>
          </w14:solidFill>
        </w14:textFill>
      </w:rPr>
      <w:tblPr/>
      <w:tcPr>
        <w:shd w:val="clear" w:color="auto" w:fill="7B7B7B" w:themeFill="accent3" w:themeFillShade="BF"/>
      </w:tcPr>
    </w:tblStylePr>
    <w:tblStylePr w:type="lastCol">
      <w:rPr>
        <w:color w:val="FFFFFF" w:themeColor="background1"/>
        <w14:textFill>
          <w14:solidFill>
            <w14:schemeClr w14:val="bg1"/>
          </w14:solidFill>
        </w14:textFill>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66">
    <w:name w:val="Colorful Grid Accent 5"/>
    <w:basedOn w:val="34"/>
    <w:unhideWhenUsed/>
    <w:qFormat/>
    <w:uiPriority w:val="73"/>
    <w:rPr>
      <w:color w:val="000000" w:themeColor="text1"/>
      <w14:textFill>
        <w14:solidFill>
          <w14:schemeClr w14:val="tx1"/>
        </w14:solidFill>
      </w14:textFill>
    </w:rPr>
    <w:tblPr>
      <w:tblBorders>
        <w:insideH w:val="single" w:color="FFFFFF" w:themeColor="background1" w:sz="4" w:space="0"/>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14:textFill>
          <w14:solidFill>
            <w14:schemeClr w14:val="tx1"/>
          </w14:solidFill>
        </w14:textFill>
      </w:rPr>
      <w:tblPr/>
      <w:tcPr>
        <w:shd w:val="clear" w:color="auto" w:fill="B4C6E7" w:themeFill="accent5" w:themeFillTint="66"/>
      </w:tcPr>
    </w:tblStylePr>
    <w:tblStylePr w:type="firstCol">
      <w:rPr>
        <w:color w:val="FFFFFF" w:themeColor="background1"/>
        <w14:textFill>
          <w14:solidFill>
            <w14:schemeClr w14:val="bg1"/>
          </w14:solidFill>
        </w14:textFill>
      </w:rPr>
      <w:tblPr/>
      <w:tcPr>
        <w:shd w:val="clear" w:color="auto" w:fill="2F5496" w:themeFill="accent5" w:themeFillShade="BF"/>
      </w:tcPr>
    </w:tblStylePr>
    <w:tblStylePr w:type="lastCol">
      <w:rPr>
        <w:color w:val="FFFFFF" w:themeColor="background1"/>
        <w14:textFill>
          <w14:solidFill>
            <w14:schemeClr w14:val="bg1"/>
          </w14:solidFill>
        </w14:textFill>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character" w:styleId="68">
    <w:name w:val="Strong"/>
    <w:autoRedefine/>
    <w:qFormat/>
    <w:uiPriority w:val="22"/>
    <w:rPr>
      <w:b/>
      <w:bCs/>
    </w:rPr>
  </w:style>
  <w:style w:type="character" w:styleId="69">
    <w:name w:val="endnote reference"/>
    <w:basedOn w:val="67"/>
    <w:autoRedefine/>
    <w:semiHidden/>
    <w:unhideWhenUsed/>
    <w:qFormat/>
    <w:uiPriority w:val="99"/>
    <w:rPr>
      <w:vertAlign w:val="superscript"/>
    </w:rPr>
  </w:style>
  <w:style w:type="character" w:styleId="70">
    <w:name w:val="Emphasis"/>
    <w:autoRedefine/>
    <w:qFormat/>
    <w:uiPriority w:val="0"/>
    <w:rPr>
      <w:i/>
      <w:iCs/>
    </w:rPr>
  </w:style>
  <w:style w:type="character" w:styleId="71">
    <w:name w:val="Hyperlink"/>
    <w:autoRedefine/>
    <w:unhideWhenUsed/>
    <w:qFormat/>
    <w:uiPriority w:val="99"/>
    <w:rPr>
      <w:color w:val="0000FF"/>
      <w:u w:val="single"/>
    </w:rPr>
  </w:style>
  <w:style w:type="character" w:styleId="72">
    <w:name w:val="annotation reference"/>
    <w:uiPriority w:val="0"/>
    <w:rPr>
      <w:sz w:val="21"/>
      <w:szCs w:val="21"/>
    </w:rPr>
  </w:style>
  <w:style w:type="character" w:customStyle="1" w:styleId="73">
    <w:name w:val="页眉 字符"/>
    <w:basedOn w:val="67"/>
    <w:link w:val="22"/>
    <w:autoRedefine/>
    <w:qFormat/>
    <w:uiPriority w:val="99"/>
    <w:rPr>
      <w:sz w:val="18"/>
      <w:szCs w:val="18"/>
    </w:rPr>
  </w:style>
  <w:style w:type="character" w:customStyle="1" w:styleId="74">
    <w:name w:val="页脚 字符"/>
    <w:basedOn w:val="67"/>
    <w:link w:val="21"/>
    <w:autoRedefine/>
    <w:qFormat/>
    <w:uiPriority w:val="99"/>
    <w:rPr>
      <w:sz w:val="18"/>
      <w:szCs w:val="18"/>
    </w:rPr>
  </w:style>
  <w:style w:type="character" w:customStyle="1" w:styleId="75">
    <w:name w:val="标题 1 字符"/>
    <w:basedOn w:val="67"/>
    <w:autoRedefine/>
    <w:qFormat/>
    <w:uiPriority w:val="9"/>
    <w:rPr>
      <w:rFonts w:ascii="Times New Roman" w:hAnsi="Times New Roman" w:eastAsia="Times New Roman" w:cs="Times New Roman"/>
      <w:b/>
      <w:bCs/>
      <w:kern w:val="44"/>
      <w:sz w:val="44"/>
      <w:szCs w:val="44"/>
    </w:rPr>
  </w:style>
  <w:style w:type="character" w:customStyle="1" w:styleId="76">
    <w:name w:val="标题 2 字符"/>
    <w:basedOn w:val="67"/>
    <w:autoRedefine/>
    <w:qFormat/>
    <w:uiPriority w:val="9"/>
    <w:rPr>
      <w:rFonts w:asciiTheme="majorHAnsi" w:hAnsiTheme="majorHAnsi" w:eastAsiaTheme="majorEastAsia" w:cstheme="majorBidi"/>
      <w:b/>
      <w:bCs/>
      <w:sz w:val="32"/>
      <w:szCs w:val="32"/>
    </w:rPr>
  </w:style>
  <w:style w:type="character" w:customStyle="1" w:styleId="77">
    <w:name w:val="标题 3 字符"/>
    <w:basedOn w:val="67"/>
    <w:autoRedefine/>
    <w:qFormat/>
    <w:uiPriority w:val="9"/>
    <w:rPr>
      <w:rFonts w:ascii="Times New Roman" w:hAnsi="Times New Roman" w:eastAsia="Times New Roman" w:cs="Times New Roman"/>
      <w:b/>
      <w:bCs/>
      <w:sz w:val="32"/>
      <w:szCs w:val="32"/>
    </w:rPr>
  </w:style>
  <w:style w:type="character" w:customStyle="1" w:styleId="78">
    <w:name w:val="标题 4 字符"/>
    <w:basedOn w:val="67"/>
    <w:autoRedefine/>
    <w:qFormat/>
    <w:uiPriority w:val="9"/>
    <w:rPr>
      <w:rFonts w:asciiTheme="majorHAnsi" w:hAnsiTheme="majorHAnsi" w:eastAsiaTheme="majorEastAsia" w:cstheme="majorBidi"/>
      <w:b/>
      <w:bCs/>
      <w:sz w:val="28"/>
      <w:szCs w:val="28"/>
    </w:rPr>
  </w:style>
  <w:style w:type="character" w:customStyle="1" w:styleId="79">
    <w:name w:val="标题 5 字符"/>
    <w:basedOn w:val="67"/>
    <w:autoRedefine/>
    <w:uiPriority w:val="9"/>
    <w:rPr>
      <w:rFonts w:ascii="Times New Roman" w:hAnsi="Times New Roman" w:eastAsia="Times New Roman" w:cs="Times New Roman"/>
      <w:b/>
      <w:bCs/>
      <w:sz w:val="28"/>
      <w:szCs w:val="28"/>
    </w:rPr>
  </w:style>
  <w:style w:type="character" w:customStyle="1" w:styleId="80">
    <w:name w:val="标题 6 字符"/>
    <w:basedOn w:val="67"/>
    <w:uiPriority w:val="9"/>
    <w:rPr>
      <w:rFonts w:asciiTheme="majorHAnsi" w:hAnsiTheme="majorHAnsi" w:eastAsiaTheme="majorEastAsia" w:cstheme="majorBidi"/>
      <w:b/>
      <w:bCs/>
      <w:sz w:val="24"/>
      <w:szCs w:val="24"/>
    </w:rPr>
  </w:style>
  <w:style w:type="character" w:customStyle="1" w:styleId="81">
    <w:name w:val="标题 1 字符1"/>
    <w:link w:val="2"/>
    <w:autoRedefine/>
    <w:qFormat/>
    <w:uiPriority w:val="9"/>
    <w:rPr>
      <w:rFonts w:ascii="Frutiger" w:hAnsi="Frutiger" w:eastAsia="宋体" w:cs="Calibri"/>
      <w:b/>
      <w:color w:val="FF8200"/>
      <w:kern w:val="0"/>
      <w:sz w:val="44"/>
      <w:szCs w:val="32"/>
      <w:lang w:val="en-IN" w:eastAsia="en-US"/>
    </w:rPr>
  </w:style>
  <w:style w:type="character" w:customStyle="1" w:styleId="82">
    <w:name w:val="标题 2 字符1"/>
    <w:link w:val="3"/>
    <w:autoRedefine/>
    <w:qFormat/>
    <w:uiPriority w:val="9"/>
    <w:rPr>
      <w:rFonts w:ascii="Frutiger" w:hAnsi="Frutiger" w:eastAsia="宋体" w:cs="Calibri"/>
      <w:b/>
      <w:bCs/>
      <w:color w:val="0D0D0D" w:themeColor="text1" w:themeTint="F2"/>
      <w:sz w:val="32"/>
      <w:szCs w:val="32"/>
      <w14:textFill>
        <w14:solidFill>
          <w14:schemeClr w14:val="tx1">
            <w14:lumMod w14:val="95000"/>
            <w14:lumOff w14:val="5000"/>
          </w14:schemeClr>
        </w14:solidFill>
      </w14:textFill>
    </w:rPr>
  </w:style>
  <w:style w:type="character" w:customStyle="1" w:styleId="83">
    <w:name w:val="标题 3 字符1"/>
    <w:link w:val="4"/>
    <w:autoRedefine/>
    <w:qFormat/>
    <w:uiPriority w:val="9"/>
    <w:rPr>
      <w:rFonts w:ascii="Frutiger" w:hAnsi="Frutiger" w:eastAsia="宋体" w:cs="Calibri"/>
      <w:b/>
      <w:bCs/>
      <w:color w:val="0D0D0D" w:themeColor="text1" w:themeTint="F2"/>
      <w:sz w:val="28"/>
      <w:szCs w:val="32"/>
      <w14:textFill>
        <w14:solidFill>
          <w14:schemeClr w14:val="tx1">
            <w14:lumMod w14:val="95000"/>
            <w14:lumOff w14:val="5000"/>
          </w14:schemeClr>
        </w14:solidFill>
      </w14:textFill>
    </w:rPr>
  </w:style>
  <w:style w:type="character" w:customStyle="1" w:styleId="84">
    <w:name w:val="标题 4 字符1"/>
    <w:link w:val="5"/>
    <w:uiPriority w:val="9"/>
    <w:rPr>
      <w:rFonts w:ascii="Frutiger" w:hAnsi="Frutiger" w:eastAsia="宋体"/>
      <w:b/>
      <w:bCs/>
      <w:sz w:val="26"/>
      <w:szCs w:val="26"/>
      <w:lang w:val="zh-CN" w:eastAsia="zh-CN"/>
    </w:rPr>
  </w:style>
  <w:style w:type="character" w:customStyle="1" w:styleId="85">
    <w:name w:val="标题 5 字符1"/>
    <w:link w:val="6"/>
    <w:uiPriority w:val="9"/>
    <w:rPr>
      <w:rFonts w:ascii="Frutiger" w:hAnsi="Frutiger" w:eastAsia="宋体"/>
      <w:b/>
      <w:bCs/>
      <w:sz w:val="28"/>
      <w:szCs w:val="28"/>
    </w:rPr>
  </w:style>
  <w:style w:type="character" w:customStyle="1" w:styleId="86">
    <w:name w:val="标题 6 字符1"/>
    <w:link w:val="7"/>
    <w:autoRedefine/>
    <w:qFormat/>
    <w:uiPriority w:val="9"/>
    <w:rPr>
      <w:rFonts w:ascii="Calibri" w:hAnsi="Calibri" w:eastAsiaTheme="majorEastAsia"/>
      <w:b/>
      <w:bCs/>
      <w:color w:val="44546A" w:themeColor="text2"/>
      <w:sz w:val="24"/>
      <w14:textFill>
        <w14:solidFill>
          <w14:schemeClr w14:val="tx2"/>
        </w14:solidFill>
      </w14:textFill>
    </w:rPr>
  </w:style>
  <w:style w:type="table" w:customStyle="1" w:styleId="87">
    <w:name w:val="Table Normal"/>
    <w:autoRedefine/>
    <w:semiHidden/>
    <w:unhideWhenUsed/>
    <w:qFormat/>
    <w:uiPriority w:val="2"/>
    <w:pPr>
      <w:widowControl w:val="0"/>
    </w:pPr>
    <w:rPr>
      <w:rFonts w:ascii="Calibri" w:hAnsi="Calibri" w:eastAsia="宋体" w:cs="Times New Roman"/>
      <w:sz w:val="22"/>
      <w:lang w:eastAsia="en-US"/>
    </w:rPr>
    <w:tblPr>
      <w:tblCellMar>
        <w:top w:w="0" w:type="dxa"/>
        <w:left w:w="0" w:type="dxa"/>
        <w:bottom w:w="0" w:type="dxa"/>
        <w:right w:w="0" w:type="dxa"/>
      </w:tblCellMar>
    </w:tblPr>
  </w:style>
  <w:style w:type="paragraph" w:customStyle="1" w:styleId="88">
    <w:name w:val="样式 加粗 白色 左侧:  0 厘米 悬挂缩进: 4.2 字符"/>
    <w:basedOn w:val="1"/>
    <w:next w:val="16"/>
    <w:autoRedefine/>
    <w:qFormat/>
    <w:uiPriority w:val="0"/>
    <w:pPr>
      <w:ind w:left="420" w:hanging="420"/>
    </w:pPr>
    <w:rPr>
      <w:rFonts w:cs="宋体"/>
      <w:b/>
      <w:bCs/>
      <w:color w:val="FFFFFF"/>
      <w:szCs w:val="20"/>
    </w:rPr>
  </w:style>
  <w:style w:type="character" w:customStyle="1" w:styleId="89">
    <w:name w:val="页眉 Char"/>
    <w:autoRedefine/>
    <w:qFormat/>
    <w:uiPriority w:val="0"/>
    <w:rPr>
      <w:rFonts w:ascii="Arial Unicode MS" w:hAnsi="Arial Unicode MS" w:eastAsia="微软雅黑"/>
      <w:kern w:val="2"/>
      <w:sz w:val="18"/>
      <w:szCs w:val="22"/>
    </w:rPr>
  </w:style>
  <w:style w:type="character" w:customStyle="1" w:styleId="90">
    <w:name w:val="页脚 Char"/>
    <w:autoRedefine/>
    <w:qFormat/>
    <w:uiPriority w:val="99"/>
    <w:rPr>
      <w:rFonts w:ascii="Arial Unicode MS" w:hAnsi="Arial Unicode MS" w:eastAsia="微软雅黑"/>
      <w:kern w:val="2"/>
      <w:sz w:val="18"/>
      <w:szCs w:val="22"/>
    </w:rPr>
  </w:style>
  <w:style w:type="character" w:customStyle="1" w:styleId="91">
    <w:name w:val="文档结构图 字符1"/>
    <w:link w:val="11"/>
    <w:autoRedefine/>
    <w:qFormat/>
    <w:uiPriority w:val="0"/>
    <w:rPr>
      <w:rFonts w:eastAsia="Times New Roman"/>
      <w:szCs w:val="21"/>
      <w:shd w:val="clear" w:color="auto" w:fill="000080"/>
    </w:rPr>
  </w:style>
  <w:style w:type="character" w:customStyle="1" w:styleId="92">
    <w:name w:val="文档结构图 字符"/>
    <w:basedOn w:val="67"/>
    <w:autoRedefine/>
    <w:qFormat/>
    <w:uiPriority w:val="99"/>
    <w:rPr>
      <w:rFonts w:ascii="Microsoft YaHei UI" w:hAnsi="Times New Roman" w:eastAsia="Microsoft YaHei UI" w:cs="Times New Roman"/>
      <w:sz w:val="18"/>
      <w:szCs w:val="18"/>
    </w:rPr>
  </w:style>
  <w:style w:type="character" w:customStyle="1" w:styleId="93">
    <w:name w:val="文档结构图 Char1"/>
    <w:autoRedefine/>
    <w:qFormat/>
    <w:uiPriority w:val="99"/>
    <w:rPr>
      <w:rFonts w:ascii="宋体" w:hAnsi="Arial Unicode MS"/>
      <w:kern w:val="2"/>
      <w:sz w:val="18"/>
      <w:szCs w:val="18"/>
    </w:rPr>
  </w:style>
  <w:style w:type="character" w:customStyle="1" w:styleId="94">
    <w:name w:val="纯文本 字符"/>
    <w:basedOn w:val="67"/>
    <w:autoRedefine/>
    <w:qFormat/>
    <w:uiPriority w:val="99"/>
    <w:rPr>
      <w:rFonts w:hAnsi="Courier New" w:cs="Courier New" w:asciiTheme="minorEastAsia"/>
      <w:szCs w:val="21"/>
    </w:rPr>
  </w:style>
  <w:style w:type="paragraph" w:customStyle="1" w:styleId="95">
    <w:name w:val="_Style 48"/>
    <w:uiPriority w:val="63"/>
    <w:rPr>
      <w:rFonts w:ascii="Calibri" w:hAnsi="Calibri" w:eastAsia="宋体" w:cs="Times New Roman"/>
      <w:kern w:val="2"/>
      <w:sz w:val="21"/>
      <w:szCs w:val="21"/>
      <w:lang w:val="en-US" w:eastAsia="zh-CN" w:bidi="ar-SA"/>
    </w:rPr>
  </w:style>
  <w:style w:type="paragraph" w:customStyle="1" w:styleId="96">
    <w:name w:val="TOC Heading"/>
    <w:basedOn w:val="2"/>
    <w:next w:val="1"/>
    <w:unhideWhenUsed/>
    <w:qFormat/>
    <w:uiPriority w:val="39"/>
    <w:pPr>
      <w:spacing w:before="480" w:after="0" w:line="276" w:lineRule="auto"/>
      <w:jc w:val="left"/>
      <w:outlineLvl w:val="9"/>
    </w:pPr>
    <w:rPr>
      <w:rFonts w:ascii="Cambria" w:hAnsi="Cambria" w:cs="Times New Roman"/>
      <w:color w:val="365F91"/>
      <w:sz w:val="28"/>
      <w:szCs w:val="28"/>
    </w:rPr>
  </w:style>
  <w:style w:type="character" w:customStyle="1" w:styleId="97">
    <w:name w:val="标题 字符"/>
    <w:basedOn w:val="67"/>
    <w:uiPriority w:val="10"/>
    <w:rPr>
      <w:rFonts w:asciiTheme="majorHAnsi" w:hAnsiTheme="majorHAnsi" w:eastAsiaTheme="majorEastAsia" w:cstheme="majorBidi"/>
      <w:b/>
      <w:bCs/>
      <w:sz w:val="32"/>
      <w:szCs w:val="32"/>
    </w:rPr>
  </w:style>
  <w:style w:type="character" w:customStyle="1" w:styleId="98">
    <w:name w:val="标题 字符1"/>
    <w:link w:val="32"/>
    <w:autoRedefine/>
    <w:qFormat/>
    <w:uiPriority w:val="10"/>
    <w:rPr>
      <w:rFonts w:ascii="Cambria" w:hAnsi="Cambria" w:eastAsia="宋体" w:cs="Times New Roman"/>
      <w:b/>
      <w:bCs/>
      <w:sz w:val="32"/>
      <w:szCs w:val="32"/>
    </w:rPr>
  </w:style>
  <w:style w:type="paragraph" w:customStyle="1" w:styleId="99">
    <w:name w:val="Revision"/>
    <w:autoRedefine/>
    <w:hidden/>
    <w:semiHidden/>
    <w:qFormat/>
    <w:uiPriority w:val="99"/>
    <w:rPr>
      <w:rFonts w:ascii="Times New Roman" w:hAnsi="Times New Roman" w:eastAsia="宋体" w:cs="Times New Roman"/>
      <w:kern w:val="2"/>
      <w:sz w:val="21"/>
      <w:szCs w:val="24"/>
      <w:lang w:val="en-US" w:eastAsia="zh-CN" w:bidi="ar-SA"/>
    </w:rPr>
  </w:style>
  <w:style w:type="character" w:customStyle="1" w:styleId="100">
    <w:name w:val="副标题 字符"/>
    <w:basedOn w:val="67"/>
    <w:autoRedefine/>
    <w:qFormat/>
    <w:uiPriority w:val="11"/>
    <w:rPr>
      <w:b/>
      <w:bCs/>
      <w:kern w:val="28"/>
      <w:sz w:val="32"/>
      <w:szCs w:val="32"/>
    </w:rPr>
  </w:style>
  <w:style w:type="character" w:customStyle="1" w:styleId="101">
    <w:name w:val="副标题 字符1"/>
    <w:link w:val="26"/>
    <w:autoRedefine/>
    <w:qFormat/>
    <w:uiPriority w:val="11"/>
    <w:rPr>
      <w:rFonts w:ascii="Cambria" w:hAnsi="Cambria" w:eastAsia="宋体" w:cs="Times New Roman"/>
      <w:b/>
      <w:bCs/>
      <w:kern w:val="28"/>
      <w:sz w:val="32"/>
      <w:szCs w:val="32"/>
    </w:rPr>
  </w:style>
  <w:style w:type="character" w:customStyle="1" w:styleId="102">
    <w:name w:val="@他1"/>
    <w:autoRedefine/>
    <w:semiHidden/>
    <w:unhideWhenUsed/>
    <w:qFormat/>
    <w:uiPriority w:val="99"/>
    <w:rPr>
      <w:color w:val="2B579A"/>
      <w:shd w:val="clear" w:color="auto" w:fill="E6E6E6"/>
    </w:rPr>
  </w:style>
  <w:style w:type="character" w:customStyle="1" w:styleId="103">
    <w:name w:val="批注框文本 字符"/>
    <w:basedOn w:val="67"/>
    <w:autoRedefine/>
    <w:qFormat/>
    <w:uiPriority w:val="99"/>
    <w:rPr>
      <w:rFonts w:ascii="Times New Roman" w:hAnsi="Times New Roman" w:eastAsia="Times New Roman" w:cs="Times New Roman"/>
      <w:sz w:val="18"/>
      <w:szCs w:val="18"/>
    </w:rPr>
  </w:style>
  <w:style w:type="character" w:customStyle="1" w:styleId="104">
    <w:name w:val="批注框文本 字符1"/>
    <w:link w:val="20"/>
    <w:autoRedefine/>
    <w:qFormat/>
    <w:uiPriority w:val="99"/>
    <w:rPr>
      <w:rFonts w:ascii="Arial" w:hAnsi="Arial" w:eastAsia="Times New Roman" w:cs="Arial"/>
      <w:kern w:val="0"/>
      <w:sz w:val="18"/>
      <w:szCs w:val="18"/>
      <w:lang w:eastAsia="en-US"/>
    </w:rPr>
  </w:style>
  <w:style w:type="table" w:customStyle="1" w:styleId="105">
    <w:name w:val="网格表 4 - 着色 11"/>
    <w:basedOn w:val="34"/>
    <w:autoRedefine/>
    <w:qFormat/>
    <w:uiPriority w:val="49"/>
    <w:pPr>
      <w:widowControl w:val="0"/>
      <w:jc w:val="both"/>
    </w:pPr>
    <w:rPr>
      <w:rFonts w:ascii="Times New Roman" w:hAnsi="Times New Roman" w:eastAsia="宋体" w:cs="Times New Roman"/>
      <w:sz w:val="20"/>
    </w:rPr>
    <w:tblPr>
      <w:tblBorders>
        <w:top w:val="single" w:color="95B3D7" w:sz="4" w:space="0"/>
        <w:left w:val="single" w:color="95B3D7" w:sz="4" w:space="0"/>
        <w:bottom w:val="single" w:color="95B3D7" w:sz="4" w:space="0"/>
        <w:right w:val="single" w:color="95B3D7" w:sz="4" w:space="0"/>
        <w:insideH w:val="single" w:color="95B3D7" w:sz="4" w:space="0"/>
        <w:insideV w:val="single" w:color="95B3D7" w:sz="4" w:space="0"/>
      </w:tblBorders>
    </w:tblPr>
    <w:tblStylePr w:type="firstRow">
      <w:rPr>
        <w:b/>
        <w:bCs/>
        <w:color w:val="FFFFFF"/>
      </w:rPr>
      <w:tcPr>
        <w:tcBorders>
          <w:top w:val="single" w:color="4F81BD" w:sz="4" w:space="0"/>
          <w:left w:val="single" w:color="4F81BD" w:sz="4" w:space="0"/>
          <w:bottom w:val="single" w:color="4F81BD" w:sz="4" w:space="0"/>
          <w:right w:val="single" w:color="4F81BD" w:sz="4" w:space="0"/>
          <w:insideH w:val="nil"/>
          <w:insideV w:val="nil"/>
        </w:tcBorders>
        <w:shd w:val="clear" w:color="auto" w:fill="4F81BD"/>
      </w:tcPr>
    </w:tblStylePr>
    <w:tblStylePr w:type="lastRow">
      <w:rPr>
        <w:b/>
        <w:bCs/>
      </w:rPr>
      <w:tcPr>
        <w:tcBorders>
          <w:top w:val="double" w:color="4F81BD" w:sz="4" w:space="0"/>
        </w:tcBorders>
      </w:tcPr>
    </w:tblStylePr>
    <w:tblStylePr w:type="firstCol">
      <w:rPr>
        <w:b/>
        <w:bCs/>
      </w:rPr>
    </w:tblStylePr>
    <w:tblStylePr w:type="lastCol">
      <w:rPr>
        <w:b/>
        <w:bCs/>
      </w:rPr>
    </w:tblStylePr>
    <w:tblStylePr w:type="band1Vert">
      <w:tcPr>
        <w:shd w:val="clear" w:color="auto" w:fill="DBE5F1"/>
      </w:tcPr>
    </w:tblStylePr>
    <w:tblStylePr w:type="band1Horz">
      <w:tcPr>
        <w:shd w:val="clear" w:color="auto" w:fill="DBE5F1"/>
      </w:tcPr>
    </w:tblStylePr>
  </w:style>
  <w:style w:type="paragraph" w:customStyle="1" w:styleId="106">
    <w:name w:val="样式 标题 1 + 左侧:  2 字符"/>
    <w:basedOn w:val="2"/>
    <w:next w:val="2"/>
    <w:autoRedefine/>
    <w:qFormat/>
    <w:uiPriority w:val="0"/>
    <w:rPr>
      <w:rFonts w:cs="宋体"/>
      <w:szCs w:val="20"/>
    </w:rPr>
  </w:style>
  <w:style w:type="paragraph" w:customStyle="1" w:styleId="107">
    <w:name w:val="样式 标题 5 + (中文) 宋体"/>
    <w:basedOn w:val="6"/>
    <w:autoRedefine/>
    <w:qFormat/>
    <w:uiPriority w:val="0"/>
  </w:style>
  <w:style w:type="character" w:customStyle="1" w:styleId="108">
    <w:name w:val="纯文本 字符1"/>
    <w:link w:val="16"/>
    <w:autoRedefine/>
    <w:qFormat/>
    <w:uiPriority w:val="0"/>
    <w:rPr>
      <w:rFonts w:ascii="宋体" w:hAnsi="Courier New" w:eastAsia="Times New Roman" w:cs="Courier New"/>
      <w:szCs w:val="21"/>
    </w:rPr>
  </w:style>
  <w:style w:type="table" w:customStyle="1" w:styleId="109">
    <w:name w:val="网格表 4 - 着色 12"/>
    <w:basedOn w:val="34"/>
    <w:autoRedefine/>
    <w:qFormat/>
    <w:uiPriority w:val="49"/>
    <w:pPr>
      <w:widowControl w:val="0"/>
    </w:pPr>
    <w:rPr>
      <w:rFonts w:ascii="Calibri" w:hAnsi="Calibri" w:eastAsia="宋体" w:cs="Times New Roman"/>
      <w:kern w:val="0"/>
      <w:sz w:val="22"/>
      <w:lang w:eastAsia="en-US"/>
    </w:rPr>
    <w:tblPr>
      <w:tblBorders>
        <w:top w:val="single" w:color="95B3D7" w:sz="4" w:space="0"/>
        <w:left w:val="single" w:color="95B3D7" w:sz="4" w:space="0"/>
        <w:bottom w:val="single" w:color="95B3D7" w:sz="4" w:space="0"/>
        <w:right w:val="single" w:color="95B3D7" w:sz="4" w:space="0"/>
        <w:insideH w:val="single" w:color="95B3D7" w:sz="4" w:space="0"/>
        <w:insideV w:val="single" w:color="95B3D7" w:sz="4" w:space="0"/>
      </w:tblBorders>
    </w:tblPr>
    <w:tblStylePr w:type="firstRow">
      <w:rPr>
        <w:b/>
        <w:bCs/>
        <w:color w:val="FFFFFF"/>
      </w:rPr>
      <w:tcPr>
        <w:tcBorders>
          <w:top w:val="single" w:color="4F81BD" w:sz="4" w:space="0"/>
          <w:left w:val="single" w:color="4F81BD" w:sz="4" w:space="0"/>
          <w:bottom w:val="single" w:color="4F81BD" w:sz="4" w:space="0"/>
          <w:right w:val="single" w:color="4F81BD" w:sz="4" w:space="0"/>
          <w:insideH w:val="nil"/>
          <w:insideV w:val="nil"/>
        </w:tcBorders>
        <w:shd w:val="clear" w:color="auto" w:fill="4F81BD"/>
      </w:tcPr>
    </w:tblStylePr>
    <w:tblStylePr w:type="lastRow">
      <w:rPr>
        <w:b/>
        <w:bCs/>
      </w:rPr>
      <w:tcPr>
        <w:tcBorders>
          <w:top w:val="double" w:color="4F81BD" w:sz="4" w:space="0"/>
        </w:tcBorders>
      </w:tcPr>
    </w:tblStylePr>
    <w:tblStylePr w:type="firstCol">
      <w:rPr>
        <w:b/>
        <w:bCs/>
      </w:rPr>
    </w:tblStylePr>
    <w:tblStylePr w:type="lastCol">
      <w:rPr>
        <w:b/>
        <w:bCs/>
      </w:rPr>
    </w:tblStylePr>
    <w:tblStylePr w:type="band1Vert">
      <w:tcPr>
        <w:shd w:val="clear" w:color="auto" w:fill="DBE5F1"/>
      </w:tcPr>
    </w:tblStylePr>
    <w:tblStylePr w:type="band1Horz">
      <w:tcPr>
        <w:shd w:val="clear" w:color="auto" w:fill="DBE5F1"/>
      </w:tcPr>
    </w:tblStylePr>
  </w:style>
  <w:style w:type="table" w:customStyle="1" w:styleId="110">
    <w:name w:val="网格表 5 深色 - 着色 11"/>
    <w:basedOn w:val="34"/>
    <w:uiPriority w:val="50"/>
    <w:pPr>
      <w:widowControl w:val="0"/>
    </w:pPr>
    <w:rPr>
      <w:rFonts w:ascii="Calibri" w:hAnsi="Calibri" w:eastAsia="宋体" w:cs="Times New Roman"/>
      <w:kern w:val="0"/>
      <w:sz w:val="22"/>
      <w:lang w:eastAsia="en-US"/>
    </w:rPr>
    <w:tblPr>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Pr>
    <w:tcPr>
      <w:shd w:val="clear" w:color="auto" w:fill="DBE5F1"/>
    </w:tcPr>
    <w:tblStylePr w:type="firstRow">
      <w:rPr>
        <w:b/>
        <w:bCs/>
        <w:color w:val="FFFFFF"/>
      </w:rPr>
      <w:tcPr>
        <w:tcBorders>
          <w:top w:val="single" w:color="FFFFFF" w:sz="4" w:space="0"/>
          <w:left w:val="single" w:color="FFFFFF" w:sz="4" w:space="0"/>
          <w:right w:val="single" w:color="FFFFFF" w:sz="4" w:space="0"/>
          <w:insideH w:val="nil"/>
          <w:insideV w:val="nil"/>
        </w:tcBorders>
        <w:shd w:val="clear" w:color="auto" w:fill="4F81BD"/>
      </w:tcPr>
    </w:tblStylePr>
    <w:tblStylePr w:type="lastRow">
      <w:rPr>
        <w:b/>
        <w:bCs/>
        <w:color w:val="FFFFFF"/>
      </w:rPr>
      <w:tcPr>
        <w:tcBorders>
          <w:left w:val="single" w:color="FFFFFF" w:sz="4" w:space="0"/>
          <w:bottom w:val="single" w:color="FFFFFF" w:sz="4" w:space="0"/>
          <w:right w:val="single" w:color="FFFFFF" w:sz="4" w:space="0"/>
          <w:insideH w:val="nil"/>
          <w:insideV w:val="nil"/>
        </w:tcBorders>
        <w:shd w:val="clear" w:color="auto" w:fill="4F81BD"/>
      </w:tcPr>
    </w:tblStylePr>
    <w:tblStylePr w:type="firstCol">
      <w:rPr>
        <w:b/>
        <w:bCs/>
        <w:color w:val="FFFFFF"/>
      </w:rPr>
      <w:tcPr>
        <w:tcBorders>
          <w:top w:val="single" w:color="FFFFFF" w:sz="4" w:space="0"/>
          <w:left w:val="single" w:color="FFFFFF" w:sz="4" w:space="0"/>
          <w:bottom w:val="single" w:color="FFFFFF" w:sz="4" w:space="0"/>
          <w:insideV w:val="nil"/>
        </w:tcBorders>
        <w:shd w:val="clear" w:color="auto" w:fill="4F81BD"/>
      </w:tcPr>
    </w:tblStylePr>
    <w:tblStylePr w:type="lastCol">
      <w:rPr>
        <w:b/>
        <w:bCs/>
        <w:color w:val="FFFFFF"/>
      </w:rPr>
      <w:tcPr>
        <w:tcBorders>
          <w:top w:val="single" w:color="FFFFFF" w:sz="4" w:space="0"/>
          <w:bottom w:val="single" w:color="FFFFFF" w:sz="4" w:space="0"/>
          <w:right w:val="single" w:color="FFFFFF" w:sz="4" w:space="0"/>
          <w:insideV w:val="nil"/>
        </w:tcBorders>
        <w:shd w:val="clear" w:color="auto" w:fill="4F81BD"/>
      </w:tcPr>
    </w:tblStylePr>
    <w:tblStylePr w:type="band1Vert">
      <w:tcPr>
        <w:shd w:val="clear" w:color="auto" w:fill="B8CCE4"/>
      </w:tcPr>
    </w:tblStylePr>
    <w:tblStylePr w:type="band1Horz">
      <w:tcPr>
        <w:shd w:val="clear" w:color="auto" w:fill="B8CCE4"/>
      </w:tcPr>
    </w:tblStylePr>
  </w:style>
  <w:style w:type="character" w:customStyle="1" w:styleId="111">
    <w:name w:val="正文文本 字符"/>
    <w:basedOn w:val="67"/>
    <w:uiPriority w:val="99"/>
    <w:rPr>
      <w:rFonts w:ascii="Times New Roman" w:hAnsi="Times New Roman" w:eastAsia="Times New Roman" w:cs="Times New Roman"/>
      <w:szCs w:val="21"/>
    </w:rPr>
  </w:style>
  <w:style w:type="character" w:customStyle="1" w:styleId="112">
    <w:name w:val="正文文本 字符1"/>
    <w:link w:val="13"/>
    <w:autoRedefine/>
    <w:qFormat/>
    <w:uiPriority w:val="1"/>
    <w:rPr>
      <w:rFonts w:ascii="Arial" w:hAnsi="Arial" w:eastAsia="Arial" w:cs="Arial"/>
      <w:kern w:val="0"/>
      <w:sz w:val="53"/>
      <w:szCs w:val="53"/>
      <w:lang w:eastAsia="en-US"/>
    </w:rPr>
  </w:style>
  <w:style w:type="paragraph" w:styleId="113">
    <w:name w:val="List Paragraph"/>
    <w:basedOn w:val="1"/>
    <w:link w:val="147"/>
    <w:qFormat/>
    <w:uiPriority w:val="1"/>
    <w:pPr>
      <w:jc w:val="left"/>
    </w:pPr>
    <w:rPr>
      <w:rFonts w:eastAsia="Arial" w:cs="Arial"/>
      <w:kern w:val="0"/>
      <w:szCs w:val="22"/>
      <w:lang w:eastAsia="en-US"/>
    </w:rPr>
  </w:style>
  <w:style w:type="paragraph" w:customStyle="1" w:styleId="114">
    <w:name w:val="Table Paragraph"/>
    <w:basedOn w:val="1"/>
    <w:qFormat/>
    <w:uiPriority w:val="1"/>
    <w:pPr>
      <w:jc w:val="left"/>
    </w:pPr>
    <w:rPr>
      <w:rFonts w:eastAsia="Arial" w:cs="Arial"/>
      <w:kern w:val="0"/>
      <w:szCs w:val="22"/>
      <w:lang w:eastAsia="en-US"/>
    </w:rPr>
  </w:style>
  <w:style w:type="character" w:customStyle="1" w:styleId="115">
    <w:name w:val="批注文字 字符"/>
    <w:basedOn w:val="67"/>
    <w:autoRedefine/>
    <w:qFormat/>
    <w:uiPriority w:val="99"/>
    <w:rPr>
      <w:rFonts w:ascii="Times New Roman" w:hAnsi="Times New Roman" w:eastAsia="Times New Roman" w:cs="Times New Roman"/>
      <w:szCs w:val="21"/>
    </w:rPr>
  </w:style>
  <w:style w:type="character" w:customStyle="1" w:styleId="116">
    <w:name w:val="批注文字 字符1"/>
    <w:link w:val="12"/>
    <w:uiPriority w:val="0"/>
    <w:rPr>
      <w:rFonts w:ascii="Times New Roman" w:hAnsi="Times New Roman" w:eastAsia="Times New Roman" w:cs="Times New Roman"/>
      <w:szCs w:val="21"/>
    </w:rPr>
  </w:style>
  <w:style w:type="character" w:customStyle="1" w:styleId="117">
    <w:name w:val="批注主题 字符"/>
    <w:basedOn w:val="115"/>
    <w:autoRedefine/>
    <w:qFormat/>
    <w:uiPriority w:val="99"/>
    <w:rPr>
      <w:rFonts w:ascii="Times New Roman" w:hAnsi="Times New Roman" w:eastAsia="Times New Roman" w:cs="Times New Roman"/>
      <w:b/>
      <w:bCs/>
      <w:szCs w:val="21"/>
    </w:rPr>
  </w:style>
  <w:style w:type="character" w:customStyle="1" w:styleId="118">
    <w:name w:val="批注主题 字符1"/>
    <w:link w:val="33"/>
    <w:autoRedefine/>
    <w:qFormat/>
    <w:uiPriority w:val="0"/>
    <w:rPr>
      <w:rFonts w:ascii="Times New Roman" w:hAnsi="Times New Roman" w:eastAsia="Times New Roman" w:cs="Times New Roman"/>
      <w:b/>
      <w:bCs/>
      <w:szCs w:val="21"/>
    </w:rPr>
  </w:style>
  <w:style w:type="character" w:customStyle="1" w:styleId="119">
    <w:name w:val="日期 字符"/>
    <w:basedOn w:val="67"/>
    <w:autoRedefine/>
    <w:qFormat/>
    <w:uiPriority w:val="99"/>
    <w:rPr>
      <w:rFonts w:ascii="Times New Roman" w:hAnsi="Times New Roman" w:eastAsia="Times New Roman" w:cs="Times New Roman"/>
      <w:szCs w:val="21"/>
    </w:rPr>
  </w:style>
  <w:style w:type="character" w:customStyle="1" w:styleId="120">
    <w:name w:val="日期 字符1"/>
    <w:link w:val="18"/>
    <w:autoRedefine/>
    <w:qFormat/>
    <w:uiPriority w:val="0"/>
    <w:rPr>
      <w:rFonts w:ascii="Times New Roman" w:hAnsi="Times New Roman" w:eastAsia="Times New Roman" w:cs="Times New Roman"/>
      <w:szCs w:val="21"/>
    </w:rPr>
  </w:style>
  <w:style w:type="paragraph" w:customStyle="1" w:styleId="121">
    <w:name w:val="样式 标题 6 + 左侧:  0 厘米 首行缩进:  0 厘米"/>
    <w:basedOn w:val="7"/>
    <w:uiPriority w:val="0"/>
    <w:pPr>
      <w:ind w:left="420" w:hanging="420"/>
    </w:pPr>
    <w:rPr>
      <w:rFonts w:cs="宋体"/>
      <w:szCs w:val="20"/>
    </w:rPr>
  </w:style>
  <w:style w:type="paragraph" w:customStyle="1" w:styleId="122">
    <w:name w:val="样式 标题 6 + 首行缩进:  1 字符"/>
    <w:basedOn w:val="7"/>
    <w:autoRedefine/>
    <w:qFormat/>
    <w:uiPriority w:val="0"/>
    <w:rPr>
      <w:rFonts w:cs="宋体"/>
      <w:szCs w:val="20"/>
    </w:rPr>
  </w:style>
  <w:style w:type="paragraph" w:customStyle="1" w:styleId="123">
    <w:name w:val="样式 图表目录 + 左侧:  2 字符 悬挂缩进: 2 字符"/>
    <w:basedOn w:val="28"/>
    <w:autoRedefine/>
    <w:qFormat/>
    <w:uiPriority w:val="0"/>
    <w:pPr>
      <w:ind w:left="842" w:hanging="422"/>
    </w:pPr>
    <w:rPr>
      <w:rFonts w:cs="宋体"/>
    </w:rPr>
  </w:style>
  <w:style w:type="paragraph" w:customStyle="1" w:styleId="124">
    <w:name w:val="样式 图表目录 + 左侧:  2 字符 悬挂缩进: 2 字符1"/>
    <w:basedOn w:val="28"/>
    <w:autoRedefine/>
    <w:uiPriority w:val="0"/>
    <w:rPr>
      <w:rFonts w:cs="宋体"/>
    </w:rPr>
  </w:style>
  <w:style w:type="paragraph" w:customStyle="1" w:styleId="125">
    <w:name w:val="样式 11 磅 右"/>
    <w:basedOn w:val="1"/>
    <w:next w:val="1"/>
    <w:uiPriority w:val="0"/>
    <w:pPr>
      <w:jc w:val="right"/>
    </w:pPr>
    <w:rPr>
      <w:rFonts w:cs="宋体"/>
      <w:kern w:val="0"/>
      <w:szCs w:val="20"/>
    </w:rPr>
  </w:style>
  <w:style w:type="paragraph" w:customStyle="1" w:styleId="126">
    <w:name w:val="样式 10 磅 左"/>
    <w:basedOn w:val="1"/>
    <w:next w:val="1"/>
    <w:autoRedefine/>
    <w:uiPriority w:val="0"/>
    <w:pPr>
      <w:jc w:val="left"/>
    </w:pPr>
    <w:rPr>
      <w:rFonts w:cs="宋体"/>
      <w:kern w:val="0"/>
      <w:sz w:val="20"/>
      <w:szCs w:val="20"/>
    </w:rPr>
  </w:style>
  <w:style w:type="paragraph" w:customStyle="1" w:styleId="127">
    <w:name w:val="样式 10 磅 左1"/>
    <w:basedOn w:val="1"/>
    <w:next w:val="1"/>
    <w:autoRedefine/>
    <w:qFormat/>
    <w:uiPriority w:val="0"/>
    <w:pPr>
      <w:jc w:val="left"/>
    </w:pPr>
    <w:rPr>
      <w:rFonts w:cs="宋体"/>
      <w:kern w:val="0"/>
      <w:sz w:val="20"/>
      <w:szCs w:val="20"/>
    </w:rPr>
  </w:style>
  <w:style w:type="paragraph" w:customStyle="1" w:styleId="128">
    <w:name w:val="样式 10 磅 左2"/>
    <w:basedOn w:val="1"/>
    <w:next w:val="1"/>
    <w:autoRedefine/>
    <w:qFormat/>
    <w:uiPriority w:val="0"/>
    <w:pPr>
      <w:jc w:val="left"/>
    </w:pPr>
    <w:rPr>
      <w:rFonts w:cs="宋体"/>
      <w:kern w:val="0"/>
      <w:szCs w:val="20"/>
    </w:rPr>
  </w:style>
  <w:style w:type="paragraph" w:customStyle="1" w:styleId="129">
    <w:name w:val="样式 加粗 倾斜 左"/>
    <w:basedOn w:val="1"/>
    <w:next w:val="1"/>
    <w:autoRedefine/>
    <w:qFormat/>
    <w:uiPriority w:val="0"/>
    <w:pPr>
      <w:jc w:val="left"/>
    </w:pPr>
    <w:rPr>
      <w:rFonts w:cs="宋体"/>
      <w:b/>
      <w:bCs/>
      <w:i/>
      <w:iCs/>
      <w:kern w:val="0"/>
      <w:szCs w:val="20"/>
    </w:rPr>
  </w:style>
  <w:style w:type="character" w:customStyle="1" w:styleId="130">
    <w:name w:val="apple-converted-space"/>
    <w:autoRedefine/>
    <w:qFormat/>
    <w:uiPriority w:val="0"/>
  </w:style>
  <w:style w:type="paragraph" w:styleId="131">
    <w:name w:val="No Spacing"/>
    <w:link w:val="132"/>
    <w:uiPriority w:val="1"/>
    <w:rPr>
      <w:rFonts w:ascii="Calibri" w:hAnsi="Calibri" w:eastAsia="宋体" w:cs="Times New Roman"/>
      <w:kern w:val="0"/>
      <w:sz w:val="22"/>
      <w:szCs w:val="21"/>
      <w:lang w:val="en-US" w:eastAsia="zh-CN" w:bidi="ar-SA"/>
    </w:rPr>
  </w:style>
  <w:style w:type="character" w:customStyle="1" w:styleId="132">
    <w:name w:val="无间隔 字符"/>
    <w:link w:val="131"/>
    <w:autoRedefine/>
    <w:qFormat/>
    <w:uiPriority w:val="1"/>
    <w:rPr>
      <w:rFonts w:ascii="Calibri" w:hAnsi="Calibri" w:eastAsia="宋体" w:cs="Times New Roman"/>
      <w:kern w:val="0"/>
      <w:sz w:val="22"/>
    </w:rPr>
  </w:style>
  <w:style w:type="paragraph" w:customStyle="1" w:styleId="133">
    <w:name w:val="概述标题"/>
    <w:basedOn w:val="1"/>
    <w:autoRedefine/>
    <w:qFormat/>
    <w:uiPriority w:val="0"/>
    <w:rPr>
      <w:b/>
    </w:rPr>
  </w:style>
  <w:style w:type="table" w:customStyle="1" w:styleId="134">
    <w:name w:val="网格表 4 - 着色 13"/>
    <w:basedOn w:val="34"/>
    <w:uiPriority w:val="49"/>
    <w:tblPr>
      <w:tblBorders>
        <w:top w:val="single" w:color="9CC2E5" w:themeColor="accent1" w:themeTint="99" w:sz="4" w:space="0"/>
        <w:left w:val="single" w:color="9CC2E5" w:themeColor="accent1" w:themeTint="99" w:sz="4" w:space="0"/>
        <w:bottom w:val="single" w:color="9CC2E5" w:themeColor="accent1" w:themeTint="99" w:sz="4" w:space="0"/>
        <w:right w:val="single" w:color="9CC2E5" w:themeColor="accent1" w:themeTint="99" w:sz="4" w:space="0"/>
        <w:insideH w:val="single" w:color="9CC2E5" w:themeColor="accent1" w:themeTint="99" w:sz="4" w:space="0"/>
        <w:insideV w:val="single" w:color="9CC2E5" w:themeColor="accent1" w:themeTint="99" w:sz="4" w:space="0"/>
      </w:tblBorders>
    </w:tblPr>
    <w:tblStylePr w:type="firstRow">
      <w:rPr>
        <w:b/>
        <w:bCs/>
        <w:color w:val="FFFFFF" w:themeColor="background1"/>
        <w14:textFill>
          <w14:solidFill>
            <w14:schemeClr w14:val="bg1"/>
          </w14:solidFill>
        </w14:textFill>
      </w:rPr>
      <w:tcPr>
        <w:tcBorders>
          <w:top w:val="single" w:color="5B9BD5" w:themeColor="accent1" w:sz="4" w:space="0"/>
          <w:left w:val="single" w:color="5B9BD5" w:themeColor="accent1" w:sz="4" w:space="0"/>
          <w:bottom w:val="single" w:color="5B9BD5" w:themeColor="accent1" w:sz="4" w:space="0"/>
          <w:right w:val="single" w:color="5B9BD5" w:themeColor="accent1" w:sz="4" w:space="0"/>
          <w:insideH w:val="nil"/>
          <w:insideV w:val="nil"/>
        </w:tcBorders>
        <w:shd w:val="clear" w:color="auto" w:fill="5B9BD5" w:themeFill="accent1"/>
      </w:tcPr>
    </w:tblStylePr>
    <w:tblStylePr w:type="lastRow">
      <w:rPr>
        <w:b/>
        <w:bCs/>
      </w:rPr>
      <w:tcPr>
        <w:tcBorders>
          <w:top w:val="double" w:color="5B9BD5" w:themeColor="accent1" w:sz="4" w:space="0"/>
        </w:tcBorders>
      </w:tcPr>
    </w:tblStylePr>
    <w:tblStylePr w:type="firstCol">
      <w:rPr>
        <w:b/>
        <w:bCs/>
      </w:rPr>
    </w:tblStylePr>
    <w:tblStylePr w:type="lastCol">
      <w:rPr>
        <w:b/>
        <w:bCs/>
      </w:rPr>
    </w:tblStylePr>
    <w:tblStylePr w:type="band1Vert">
      <w:tcPr>
        <w:shd w:val="clear" w:color="auto" w:fill="DEEAF6" w:themeFill="accent1" w:themeFillTint="33"/>
      </w:tcPr>
    </w:tblStylePr>
    <w:tblStylePr w:type="band1Horz">
      <w:tcPr>
        <w:shd w:val="clear" w:color="auto" w:fill="DEEAF6" w:themeFill="accent1" w:themeFillTint="33"/>
      </w:tcPr>
    </w:tblStylePr>
  </w:style>
  <w:style w:type="table" w:customStyle="1" w:styleId="135">
    <w:name w:val="网格表 4 - 着色 51"/>
    <w:basedOn w:val="34"/>
    <w:uiPriority w:val="49"/>
    <w:rPr>
      <w:szCs w:val="22"/>
    </w:rPr>
    <w:tblPr>
      <w:tblBorders>
        <w:top w:val="single" w:color="8EAADB" w:themeColor="accent5" w:themeTint="99" w:sz="4" w:space="0"/>
        <w:left w:val="single" w:color="8EAADB" w:themeColor="accent5" w:themeTint="99" w:sz="4" w:space="0"/>
        <w:bottom w:val="single" w:color="8EAADB" w:themeColor="accent5" w:themeTint="99" w:sz="4" w:space="0"/>
        <w:right w:val="single" w:color="8EAADB" w:themeColor="accent5" w:themeTint="99" w:sz="4" w:space="0"/>
        <w:insideH w:val="single" w:color="8EAADB" w:themeColor="accent5" w:themeTint="99" w:sz="4" w:space="0"/>
        <w:insideV w:val="single" w:color="8EAADB" w:themeColor="accent5" w:themeTint="99" w:sz="4" w:space="0"/>
      </w:tblBorders>
    </w:tblPr>
    <w:tblStylePr w:type="firstRow">
      <w:rPr>
        <w:b/>
        <w:bCs/>
        <w:color w:val="FFFFFF" w:themeColor="background1"/>
        <w14:textFill>
          <w14:solidFill>
            <w14:schemeClr w14:val="bg1"/>
          </w14:solidFill>
        </w14:textFill>
      </w:rPr>
      <w:tcPr>
        <w:tcBorders>
          <w:top w:val="single" w:color="4472C4" w:themeColor="accent5" w:sz="4" w:space="0"/>
          <w:left w:val="single" w:color="4472C4" w:themeColor="accent5" w:sz="4" w:space="0"/>
          <w:bottom w:val="single" w:color="4472C4" w:themeColor="accent5" w:sz="4" w:space="0"/>
          <w:right w:val="single" w:color="4472C4" w:themeColor="accent5" w:sz="4" w:space="0"/>
          <w:insideH w:val="nil"/>
          <w:insideV w:val="nil"/>
        </w:tcBorders>
        <w:shd w:val="clear" w:color="auto" w:fill="4472C4" w:themeFill="accent5"/>
      </w:tcPr>
    </w:tblStylePr>
    <w:tblStylePr w:type="lastRow">
      <w:rPr>
        <w:b/>
        <w:bCs/>
      </w:rPr>
      <w:tcPr>
        <w:tcBorders>
          <w:top w:val="double" w:color="4472C4" w:themeColor="accent5" w:sz="4" w:space="0"/>
        </w:tcBorders>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table" w:customStyle="1" w:styleId="136">
    <w:name w:val="无格式表格 51"/>
    <w:basedOn w:val="34"/>
    <w:uiPriority w:val="45"/>
    <w:tblStylePr w:type="firstRow">
      <w:rPr>
        <w:rFonts w:asciiTheme="majorHAnsi" w:hAnsiTheme="majorHAnsi" w:eastAsiaTheme="majorEastAsia" w:cstheme="majorBidi"/>
        <w:i/>
        <w:iCs/>
        <w:sz w:val="26"/>
      </w:rPr>
      <w:tcPr>
        <w:tcBorders>
          <w:bottom w:val="single" w:color="7E7E7E" w:themeColor="text1" w:themeTint="80" w:sz="4" w:space="0"/>
        </w:tcBorders>
        <w:shd w:val="clear" w:color="auto" w:fill="FFFFFF" w:themeFill="background1"/>
      </w:tcPr>
    </w:tblStylePr>
    <w:tblStylePr w:type="lastRow">
      <w:rPr>
        <w:rFonts w:asciiTheme="majorHAnsi" w:hAnsiTheme="majorHAnsi" w:eastAsiaTheme="majorEastAsia" w:cstheme="majorBidi"/>
        <w:i/>
        <w:iCs/>
        <w:sz w:val="26"/>
      </w:rPr>
      <w:tcPr>
        <w:tcBorders>
          <w:top w:val="single" w:color="7E7E7E" w:themeColor="text1" w:themeTint="80" w:sz="4" w:space="0"/>
        </w:tcBorders>
        <w:shd w:val="clear" w:color="auto" w:fill="FFFFFF" w:themeFill="background1"/>
      </w:tcPr>
    </w:tblStylePr>
    <w:tblStylePr w:type="firstCol">
      <w:pPr>
        <w:jc w:val="right"/>
      </w:pPr>
      <w:rPr>
        <w:rFonts w:asciiTheme="majorHAnsi" w:hAnsiTheme="majorHAnsi" w:eastAsiaTheme="majorEastAsia" w:cstheme="majorBidi"/>
        <w:i/>
        <w:iCs/>
        <w:sz w:val="26"/>
      </w:rPr>
      <w:tcPr>
        <w:tcBorders>
          <w:right w:val="single" w:color="7E7E7E" w:themeColor="text1" w:themeTint="80" w:sz="4" w:space="0"/>
        </w:tcBorders>
        <w:shd w:val="clear" w:color="auto" w:fill="FFFFFF" w:themeFill="background1"/>
      </w:tcPr>
    </w:tblStylePr>
    <w:tblStylePr w:type="lastCol">
      <w:rPr>
        <w:rFonts w:asciiTheme="majorHAnsi" w:hAnsiTheme="majorHAnsi" w:eastAsiaTheme="majorEastAsia" w:cstheme="majorBidi"/>
        <w:i/>
        <w:iCs/>
        <w:sz w:val="26"/>
      </w:rPr>
      <w:tcPr>
        <w:tcBorders>
          <w:left w:val="single" w:color="7E7E7E" w:themeColor="text1" w:themeTint="80" w:sz="4" w:space="0"/>
        </w:tcBorders>
        <w:shd w:val="clear" w:color="auto" w:fill="FFFFFF" w:themeFill="background1"/>
      </w:tcPr>
    </w:tblStylePr>
    <w:tblStylePr w:type="band1Vert">
      <w:tcPr>
        <w:shd w:val="clear" w:color="auto" w:fill="F1F1F1" w:themeFill="background1" w:themeFillShade="F2"/>
      </w:tcPr>
    </w:tblStylePr>
    <w:tblStylePr w:type="band1Horz">
      <w:tcPr>
        <w:shd w:val="clear" w:color="auto" w:fill="F1F1F1" w:themeFill="background1" w:themeFillShade="F2"/>
      </w:tcPr>
    </w:tblStylePr>
    <w:tblStylePr w:type="neCell">
      <w:tcPr>
        <w:tcBorders>
          <w:left w:val="nil"/>
        </w:tcBorders>
      </w:tcPr>
    </w:tblStylePr>
    <w:tblStylePr w:type="nwCell">
      <w:tcPr>
        <w:tcBorders>
          <w:right w:val="nil"/>
        </w:tcBorders>
      </w:tcPr>
    </w:tblStylePr>
    <w:tblStylePr w:type="seCell">
      <w:tcPr>
        <w:tcBorders>
          <w:left w:val="nil"/>
        </w:tcBorders>
      </w:tcPr>
    </w:tblStylePr>
    <w:tblStylePr w:type="swCell">
      <w:tcPr>
        <w:tcBorders>
          <w:right w:val="nil"/>
        </w:tcBorders>
      </w:tcPr>
    </w:tblStylePr>
  </w:style>
  <w:style w:type="character" w:customStyle="1" w:styleId="137">
    <w:name w:val="未处理的提及1"/>
    <w:basedOn w:val="67"/>
    <w:semiHidden/>
    <w:unhideWhenUsed/>
    <w:uiPriority w:val="99"/>
    <w:rPr>
      <w:color w:val="605E5C"/>
      <w:shd w:val="clear" w:color="auto" w:fill="E1DFDD"/>
    </w:rPr>
  </w:style>
  <w:style w:type="character" w:customStyle="1" w:styleId="138">
    <w:name w:val="Bold text_1 Char"/>
    <w:link w:val="24"/>
    <w:uiPriority w:val="0"/>
    <w:rPr>
      <w:rFonts w:ascii="Calibri" w:hAnsi="Calibri" w:eastAsiaTheme="minorHAnsi"/>
      <w:caps/>
      <w:color w:val="1F4E79" w:themeColor="accent1" w:themeShade="80"/>
      <w:spacing w:val="-6"/>
      <w:kern w:val="0"/>
      <w:szCs w:val="22"/>
      <w:lang w:eastAsia="en-US"/>
    </w:rPr>
  </w:style>
  <w:style w:type="paragraph" w:customStyle="1" w:styleId="139">
    <w:name w:val="Style1"/>
    <w:link w:val="168"/>
    <w:autoRedefine/>
    <w:qFormat/>
    <w:uiPriority w:val="0"/>
    <w:pPr>
      <w:pBdr>
        <w:bottom w:val="single" w:color="auto" w:sz="4" w:space="6"/>
      </w:pBdr>
      <w:spacing w:after="160"/>
    </w:pPr>
    <w:rPr>
      <w:rFonts w:ascii="Calibri" w:hAnsi="Calibri" w:cs="Calibri" w:eastAsiaTheme="minorEastAsia"/>
      <w:b/>
      <w:caps/>
      <w:color w:val="2E75B6" w:themeColor="accent1" w:themeShade="BF"/>
      <w:spacing w:val="-3"/>
      <w:kern w:val="0"/>
      <w:sz w:val="40"/>
      <w:szCs w:val="40"/>
      <w:lang w:val="en-US" w:eastAsia="en-IN" w:bidi="ar-SA"/>
    </w:rPr>
  </w:style>
  <w:style w:type="character" w:customStyle="1" w:styleId="140">
    <w:name w:val="尾注文本 字符"/>
    <w:basedOn w:val="67"/>
    <w:link w:val="19"/>
    <w:autoRedefine/>
    <w:semiHidden/>
    <w:qFormat/>
    <w:uiPriority w:val="99"/>
    <w:rPr>
      <w:rFonts w:ascii="Times New Roman" w:hAnsi="Times New Roman"/>
    </w:rPr>
  </w:style>
  <w:style w:type="character" w:customStyle="1" w:styleId="141">
    <w:name w:val="未处理的提及11"/>
    <w:basedOn w:val="67"/>
    <w:autoRedefine/>
    <w:semiHidden/>
    <w:unhideWhenUsed/>
    <w:qFormat/>
    <w:uiPriority w:val="99"/>
    <w:rPr>
      <w:color w:val="605E5C"/>
      <w:shd w:val="clear" w:color="auto" w:fill="E1DFDD"/>
    </w:rPr>
  </w:style>
  <w:style w:type="character" w:customStyle="1" w:styleId="142">
    <w:name w:val="未处理的提及2"/>
    <w:basedOn w:val="67"/>
    <w:autoRedefine/>
    <w:semiHidden/>
    <w:unhideWhenUsed/>
    <w:qFormat/>
    <w:uiPriority w:val="99"/>
    <w:rPr>
      <w:color w:val="605E5C"/>
      <w:shd w:val="clear" w:color="auto" w:fill="E1DFDD"/>
    </w:rPr>
  </w:style>
  <w:style w:type="paragraph" w:customStyle="1" w:styleId="143">
    <w:name w:val="Source"/>
    <w:basedOn w:val="1"/>
    <w:link w:val="144"/>
    <w:autoRedefine/>
    <w:qFormat/>
    <w:uiPriority w:val="0"/>
    <w:pPr>
      <w:widowControl/>
      <w:topLinePunct w:val="0"/>
      <w:spacing w:before="40" w:after="80"/>
      <w:jc w:val="left"/>
    </w:pPr>
    <w:rPr>
      <w:i/>
      <w:color w:val="0D0D0D" w:themeColor="text1" w:themeTint="F2"/>
      <w:kern w:val="0"/>
      <w:sz w:val="16"/>
      <w:szCs w:val="22"/>
      <w:lang w:val="en-IN" w:eastAsia="en-IN"/>
      <w14:textFill>
        <w14:solidFill>
          <w14:schemeClr w14:val="tx1">
            <w14:lumMod w14:val="95000"/>
            <w14:lumOff w14:val="5000"/>
          </w14:schemeClr>
        </w14:solidFill>
      </w14:textFill>
    </w:rPr>
  </w:style>
  <w:style w:type="character" w:customStyle="1" w:styleId="144">
    <w:name w:val="Source 字符"/>
    <w:basedOn w:val="67"/>
    <w:link w:val="143"/>
    <w:autoRedefine/>
    <w:qFormat/>
    <w:uiPriority w:val="0"/>
    <w:rPr>
      <w:rFonts w:ascii="Times New Roman" w:hAnsi="Times New Roman" w:eastAsia="宋体"/>
      <w:i/>
      <w:color w:val="0D0D0D" w:themeColor="text1" w:themeTint="F2"/>
      <w:kern w:val="0"/>
      <w:sz w:val="16"/>
      <w:szCs w:val="22"/>
      <w:lang w:val="en-IN" w:eastAsia="en-IN"/>
      <w14:textFill>
        <w14:solidFill>
          <w14:schemeClr w14:val="tx1">
            <w14:lumMod w14:val="95000"/>
            <w14:lumOff w14:val="5000"/>
          </w14:schemeClr>
        </w14:solidFill>
      </w14:textFill>
    </w:rPr>
  </w:style>
  <w:style w:type="paragraph" w:customStyle="1" w:styleId="145">
    <w:name w:val="正文-段落"/>
    <w:basedOn w:val="1"/>
    <w:link w:val="146"/>
    <w:autoRedefine/>
    <w:qFormat/>
    <w:uiPriority w:val="0"/>
    <w:pPr>
      <w:widowControl/>
      <w:topLinePunct w:val="0"/>
      <w:spacing w:before="320" w:after="80" w:line="259" w:lineRule="auto"/>
    </w:pPr>
    <w:rPr>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46">
    <w:name w:val="正文-段落 字符"/>
    <w:basedOn w:val="67"/>
    <w:link w:val="145"/>
    <w:autoRedefine/>
    <w:qFormat/>
    <w:uiPriority w:val="0"/>
    <w:rPr>
      <w:rFonts w:ascii="Tahoma" w:hAnsi="Tahoma" w:eastAsia="宋体"/>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47">
    <w:name w:val="列出段落 字符"/>
    <w:basedOn w:val="67"/>
    <w:link w:val="113"/>
    <w:autoRedefine/>
    <w:qFormat/>
    <w:uiPriority w:val="1"/>
    <w:rPr>
      <w:rFonts w:ascii="Arial" w:hAnsi="Arial" w:eastAsia="Arial" w:cs="Arial"/>
      <w:kern w:val="0"/>
      <w:sz w:val="22"/>
      <w:szCs w:val="22"/>
      <w:lang w:eastAsia="en-US"/>
    </w:rPr>
  </w:style>
  <w:style w:type="paragraph" w:customStyle="1" w:styleId="148">
    <w:name w:val="Figure Style"/>
    <w:basedOn w:val="113"/>
    <w:link w:val="150"/>
    <w:autoRedefine/>
    <w:qFormat/>
    <w:uiPriority w:val="0"/>
    <w:pPr>
      <w:keepNext/>
      <w:keepLines/>
      <w:numPr>
        <w:ilvl w:val="0"/>
        <w:numId w:val="2"/>
      </w:numPr>
      <w:pBdr>
        <w:bottom w:val="single" w:color="auto" w:sz="4" w:space="1"/>
      </w:pBdr>
      <w:tabs>
        <w:tab w:val="left" w:pos="284"/>
      </w:tabs>
      <w:spacing w:before="240" w:after="120"/>
    </w:pPr>
    <w:rPr>
      <w:rFonts w:eastAsia="宋体"/>
      <w:b/>
      <w:color w:val="FF8200"/>
    </w:rPr>
  </w:style>
  <w:style w:type="character" w:customStyle="1" w:styleId="149">
    <w:name w:val="Figure Style Char"/>
    <w:basedOn w:val="147"/>
    <w:autoRedefine/>
    <w:qFormat/>
    <w:uiPriority w:val="0"/>
    <w:rPr>
      <w:rFonts w:ascii="Calibri" w:hAnsi="Calibri" w:eastAsia="Arial" w:cs="Arial"/>
      <w:b/>
      <w:color w:val="44546A" w:themeColor="text2"/>
      <w:kern w:val="0"/>
      <w:sz w:val="24"/>
      <w:szCs w:val="22"/>
      <w:lang w:val="en-US" w:eastAsia="en-US"/>
      <w14:textFill>
        <w14:solidFill>
          <w14:schemeClr w14:val="tx2"/>
        </w14:solidFill>
      </w14:textFill>
    </w:rPr>
  </w:style>
  <w:style w:type="character" w:customStyle="1" w:styleId="150">
    <w:name w:val="Figure Style 字符"/>
    <w:basedOn w:val="147"/>
    <w:link w:val="148"/>
    <w:autoRedefine/>
    <w:qFormat/>
    <w:uiPriority w:val="0"/>
    <w:rPr>
      <w:rFonts w:ascii="Tahoma" w:hAnsi="Tahoma" w:eastAsia="宋体" w:cs="Arial"/>
      <w:b/>
      <w:color w:val="FF8200"/>
      <w:kern w:val="0"/>
      <w:sz w:val="22"/>
      <w:szCs w:val="22"/>
      <w:lang w:eastAsia="en-US"/>
    </w:rPr>
  </w:style>
  <w:style w:type="paragraph" w:customStyle="1" w:styleId="151">
    <w:name w:val="Table Style"/>
    <w:basedOn w:val="113"/>
    <w:link w:val="152"/>
    <w:autoRedefine/>
    <w:qFormat/>
    <w:uiPriority w:val="0"/>
    <w:pPr>
      <w:keepNext/>
      <w:keepLines/>
      <w:widowControl/>
      <w:numPr>
        <w:ilvl w:val="0"/>
        <w:numId w:val="3"/>
      </w:numPr>
      <w:tabs>
        <w:tab w:val="left" w:pos="288"/>
      </w:tabs>
      <w:topLinePunct w:val="0"/>
      <w:spacing w:before="240" w:after="120"/>
      <w:ind w:left="0" w:firstLine="0"/>
    </w:pPr>
    <w:rPr>
      <w:rFonts w:eastAsia="宋体" w:cstheme="minorBidi"/>
      <w:b/>
      <w:color w:val="FF8200"/>
      <w:lang w:val="en-IN"/>
    </w:rPr>
  </w:style>
  <w:style w:type="character" w:customStyle="1" w:styleId="152">
    <w:name w:val="Table Style Char"/>
    <w:basedOn w:val="67"/>
    <w:link w:val="151"/>
    <w:qFormat/>
    <w:uiPriority w:val="0"/>
    <w:rPr>
      <w:rFonts w:ascii="Frutiger" w:hAnsi="Frutiger" w:eastAsia="宋体"/>
      <w:b/>
      <w:color w:val="FF8200"/>
      <w:kern w:val="0"/>
      <w:szCs w:val="22"/>
      <w:lang w:val="en-IN" w:eastAsia="en-US"/>
    </w:rPr>
  </w:style>
  <w:style w:type="paragraph" w:customStyle="1" w:styleId="153">
    <w:name w:val="Table of Contents"/>
    <w:basedOn w:val="139"/>
    <w:link w:val="154"/>
    <w:autoRedefine/>
    <w:qFormat/>
    <w:uiPriority w:val="0"/>
    <w:pPr>
      <w:pageBreakBefore/>
      <w:jc w:val="both"/>
    </w:pPr>
    <w:rPr>
      <w:szCs w:val="20"/>
    </w:rPr>
  </w:style>
  <w:style w:type="character" w:customStyle="1" w:styleId="154">
    <w:name w:val="Table of Contents Char"/>
    <w:basedOn w:val="67"/>
    <w:link w:val="153"/>
    <w:autoRedefine/>
    <w:qFormat/>
    <w:uiPriority w:val="0"/>
    <w:rPr>
      <w:rFonts w:ascii="Century Gothic" w:hAnsi="Century Gothic" w:cs="Calibri"/>
      <w:b/>
      <w:caps/>
      <w:color w:val="2E75B6" w:themeColor="accent1" w:themeShade="BF"/>
      <w:spacing w:val="-3"/>
      <w:kern w:val="0"/>
      <w:sz w:val="40"/>
      <w:szCs w:val="20"/>
      <w:lang w:eastAsia="en-IN"/>
    </w:rPr>
  </w:style>
  <w:style w:type="character" w:customStyle="1" w:styleId="155">
    <w:name w:val="Source Char"/>
    <w:basedOn w:val="67"/>
    <w:autoRedefine/>
    <w:qFormat/>
    <w:uiPriority w:val="0"/>
    <w:rPr>
      <w:rFonts w:ascii="Calibri" w:hAnsi="Calibri"/>
      <w:i/>
      <w:color w:val="0D0D0D" w:themeColor="text1" w:themeTint="F2"/>
      <w:sz w:val="16"/>
      <w:lang w:eastAsia="en-IN"/>
      <w14:textFill>
        <w14:solidFill>
          <w14:schemeClr w14:val="tx1">
            <w14:lumMod w14:val="95000"/>
            <w14:lumOff w14:val="5000"/>
          </w14:schemeClr>
        </w14:solidFill>
      </w14:textFill>
    </w:rPr>
  </w:style>
  <w:style w:type="paragraph" w:customStyle="1" w:styleId="156">
    <w:name w:val="目录2"/>
    <w:basedOn w:val="29"/>
    <w:next w:val="29"/>
    <w:link w:val="158"/>
    <w:autoRedefine/>
    <w:qFormat/>
    <w:uiPriority w:val="0"/>
    <w:pPr>
      <w:tabs>
        <w:tab w:val="right" w:pos="9736"/>
      </w:tabs>
    </w:pPr>
  </w:style>
  <w:style w:type="character" w:customStyle="1" w:styleId="157">
    <w:name w:val="目录 2 字符"/>
    <w:basedOn w:val="67"/>
    <w:link w:val="29"/>
    <w:autoRedefine/>
    <w:qFormat/>
    <w:uiPriority w:val="39"/>
    <w:rPr>
      <w:rFonts w:ascii="Times New Roman" w:hAnsi="Times New Roman" w:eastAsia="宋体"/>
      <w:b/>
      <w:color w:val="000000" w:themeColor="text1"/>
      <w:spacing w:val="-6"/>
      <w:kern w:val="0"/>
      <w:sz w:val="22"/>
      <w:szCs w:val="22"/>
      <w:lang w:eastAsia="en-US"/>
      <w14:textFill>
        <w14:solidFill>
          <w14:schemeClr w14:val="tx1"/>
        </w14:solidFill>
      </w14:textFill>
    </w:rPr>
  </w:style>
  <w:style w:type="character" w:customStyle="1" w:styleId="158">
    <w:name w:val="目录2 字符"/>
    <w:basedOn w:val="157"/>
    <w:link w:val="156"/>
    <w:autoRedefine/>
    <w:qFormat/>
    <w:uiPriority w:val="0"/>
    <w:rPr>
      <w:rFonts w:ascii="Calibri" w:hAnsi="Calibri" w:eastAsia="宋体"/>
      <w:color w:val="000000" w:themeColor="text1"/>
      <w:spacing w:val="-6"/>
      <w:kern w:val="0"/>
      <w:sz w:val="24"/>
      <w:szCs w:val="22"/>
      <w:lang w:eastAsia="en-US"/>
      <w14:textFill>
        <w14:solidFill>
          <w14:schemeClr w14:val="tx1"/>
        </w14:solidFill>
      </w14:textFill>
    </w:rPr>
  </w:style>
  <w:style w:type="character" w:customStyle="1" w:styleId="159">
    <w:name w:val="未处理的提及3"/>
    <w:basedOn w:val="67"/>
    <w:autoRedefine/>
    <w:semiHidden/>
    <w:unhideWhenUsed/>
    <w:qFormat/>
    <w:uiPriority w:val="99"/>
    <w:rPr>
      <w:color w:val="605E5C"/>
      <w:shd w:val="clear" w:color="auto" w:fill="E1DFDD"/>
    </w:rPr>
  </w:style>
  <w:style w:type="table" w:customStyle="1" w:styleId="160">
    <w:name w:val="List Table 2 Accent 4"/>
    <w:basedOn w:val="34"/>
    <w:autoRedefine/>
    <w:qFormat/>
    <w:uiPriority w:val="47"/>
    <w:tblPr>
      <w:tblBorders>
        <w:top w:val="single" w:color="FFD965" w:themeColor="accent4" w:themeTint="99" w:sz="4" w:space="0"/>
        <w:bottom w:val="single" w:color="FFD965" w:themeColor="accent4" w:themeTint="99" w:sz="4" w:space="0"/>
        <w:insideH w:val="single" w:color="FFD965" w:themeColor="accent4"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FEF2CC" w:themeFill="accent4" w:themeFillTint="33"/>
      </w:tcPr>
    </w:tblStylePr>
    <w:tblStylePr w:type="band1Horz">
      <w:tcPr>
        <w:shd w:val="clear" w:color="auto" w:fill="FEF2CC" w:themeFill="accent4" w:themeFillTint="33"/>
      </w:tcPr>
    </w:tblStylePr>
  </w:style>
  <w:style w:type="table" w:customStyle="1" w:styleId="161">
    <w:name w:val="表格-lpi"/>
    <w:basedOn w:val="34"/>
    <w:autoRedefine/>
    <w:qFormat/>
    <w:uiPriority w:val="99"/>
    <w:rPr>
      <w:rFonts w:eastAsia="Times New Roman"/>
      <w:color w:val="00B050"/>
      <w:kern w:val="0"/>
      <w:sz w:val="20"/>
      <w:szCs w:val="20"/>
    </w:rPr>
  </w:style>
  <w:style w:type="character" w:customStyle="1" w:styleId="162">
    <w:name w:val="未处理的提及31"/>
    <w:basedOn w:val="67"/>
    <w:autoRedefine/>
    <w:semiHidden/>
    <w:unhideWhenUsed/>
    <w:qFormat/>
    <w:uiPriority w:val="99"/>
    <w:rPr>
      <w:color w:val="605E5C"/>
      <w:shd w:val="clear" w:color="auto" w:fill="E1DFDD"/>
    </w:rPr>
  </w:style>
  <w:style w:type="paragraph" w:customStyle="1" w:styleId="163">
    <w:name w:val="Paragraph"/>
    <w:basedOn w:val="1"/>
    <w:link w:val="164"/>
    <w:autoRedefine/>
    <w:qFormat/>
    <w:uiPriority w:val="0"/>
    <w:pPr>
      <w:widowControl/>
      <w:topLinePunct w:val="0"/>
      <w:spacing w:after="160" w:line="259" w:lineRule="auto"/>
    </w:pPr>
    <w:rPr>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64">
    <w:name w:val="Paragraph Char"/>
    <w:basedOn w:val="67"/>
    <w:link w:val="163"/>
    <w:autoRedefine/>
    <w:qFormat/>
    <w:uiPriority w:val="0"/>
    <w:rPr>
      <w:rFonts w:ascii="Calibri" w:hAnsi="Calibri"/>
      <w:color w:val="0D0D0D" w:themeColor="text1" w:themeTint="F2"/>
      <w:kern w:val="0"/>
      <w:sz w:val="24"/>
      <w:szCs w:val="22"/>
      <w:lang w:val="en-IN" w:eastAsia="en-US"/>
      <w14:textFill>
        <w14:solidFill>
          <w14:schemeClr w14:val="tx1">
            <w14:lumMod w14:val="95000"/>
            <w14:lumOff w14:val="5000"/>
          </w14:schemeClr>
        </w14:solidFill>
      </w14:textFill>
    </w:rPr>
  </w:style>
  <w:style w:type="table" w:customStyle="1" w:styleId="165">
    <w:name w:val="List Table 1 Light Accent 1"/>
    <w:basedOn w:val="34"/>
    <w:autoRedefine/>
    <w:qFormat/>
    <w:uiPriority w:val="46"/>
    <w:pPr>
      <w:jc w:val="right"/>
    </w:pPr>
    <w:tblPr>
      <w:tblBorders>
        <w:top w:val="single" w:color="5B9BD5" w:themeColor="accent1" w:sz="18" w:space="0"/>
        <w:bottom w:val="single" w:color="5B9BD5" w:themeColor="accent1" w:sz="18" w:space="0"/>
      </w:tblBorders>
    </w:tblPr>
    <w:tcPr>
      <w:vAlign w:val="center"/>
    </w:tcPr>
    <w:tblStylePr w:type="firstRow">
      <w:pPr>
        <w:jc w:val="center"/>
      </w:pPr>
      <w:rPr>
        <w:b/>
        <w:bCs/>
      </w:rPr>
      <w:tcPr>
        <w:tcBorders>
          <w:bottom w:val="single" w:color="5B9BD5" w:themeColor="accent1" w:sz="12" w:space="0"/>
        </w:tcBorders>
      </w:tcPr>
    </w:tblStylePr>
    <w:tblStylePr w:type="lastRow">
      <w:rPr>
        <w:b/>
        <w:bCs/>
      </w:rPr>
      <w:tcPr>
        <w:tcBorders>
          <w:top w:val="single" w:color="5B9BD5" w:themeColor="accent1" w:sz="12" w:space="0"/>
        </w:tcBorders>
      </w:tcPr>
    </w:tblStylePr>
    <w:tblStylePr w:type="firstCol">
      <w:pPr>
        <w:jc w:val="both"/>
      </w:pPr>
      <w:rPr>
        <w:b/>
        <w:bCs/>
      </w:rPr>
    </w:tblStylePr>
    <w:tblStylePr w:type="lastCol">
      <w:rPr>
        <w:b/>
        <w:bCs/>
      </w:rPr>
    </w:tblStylePr>
    <w:tblStylePr w:type="band1Vert">
      <w:tcPr>
        <w:shd w:val="clear" w:color="auto" w:fill="DEEAF6" w:themeFill="accent1" w:themeFillTint="33"/>
      </w:tcPr>
    </w:tblStylePr>
    <w:tblStylePr w:type="band1Horz">
      <w:tcPr>
        <w:shd w:val="clear" w:color="auto" w:fill="DEEAF6" w:themeFill="accent1" w:themeFillTint="33"/>
      </w:tcPr>
    </w:tblStylePr>
    <w:tblStylePr w:type="nwCell">
      <w:pPr>
        <w:jc w:val="both"/>
      </w:pPr>
    </w:tblStylePr>
  </w:style>
  <w:style w:type="character" w:customStyle="1" w:styleId="166">
    <w:name w:val="未处理的提及4"/>
    <w:basedOn w:val="67"/>
    <w:autoRedefine/>
    <w:semiHidden/>
    <w:unhideWhenUsed/>
    <w:qFormat/>
    <w:uiPriority w:val="99"/>
    <w:rPr>
      <w:color w:val="605E5C"/>
      <w:shd w:val="clear" w:color="auto" w:fill="E1DFDD"/>
    </w:rPr>
  </w:style>
  <w:style w:type="paragraph" w:customStyle="1" w:styleId="167">
    <w:name w:val="概述"/>
    <w:basedOn w:val="139"/>
    <w:link w:val="169"/>
    <w:autoRedefine/>
    <w:qFormat/>
    <w:uiPriority w:val="0"/>
    <w:pPr>
      <w:keepNext/>
      <w:spacing w:after="120"/>
    </w:pPr>
    <w:rPr>
      <w:rFonts w:ascii="Tahoma" w:hAnsi="Tahoma" w:eastAsia="宋体"/>
      <w:caps w:val="0"/>
      <w:color w:val="FF8200"/>
      <w:sz w:val="24"/>
    </w:rPr>
  </w:style>
  <w:style w:type="character" w:customStyle="1" w:styleId="168">
    <w:name w:val="Style1 字符"/>
    <w:basedOn w:val="67"/>
    <w:link w:val="139"/>
    <w:autoRedefine/>
    <w:qFormat/>
    <w:uiPriority w:val="0"/>
    <w:rPr>
      <w:rFonts w:ascii="Calibri" w:hAnsi="Calibri" w:cs="Calibri"/>
      <w:b/>
      <w:caps/>
      <w:color w:val="2E75B6" w:themeColor="accent1" w:themeShade="BF"/>
      <w:spacing w:val="-3"/>
      <w:kern w:val="0"/>
      <w:sz w:val="40"/>
      <w:szCs w:val="40"/>
      <w:lang w:eastAsia="en-IN"/>
    </w:rPr>
  </w:style>
  <w:style w:type="character" w:customStyle="1" w:styleId="169">
    <w:name w:val="概述 字符"/>
    <w:basedOn w:val="168"/>
    <w:link w:val="167"/>
    <w:autoRedefine/>
    <w:qFormat/>
    <w:uiPriority w:val="0"/>
    <w:rPr>
      <w:rFonts w:ascii="Tahoma" w:hAnsi="Tahoma" w:eastAsia="宋体" w:cs="Calibri"/>
      <w:caps w:val="0"/>
      <w:color w:val="FF8200"/>
      <w:spacing w:val="-3"/>
      <w:kern w:val="0"/>
      <w:sz w:val="24"/>
      <w:szCs w:val="40"/>
      <w:lang w:eastAsia="en-IN"/>
    </w:rPr>
  </w:style>
  <w:style w:type="table" w:customStyle="1" w:styleId="170">
    <w:name w:val="彩色网格 - 强调文字颜色 51"/>
    <w:basedOn w:val="34"/>
    <w:autoRedefine/>
    <w:qFormat/>
    <w:uiPriority w:val="73"/>
    <w:rPr>
      <w:rFonts w:ascii="Calibri" w:hAnsi="Calibri" w:eastAsia="宋体" w:cs="Times New Roman"/>
      <w:color w:val="000000"/>
      <w:kern w:val="0"/>
      <w:sz w:val="20"/>
      <w:szCs w:val="20"/>
    </w:rPr>
    <w:tblPr>
      <w:tblBorders>
        <w:insideH w:val="single" w:color="FFFFFF" w:sz="4" w:space="0"/>
      </w:tblBorders>
    </w:tblPr>
    <w:tcPr>
      <w:shd w:val="clear" w:color="auto" w:fill="DAEEF3"/>
    </w:tcPr>
    <w:tblStylePr w:type="firstRow">
      <w:rPr>
        <w:b/>
        <w:bCs/>
      </w:rPr>
      <w:tcPr>
        <w:shd w:val="clear" w:color="auto" w:fill="B6DDE8"/>
      </w:tcPr>
    </w:tblStylePr>
    <w:tblStylePr w:type="lastRow">
      <w:rPr>
        <w:b/>
        <w:bCs/>
        <w:color w:val="000000"/>
      </w:rPr>
      <w:tcPr>
        <w:shd w:val="clear" w:color="auto" w:fill="B6DDE8"/>
      </w:tcPr>
    </w:tblStylePr>
    <w:tblStylePr w:type="firstCol">
      <w:rPr>
        <w:color w:val="FFFFFF"/>
      </w:rPr>
      <w:tcPr>
        <w:shd w:val="clear" w:color="auto" w:fill="31849B"/>
      </w:tcPr>
    </w:tblStylePr>
    <w:tblStylePr w:type="lastCol">
      <w:rPr>
        <w:color w:val="FFFFFF"/>
      </w:rPr>
      <w:tcPr>
        <w:shd w:val="clear" w:color="auto" w:fill="31849B"/>
      </w:tcPr>
    </w:tblStylePr>
    <w:tblStylePr w:type="band1Vert">
      <w:tcPr>
        <w:shd w:val="clear" w:color="auto" w:fill="A5D5E2"/>
      </w:tcPr>
    </w:tblStylePr>
    <w:tblStylePr w:type="band1Horz">
      <w:tcPr>
        <w:shd w:val="clear" w:color="auto" w:fill="A5D5E2"/>
      </w:tcPr>
    </w:tblStylePr>
  </w:style>
  <w:style w:type="table" w:customStyle="1" w:styleId="171">
    <w:name w:val="彩色网格 - 强调文字颜色 31"/>
    <w:basedOn w:val="34"/>
    <w:uiPriority w:val="73"/>
    <w:rPr>
      <w:rFonts w:ascii="Calibri" w:hAnsi="Calibri" w:eastAsia="宋体" w:cs="Times New Roman"/>
      <w:color w:val="000000"/>
      <w:kern w:val="0"/>
      <w:sz w:val="20"/>
      <w:szCs w:val="20"/>
    </w:rPr>
    <w:tblPr>
      <w:tblBorders>
        <w:insideH w:val="single" w:color="FFFFFF" w:sz="4" w:space="0"/>
      </w:tblBorders>
    </w:tblPr>
    <w:tcPr>
      <w:shd w:val="clear" w:color="auto" w:fill="EAF1DD"/>
    </w:tcPr>
    <w:tblStylePr w:type="firstRow">
      <w:rPr>
        <w:b/>
        <w:bCs/>
      </w:rPr>
      <w:tcPr>
        <w:shd w:val="clear" w:color="auto" w:fill="D6E3BC"/>
      </w:tcPr>
    </w:tblStylePr>
    <w:tblStylePr w:type="lastRow">
      <w:rPr>
        <w:b/>
        <w:bCs/>
        <w:color w:val="000000"/>
      </w:rPr>
      <w:tcPr>
        <w:shd w:val="clear" w:color="auto" w:fill="D6E3BC"/>
      </w:tcPr>
    </w:tblStylePr>
    <w:tblStylePr w:type="firstCol">
      <w:rPr>
        <w:color w:val="FFFFFF"/>
      </w:rPr>
      <w:tcPr>
        <w:shd w:val="clear" w:color="auto" w:fill="76923C"/>
      </w:tcPr>
    </w:tblStylePr>
    <w:tblStylePr w:type="lastCol">
      <w:rPr>
        <w:color w:val="FFFFFF"/>
      </w:rPr>
      <w:tcPr>
        <w:shd w:val="clear" w:color="auto" w:fill="76923C"/>
      </w:tcPr>
    </w:tblStylePr>
    <w:tblStylePr w:type="band1Vert">
      <w:tcPr>
        <w:shd w:val="clear" w:color="auto" w:fill="CDDDAC"/>
      </w:tcPr>
    </w:tblStylePr>
    <w:tblStylePr w:type="band1Horz">
      <w:tcPr>
        <w:shd w:val="clear" w:color="auto" w:fill="CDDDAC"/>
      </w:tcPr>
    </w:tblStylePr>
  </w:style>
  <w:style w:type="table" w:customStyle="1" w:styleId="172">
    <w:name w:val="深色列表 - 强调文字颜色 31"/>
    <w:basedOn w:val="34"/>
    <w:autoRedefine/>
    <w:qFormat/>
    <w:uiPriority w:val="70"/>
    <w:rPr>
      <w:rFonts w:ascii="Calibri" w:hAnsi="Calibri" w:eastAsia="宋体" w:cs="Times New Roman"/>
      <w:color w:val="FFFFFF"/>
      <w:kern w:val="0"/>
      <w:sz w:val="20"/>
      <w:szCs w:val="20"/>
    </w:rPr>
    <w:tcPr>
      <w:shd w:val="clear" w:color="auto" w:fill="9BBB59"/>
    </w:tcPr>
    <w:tblStylePr w:type="firstRow">
      <w:rPr>
        <w:b/>
        <w:bCs/>
      </w:rPr>
      <w:tcPr>
        <w:tcBorders>
          <w:top w:val="nil"/>
          <w:left w:val="nil"/>
          <w:bottom w:val="single" w:color="FFFFFF" w:sz="18" w:space="0"/>
          <w:right w:val="nil"/>
          <w:insideH w:val="nil"/>
          <w:insideV w:val="nil"/>
        </w:tcBorders>
        <w:shd w:val="clear" w:color="auto" w:fill="000000"/>
      </w:tcPr>
    </w:tblStylePr>
    <w:tblStylePr w:type="lastRow">
      <w:tcPr>
        <w:tcBorders>
          <w:top w:val="single" w:color="FFFFFF" w:sz="18" w:space="0"/>
          <w:left w:val="nil"/>
          <w:bottom w:val="nil"/>
          <w:right w:val="nil"/>
          <w:insideH w:val="nil"/>
          <w:insideV w:val="nil"/>
        </w:tcBorders>
        <w:shd w:val="clear" w:color="auto" w:fill="4E6128"/>
      </w:tcPr>
    </w:tblStylePr>
    <w:tblStylePr w:type="firstCol">
      <w:tcPr>
        <w:tcBorders>
          <w:top w:val="nil"/>
          <w:left w:val="nil"/>
          <w:bottom w:val="nil"/>
          <w:right w:val="single" w:color="FFFFFF" w:sz="18" w:space="0"/>
          <w:insideH w:val="nil"/>
          <w:insideV w:val="nil"/>
        </w:tcBorders>
        <w:shd w:val="clear" w:color="auto" w:fill="76923C"/>
      </w:tcPr>
    </w:tblStylePr>
    <w:tblStylePr w:type="lastCol">
      <w:tcPr>
        <w:tcBorders>
          <w:top w:val="nil"/>
          <w:left w:val="single" w:color="FFFFFF" w:sz="18" w:space="0"/>
          <w:bottom w:val="nil"/>
          <w:right w:val="nil"/>
          <w:insideH w:val="nil"/>
          <w:insideV w:val="nil"/>
        </w:tcBorders>
        <w:shd w:val="clear" w:color="auto" w:fill="76923C"/>
      </w:tcPr>
    </w:tblStylePr>
    <w:tblStylePr w:type="band1Vert">
      <w:tcPr>
        <w:tcBorders>
          <w:top w:val="nil"/>
          <w:left w:val="nil"/>
          <w:bottom w:val="nil"/>
          <w:right w:val="nil"/>
          <w:insideH w:val="nil"/>
          <w:insideV w:val="nil"/>
        </w:tcBorders>
        <w:shd w:val="clear" w:color="auto" w:fill="76923C"/>
      </w:tcPr>
    </w:tblStylePr>
    <w:tblStylePr w:type="band1Horz">
      <w:tcPr>
        <w:tcBorders>
          <w:top w:val="nil"/>
          <w:left w:val="nil"/>
          <w:bottom w:val="nil"/>
          <w:right w:val="nil"/>
          <w:insideH w:val="nil"/>
          <w:insideV w:val="nil"/>
        </w:tcBorders>
        <w:shd w:val="clear" w:color="auto" w:fill="76923C"/>
      </w:tcPr>
    </w:tblStylePr>
  </w:style>
  <w:style w:type="table" w:customStyle="1" w:styleId="173">
    <w:name w:val="深色列表 - 强调文字颜色 41"/>
    <w:basedOn w:val="34"/>
    <w:autoRedefine/>
    <w:qFormat/>
    <w:uiPriority w:val="70"/>
    <w:rPr>
      <w:rFonts w:ascii="Calibri" w:hAnsi="Calibri" w:eastAsia="宋体" w:cs="Times New Roman"/>
      <w:color w:val="FFFFFF"/>
      <w:kern w:val="0"/>
      <w:sz w:val="20"/>
      <w:szCs w:val="20"/>
    </w:rPr>
    <w:tcPr>
      <w:shd w:val="clear" w:color="auto" w:fill="8064A2"/>
    </w:tcPr>
    <w:tblStylePr w:type="firstRow">
      <w:rPr>
        <w:b/>
        <w:bCs/>
      </w:rPr>
      <w:tcPr>
        <w:tcBorders>
          <w:top w:val="nil"/>
          <w:left w:val="nil"/>
          <w:bottom w:val="single" w:color="FFFFFF" w:sz="18" w:space="0"/>
          <w:right w:val="nil"/>
          <w:insideH w:val="nil"/>
          <w:insideV w:val="nil"/>
        </w:tcBorders>
        <w:shd w:val="clear" w:color="auto" w:fill="000000"/>
      </w:tcPr>
    </w:tblStylePr>
    <w:tblStylePr w:type="lastRow">
      <w:tcPr>
        <w:tcBorders>
          <w:top w:val="single" w:color="FFFFFF" w:sz="18" w:space="0"/>
          <w:left w:val="nil"/>
          <w:bottom w:val="nil"/>
          <w:right w:val="nil"/>
          <w:insideH w:val="nil"/>
          <w:insideV w:val="nil"/>
        </w:tcBorders>
        <w:shd w:val="clear" w:color="auto" w:fill="3F3151"/>
      </w:tcPr>
    </w:tblStylePr>
    <w:tblStylePr w:type="firstCol">
      <w:tcPr>
        <w:tcBorders>
          <w:top w:val="nil"/>
          <w:left w:val="nil"/>
          <w:bottom w:val="nil"/>
          <w:right w:val="single" w:color="FFFFFF" w:sz="18" w:space="0"/>
          <w:insideH w:val="nil"/>
          <w:insideV w:val="nil"/>
        </w:tcBorders>
        <w:shd w:val="clear" w:color="auto" w:fill="5F497A"/>
      </w:tcPr>
    </w:tblStylePr>
    <w:tblStylePr w:type="lastCol">
      <w:tcPr>
        <w:tcBorders>
          <w:top w:val="nil"/>
          <w:left w:val="single" w:color="FFFFFF" w:sz="18" w:space="0"/>
          <w:bottom w:val="nil"/>
          <w:right w:val="nil"/>
          <w:insideH w:val="nil"/>
          <w:insideV w:val="nil"/>
        </w:tcBorders>
        <w:shd w:val="clear" w:color="auto" w:fill="5F497A"/>
      </w:tcPr>
    </w:tblStylePr>
    <w:tblStylePr w:type="band1Vert">
      <w:tcPr>
        <w:tcBorders>
          <w:top w:val="nil"/>
          <w:left w:val="nil"/>
          <w:bottom w:val="nil"/>
          <w:right w:val="nil"/>
          <w:insideH w:val="nil"/>
          <w:insideV w:val="nil"/>
        </w:tcBorders>
        <w:shd w:val="clear" w:color="auto" w:fill="5F497A"/>
      </w:tcPr>
    </w:tblStylePr>
    <w:tblStylePr w:type="band1Horz">
      <w:tcPr>
        <w:tcBorders>
          <w:top w:val="nil"/>
          <w:left w:val="nil"/>
          <w:bottom w:val="nil"/>
          <w:right w:val="nil"/>
          <w:insideH w:val="nil"/>
          <w:insideV w:val="nil"/>
        </w:tcBorders>
        <w:shd w:val="clear" w:color="auto" w:fill="5F497A"/>
      </w:tcPr>
    </w:tblStylePr>
  </w:style>
  <w:style w:type="table" w:customStyle="1" w:styleId="174">
    <w:name w:val="深色列表 - 强调文字颜色 51"/>
    <w:basedOn w:val="34"/>
    <w:autoRedefine/>
    <w:qFormat/>
    <w:uiPriority w:val="70"/>
    <w:rPr>
      <w:rFonts w:ascii="Calibri" w:hAnsi="Calibri" w:eastAsia="宋体" w:cs="Times New Roman"/>
      <w:color w:val="FFFFFF"/>
      <w:kern w:val="0"/>
      <w:sz w:val="20"/>
      <w:szCs w:val="20"/>
    </w:rPr>
    <w:tcPr>
      <w:shd w:val="clear" w:color="auto" w:fill="4BACC6"/>
    </w:tcPr>
    <w:tblStylePr w:type="firstRow">
      <w:rPr>
        <w:b/>
        <w:bCs/>
      </w:rPr>
      <w:tcPr>
        <w:tcBorders>
          <w:top w:val="nil"/>
          <w:left w:val="nil"/>
          <w:bottom w:val="single" w:color="FFFFFF" w:sz="18" w:space="0"/>
          <w:right w:val="nil"/>
          <w:insideH w:val="nil"/>
          <w:insideV w:val="nil"/>
        </w:tcBorders>
        <w:shd w:val="clear" w:color="auto" w:fill="000000"/>
      </w:tcPr>
    </w:tblStylePr>
    <w:tblStylePr w:type="lastRow">
      <w:tcPr>
        <w:tcBorders>
          <w:top w:val="single" w:color="FFFFFF" w:sz="18" w:space="0"/>
          <w:left w:val="nil"/>
          <w:bottom w:val="nil"/>
          <w:right w:val="nil"/>
          <w:insideH w:val="nil"/>
          <w:insideV w:val="nil"/>
        </w:tcBorders>
        <w:shd w:val="clear" w:color="auto" w:fill="205867"/>
      </w:tcPr>
    </w:tblStylePr>
    <w:tblStylePr w:type="firstCol">
      <w:tcPr>
        <w:tcBorders>
          <w:top w:val="nil"/>
          <w:left w:val="nil"/>
          <w:bottom w:val="nil"/>
          <w:right w:val="single" w:color="FFFFFF" w:sz="18" w:space="0"/>
          <w:insideH w:val="nil"/>
          <w:insideV w:val="nil"/>
        </w:tcBorders>
        <w:shd w:val="clear" w:color="auto" w:fill="31849B"/>
      </w:tcPr>
    </w:tblStylePr>
    <w:tblStylePr w:type="lastCol">
      <w:tcPr>
        <w:tcBorders>
          <w:top w:val="nil"/>
          <w:left w:val="single" w:color="FFFFFF" w:sz="18" w:space="0"/>
          <w:bottom w:val="nil"/>
          <w:right w:val="nil"/>
          <w:insideH w:val="nil"/>
          <w:insideV w:val="nil"/>
        </w:tcBorders>
        <w:shd w:val="clear" w:color="auto" w:fill="31849B"/>
      </w:tcPr>
    </w:tblStylePr>
    <w:tblStylePr w:type="band1Vert">
      <w:tcPr>
        <w:tcBorders>
          <w:top w:val="nil"/>
          <w:left w:val="nil"/>
          <w:bottom w:val="nil"/>
          <w:right w:val="nil"/>
          <w:insideH w:val="nil"/>
          <w:insideV w:val="nil"/>
        </w:tcBorders>
        <w:shd w:val="clear" w:color="auto" w:fill="31849B"/>
      </w:tcPr>
    </w:tblStylePr>
    <w:tblStylePr w:type="band1Horz">
      <w:tcPr>
        <w:tcBorders>
          <w:top w:val="nil"/>
          <w:left w:val="nil"/>
          <w:bottom w:val="nil"/>
          <w:right w:val="nil"/>
          <w:insideH w:val="nil"/>
          <w:insideV w:val="nil"/>
        </w:tcBorders>
        <w:shd w:val="clear" w:color="auto" w:fill="31849B"/>
      </w:tcPr>
    </w:tblStylePr>
  </w:style>
  <w:style w:type="table" w:customStyle="1" w:styleId="175">
    <w:name w:val="中等深浅底纹 1 - 强调文字颜色 41"/>
    <w:basedOn w:val="34"/>
    <w:autoRedefine/>
    <w:qFormat/>
    <w:uiPriority w:val="63"/>
    <w:rPr>
      <w:rFonts w:ascii="Calibri" w:hAnsi="Calibri" w:eastAsia="宋体" w:cs="Times New Roman"/>
      <w:kern w:val="0"/>
      <w:sz w:val="20"/>
      <w:szCs w:val="20"/>
    </w:rPr>
    <w:tblPr>
      <w:tblBorders>
        <w:top w:val="single" w:color="9F8AB9" w:sz="8" w:space="0"/>
        <w:left w:val="single" w:color="9F8AB9" w:sz="8" w:space="0"/>
        <w:bottom w:val="single" w:color="9F8AB9" w:sz="8" w:space="0"/>
        <w:right w:val="single" w:color="9F8AB9" w:sz="8" w:space="0"/>
        <w:insideH w:val="single" w:color="9F8AB9" w:sz="8" w:space="0"/>
      </w:tblBorders>
    </w:tblPr>
    <w:tblStylePr w:type="firstRow">
      <w:pPr>
        <w:spacing w:before="0" w:after="0" w:line="240" w:lineRule="auto"/>
      </w:pPr>
      <w:rPr>
        <w:b/>
        <w:bCs/>
        <w:color w:val="FFFFFF"/>
      </w:rPr>
      <w:tcPr>
        <w:tcBorders>
          <w:top w:val="single" w:color="9F8AB9" w:sz="8" w:space="0"/>
          <w:left w:val="single" w:color="9F8AB9" w:sz="8" w:space="0"/>
          <w:bottom w:val="single" w:color="9F8AB9" w:sz="8" w:space="0"/>
          <w:right w:val="single" w:color="9F8AB9" w:sz="8" w:space="0"/>
          <w:insideH w:val="nil"/>
          <w:insideV w:val="nil"/>
        </w:tcBorders>
        <w:shd w:val="clear" w:color="auto" w:fill="8064A2"/>
      </w:tcPr>
    </w:tblStylePr>
    <w:tblStylePr w:type="lastRow">
      <w:pPr>
        <w:spacing w:before="0" w:after="0" w:line="240" w:lineRule="auto"/>
      </w:pPr>
      <w:rPr>
        <w:b/>
        <w:bCs/>
      </w:rPr>
      <w:tcPr>
        <w:tcBorders>
          <w:top w:val="double" w:color="9F8AB9" w:sz="6" w:space="0"/>
          <w:left w:val="single" w:color="9F8AB9" w:sz="8" w:space="0"/>
          <w:bottom w:val="single" w:color="9F8AB9" w:sz="8" w:space="0"/>
          <w:right w:val="single" w:color="9F8AB9" w:sz="8" w:space="0"/>
          <w:insideH w:val="nil"/>
          <w:insideV w:val="nil"/>
        </w:tcBorders>
      </w:tcPr>
    </w:tblStylePr>
    <w:tblStylePr w:type="firstCol">
      <w:rPr>
        <w:b/>
        <w:bCs/>
      </w:rPr>
    </w:tblStylePr>
    <w:tblStylePr w:type="lastCol">
      <w:rPr>
        <w:b/>
        <w:bCs/>
      </w:rPr>
    </w:tblStylePr>
    <w:tblStylePr w:type="band1Vert">
      <w:tcPr>
        <w:shd w:val="clear" w:color="auto" w:fill="DFD8E8"/>
      </w:tcPr>
    </w:tblStylePr>
    <w:tblStylePr w:type="band1Horz">
      <w:tcPr>
        <w:tcBorders>
          <w:insideH w:val="nil"/>
          <w:insideV w:val="nil"/>
        </w:tcBorders>
        <w:shd w:val="clear" w:color="auto" w:fill="DFD8E8"/>
      </w:tcPr>
    </w:tblStylePr>
    <w:tblStylePr w:type="band2Horz">
      <w:tcPr>
        <w:tcBorders>
          <w:insideH w:val="nil"/>
          <w:insideV w:val="nil"/>
        </w:tcBorders>
      </w:tcPr>
    </w:tblStylePr>
  </w:style>
  <w:style w:type="table" w:customStyle="1" w:styleId="176">
    <w:name w:val="浅色列表 - 强调文字颜色 31"/>
    <w:basedOn w:val="34"/>
    <w:autoRedefine/>
    <w:qFormat/>
    <w:uiPriority w:val="61"/>
    <w:rPr>
      <w:rFonts w:ascii="Calibri" w:hAnsi="Calibri" w:eastAsia="宋体" w:cs="Times New Roman"/>
      <w:kern w:val="0"/>
      <w:sz w:val="20"/>
      <w:szCs w:val="20"/>
    </w:rPr>
    <w:tblPr>
      <w:tblBorders>
        <w:top w:val="single" w:color="9BBB59" w:sz="8" w:space="0"/>
        <w:left w:val="single" w:color="9BBB59" w:sz="8" w:space="0"/>
        <w:bottom w:val="single" w:color="9BBB59" w:sz="8" w:space="0"/>
        <w:right w:val="single" w:color="9BBB59" w:sz="8" w:space="0"/>
      </w:tblBorders>
    </w:tblPr>
    <w:tblStylePr w:type="firstRow">
      <w:pPr>
        <w:spacing w:before="0" w:after="0" w:line="240" w:lineRule="auto"/>
      </w:pPr>
      <w:rPr>
        <w:b/>
        <w:bCs/>
        <w:color w:val="FFFFFF"/>
      </w:rPr>
      <w:tcPr>
        <w:shd w:val="clear" w:color="auto" w:fill="9BBB59"/>
      </w:tcPr>
    </w:tblStylePr>
    <w:tblStylePr w:type="lastRow">
      <w:pPr>
        <w:spacing w:before="0" w:after="0" w:line="240" w:lineRule="auto"/>
      </w:pPr>
      <w:rPr>
        <w:b/>
        <w:bCs/>
      </w:rPr>
      <w:tcPr>
        <w:tcBorders>
          <w:top w:val="double" w:color="9BBB59" w:sz="6" w:space="0"/>
          <w:left w:val="single" w:color="9BBB59" w:sz="8" w:space="0"/>
          <w:bottom w:val="single" w:color="9BBB59" w:sz="8" w:space="0"/>
          <w:right w:val="single" w:color="9BBB59" w:sz="8" w:space="0"/>
        </w:tcBorders>
      </w:tcPr>
    </w:tblStylePr>
    <w:tblStylePr w:type="firstCol">
      <w:rPr>
        <w:b/>
        <w:bCs/>
      </w:rPr>
    </w:tblStylePr>
    <w:tblStylePr w:type="lastCol">
      <w:rPr>
        <w:b/>
        <w:bCs/>
      </w:rPr>
    </w:tblStylePr>
    <w:tblStylePr w:type="band1Vert">
      <w:tcPr>
        <w:tcBorders>
          <w:top w:val="single" w:color="9BBB59" w:sz="8" w:space="0"/>
          <w:left w:val="single" w:color="9BBB59" w:sz="8" w:space="0"/>
          <w:bottom w:val="single" w:color="9BBB59" w:sz="8" w:space="0"/>
          <w:right w:val="single" w:color="9BBB59" w:sz="8" w:space="0"/>
        </w:tcBorders>
      </w:tcPr>
    </w:tblStylePr>
    <w:tblStylePr w:type="band1Horz">
      <w:tcPr>
        <w:tcBorders>
          <w:top w:val="single" w:color="9BBB59" w:sz="8" w:space="0"/>
          <w:left w:val="single" w:color="9BBB59" w:sz="8" w:space="0"/>
          <w:bottom w:val="single" w:color="9BBB59" w:sz="8" w:space="0"/>
          <w:right w:val="single" w:color="9BBB59" w:sz="8" w:space="0"/>
        </w:tcBorders>
      </w:tcPr>
    </w:tblStylePr>
  </w:style>
  <w:style w:type="table" w:customStyle="1" w:styleId="177">
    <w:name w:val="浅色列表 - 强调文字颜色 21"/>
    <w:basedOn w:val="34"/>
    <w:autoRedefine/>
    <w:qFormat/>
    <w:uiPriority w:val="61"/>
    <w:rPr>
      <w:rFonts w:ascii="Calibri" w:hAnsi="Calibri" w:eastAsia="宋体" w:cs="Times New Roman"/>
      <w:kern w:val="0"/>
      <w:sz w:val="20"/>
      <w:szCs w:val="20"/>
    </w:rPr>
    <w:tblPr>
      <w:tblBorders>
        <w:top w:val="single" w:color="C0504D" w:sz="8" w:space="0"/>
        <w:left w:val="single" w:color="C0504D" w:sz="8" w:space="0"/>
        <w:bottom w:val="single" w:color="C0504D" w:sz="8" w:space="0"/>
        <w:right w:val="single" w:color="C0504D" w:sz="8" w:space="0"/>
      </w:tblBorders>
    </w:tblPr>
    <w:tblStylePr w:type="firstRow">
      <w:pPr>
        <w:spacing w:before="0" w:after="0" w:line="240" w:lineRule="auto"/>
      </w:pPr>
      <w:rPr>
        <w:b/>
        <w:bCs/>
        <w:color w:val="FFFFFF"/>
      </w:rPr>
      <w:tcPr>
        <w:shd w:val="clear" w:color="auto" w:fill="C0504D"/>
      </w:tcPr>
    </w:tblStylePr>
    <w:tblStylePr w:type="lastRow">
      <w:pPr>
        <w:spacing w:before="0" w:after="0" w:line="240" w:lineRule="auto"/>
      </w:pPr>
      <w:rPr>
        <w:b/>
        <w:bCs/>
      </w:rPr>
      <w:tcPr>
        <w:tcBorders>
          <w:top w:val="double" w:color="C0504D" w:sz="6" w:space="0"/>
          <w:left w:val="single" w:color="C0504D" w:sz="8" w:space="0"/>
          <w:bottom w:val="single" w:color="C0504D" w:sz="8" w:space="0"/>
          <w:right w:val="single" w:color="C0504D" w:sz="8" w:space="0"/>
        </w:tcBorders>
      </w:tcPr>
    </w:tblStylePr>
    <w:tblStylePr w:type="firstCol">
      <w:rPr>
        <w:b/>
        <w:bCs/>
      </w:rPr>
    </w:tblStylePr>
    <w:tblStylePr w:type="lastCol">
      <w:rPr>
        <w:b/>
        <w:bCs/>
      </w:rPr>
    </w:tblStylePr>
    <w:tblStylePr w:type="band1Vert">
      <w:tcPr>
        <w:tcBorders>
          <w:top w:val="single" w:color="C0504D" w:sz="8" w:space="0"/>
          <w:left w:val="single" w:color="C0504D" w:sz="8" w:space="0"/>
          <w:bottom w:val="single" w:color="C0504D" w:sz="8" w:space="0"/>
          <w:right w:val="single" w:color="C0504D" w:sz="8" w:space="0"/>
        </w:tcBorders>
      </w:tcPr>
    </w:tblStylePr>
    <w:tblStylePr w:type="band1Horz">
      <w:tcPr>
        <w:tcBorders>
          <w:top w:val="single" w:color="C0504D" w:sz="8" w:space="0"/>
          <w:left w:val="single" w:color="C0504D" w:sz="8" w:space="0"/>
          <w:bottom w:val="single" w:color="C0504D" w:sz="8" w:space="0"/>
          <w:right w:val="single" w:color="C0504D" w:sz="8" w:space="0"/>
        </w:tcBorders>
      </w:tcPr>
    </w:tblStylePr>
  </w:style>
  <w:style w:type="table" w:customStyle="1" w:styleId="178">
    <w:name w:val="浅色列表 - 强调文字颜色 41"/>
    <w:basedOn w:val="34"/>
    <w:autoRedefine/>
    <w:qFormat/>
    <w:uiPriority w:val="61"/>
    <w:rPr>
      <w:rFonts w:ascii="Calibri" w:hAnsi="Calibri" w:eastAsia="宋体" w:cs="Times New Roman"/>
      <w:kern w:val="0"/>
      <w:sz w:val="20"/>
      <w:szCs w:val="20"/>
    </w:rPr>
    <w:tblPr>
      <w:tblBorders>
        <w:top w:val="single" w:color="8064A2" w:sz="8" w:space="0"/>
        <w:left w:val="single" w:color="8064A2" w:sz="8" w:space="0"/>
        <w:bottom w:val="single" w:color="8064A2" w:sz="8" w:space="0"/>
        <w:right w:val="single" w:color="8064A2" w:sz="8" w:space="0"/>
      </w:tblBorders>
    </w:tblPr>
    <w:tblStylePr w:type="firstRow">
      <w:pPr>
        <w:spacing w:before="0" w:after="0" w:line="240" w:lineRule="auto"/>
      </w:pPr>
      <w:rPr>
        <w:b/>
        <w:bCs/>
        <w:color w:val="FFFFFF"/>
      </w:rPr>
      <w:tcPr>
        <w:shd w:val="clear" w:color="auto" w:fill="8064A2"/>
      </w:tcPr>
    </w:tblStylePr>
    <w:tblStylePr w:type="lastRow">
      <w:pPr>
        <w:spacing w:before="0" w:after="0" w:line="240" w:lineRule="auto"/>
      </w:pPr>
      <w:rPr>
        <w:b/>
        <w:bCs/>
      </w:rPr>
      <w:tcPr>
        <w:tcBorders>
          <w:top w:val="double" w:color="8064A2" w:sz="6" w:space="0"/>
          <w:left w:val="single" w:color="8064A2" w:sz="8" w:space="0"/>
          <w:bottom w:val="single" w:color="8064A2" w:sz="8" w:space="0"/>
          <w:right w:val="single" w:color="8064A2" w:sz="8" w:space="0"/>
        </w:tcBorders>
      </w:tcPr>
    </w:tblStylePr>
    <w:tblStylePr w:type="firstCol">
      <w:rPr>
        <w:b/>
        <w:bCs/>
      </w:rPr>
    </w:tblStylePr>
    <w:tblStylePr w:type="lastCol">
      <w:rPr>
        <w:b/>
        <w:bCs/>
      </w:rPr>
    </w:tblStylePr>
    <w:tblStylePr w:type="band1Vert">
      <w:tcPr>
        <w:tcBorders>
          <w:top w:val="single" w:color="8064A2" w:sz="8" w:space="0"/>
          <w:left w:val="single" w:color="8064A2" w:sz="8" w:space="0"/>
          <w:bottom w:val="single" w:color="8064A2" w:sz="8" w:space="0"/>
          <w:right w:val="single" w:color="8064A2" w:sz="8" w:space="0"/>
        </w:tcBorders>
      </w:tcPr>
    </w:tblStylePr>
    <w:tblStylePr w:type="band1Horz">
      <w:tcPr>
        <w:tcBorders>
          <w:top w:val="single" w:color="8064A2" w:sz="8" w:space="0"/>
          <w:left w:val="single" w:color="8064A2" w:sz="8" w:space="0"/>
          <w:bottom w:val="single" w:color="8064A2" w:sz="8" w:space="0"/>
          <w:right w:val="single" w:color="8064A2" w:sz="8" w:space="0"/>
        </w:tcBorders>
      </w:tcPr>
    </w:tblStylePr>
  </w:style>
  <w:style w:type="table" w:customStyle="1" w:styleId="179">
    <w:name w:val="中等深浅底纹 2 - 强调文字颜色 21"/>
    <w:basedOn w:val="34"/>
    <w:autoRedefine/>
    <w:qFormat/>
    <w:uiPriority w:val="64"/>
    <w:rPr>
      <w:rFonts w:ascii="Calibri" w:hAnsi="Calibri" w:eastAsia="宋体" w:cs="Times New Roman"/>
      <w:kern w:val="0"/>
      <w:sz w:val="20"/>
      <w:szCs w:val="20"/>
    </w:rPr>
    <w:tblPr>
      <w:tblBorders>
        <w:top w:val="single" w:color="auto" w:sz="18" w:space="0"/>
        <w:bottom w:val="single" w:color="auto" w:sz="18" w:space="0"/>
      </w:tblBorders>
    </w:tblPr>
    <w:tblStylePr w:type="firstRow">
      <w:pPr>
        <w:spacing w:before="0" w:after="0" w:line="240" w:lineRule="auto"/>
      </w:pPr>
      <w:rPr>
        <w:b/>
        <w:bCs/>
        <w:color w:val="FFFFFF"/>
      </w:rPr>
      <w:tcPr>
        <w:tcBorders>
          <w:top w:val="single" w:color="auto" w:sz="18" w:space="0"/>
          <w:left w:val="nil"/>
          <w:bottom w:val="single" w:color="auto" w:sz="18" w:space="0"/>
          <w:right w:val="nil"/>
          <w:insideH w:val="nil"/>
          <w:insideV w:val="nil"/>
        </w:tcBorders>
        <w:shd w:val="clear" w:color="auto" w:fill="C0504D"/>
      </w:tcPr>
    </w:tblStylePr>
    <w:tblStylePr w:type="lastRow">
      <w:pPr>
        <w:spacing w:before="0" w:after="0" w:line="240" w:lineRule="auto"/>
      </w:pPr>
      <w:rPr>
        <w:color w:val="auto"/>
      </w:rPr>
      <w:tcPr>
        <w:tcBorders>
          <w:top w:val="double" w:color="auto" w:sz="6" w:space="0"/>
          <w:left w:val="nil"/>
          <w:bottom w:val="single" w:color="auto" w:sz="18" w:space="0"/>
          <w:right w:val="nil"/>
          <w:insideH w:val="nil"/>
          <w:insideV w:val="nil"/>
        </w:tcBorders>
        <w:shd w:val="clear" w:color="auto" w:fill="FFFFFF"/>
      </w:tcPr>
    </w:tblStylePr>
    <w:tblStylePr w:type="firstCol">
      <w:rPr>
        <w:b/>
        <w:bCs/>
        <w:color w:val="FFFFFF"/>
      </w:rPr>
      <w:tcPr>
        <w:tcBorders>
          <w:top w:val="nil"/>
          <w:left w:val="nil"/>
          <w:bottom w:val="single" w:color="auto" w:sz="18" w:space="0"/>
          <w:right w:val="nil"/>
          <w:insideH w:val="nil"/>
          <w:insideV w:val="nil"/>
        </w:tcBorders>
        <w:shd w:val="clear" w:color="auto" w:fill="C0504D"/>
      </w:tcPr>
    </w:tblStylePr>
    <w:tblStylePr w:type="lastCol">
      <w:rPr>
        <w:b/>
        <w:bCs/>
        <w:color w:val="FFFFFF"/>
      </w:rPr>
      <w:tcPr>
        <w:tcBorders>
          <w:left w:val="nil"/>
          <w:right w:val="nil"/>
          <w:insideH w:val="nil"/>
          <w:insideV w:val="nil"/>
        </w:tcBorders>
        <w:shd w:val="clear" w:color="auto" w:fill="C0504D"/>
      </w:tcPr>
    </w:tblStylePr>
    <w:tblStylePr w:type="band1Vert">
      <w:tcPr>
        <w:tcBorders>
          <w:left w:val="nil"/>
          <w:right w:val="nil"/>
          <w:insideH w:val="nil"/>
          <w:insideV w:val="nil"/>
        </w:tcBorders>
        <w:shd w:val="clear" w:color="auto" w:fill="D8D8D8"/>
      </w:tcPr>
    </w:tblStylePr>
    <w:tblStylePr w:type="band1Horz">
      <w:tcPr>
        <w:shd w:val="clear" w:color="auto" w:fill="D8D8D8"/>
      </w:tcPr>
    </w:tblStylePr>
    <w:tblStylePr w:type="neCell">
      <w:tcPr>
        <w:tcBorders>
          <w:top w:val="single" w:color="auto" w:sz="18" w:space="0"/>
          <w:left w:val="nil"/>
          <w:bottom w:val="single" w:color="auto" w:sz="18" w:space="0"/>
          <w:right w:val="nil"/>
          <w:insideH w:val="nil"/>
          <w:insideV w:val="nil"/>
        </w:tcBorders>
      </w:tcPr>
    </w:tblStylePr>
    <w:tblStylePr w:type="nwCell">
      <w:rPr>
        <w:color w:val="FFFFFF"/>
      </w:rPr>
      <w:tcPr>
        <w:tcBorders>
          <w:top w:val="single" w:color="auto" w:sz="18" w:space="0"/>
          <w:left w:val="nil"/>
          <w:bottom w:val="single" w:color="auto" w:sz="18" w:space="0"/>
          <w:right w:val="nil"/>
          <w:insideH w:val="nil"/>
          <w:insideV w:val="nil"/>
        </w:tcBorders>
      </w:tcPr>
    </w:tblStylePr>
  </w:style>
  <w:style w:type="table" w:customStyle="1" w:styleId="180">
    <w:name w:val="中等深浅底纹 1 - 强调文字颜色 21"/>
    <w:basedOn w:val="34"/>
    <w:autoRedefine/>
    <w:qFormat/>
    <w:uiPriority w:val="63"/>
    <w:rPr>
      <w:rFonts w:ascii="Calibri" w:hAnsi="Calibri" w:eastAsia="宋体" w:cs="Times New Roman"/>
      <w:kern w:val="0"/>
      <w:sz w:val="20"/>
      <w:szCs w:val="20"/>
    </w:rPr>
    <w:tblPr>
      <w:tblBorders>
        <w:top w:val="single" w:color="CF7B79" w:sz="8" w:space="0"/>
        <w:left w:val="single" w:color="CF7B79" w:sz="8" w:space="0"/>
        <w:bottom w:val="single" w:color="CF7B79" w:sz="8" w:space="0"/>
        <w:right w:val="single" w:color="CF7B79" w:sz="8" w:space="0"/>
        <w:insideH w:val="single" w:color="CF7B79" w:sz="8" w:space="0"/>
      </w:tblBorders>
    </w:tblPr>
    <w:tblStylePr w:type="firstRow">
      <w:pPr>
        <w:spacing w:before="0" w:after="0" w:line="240" w:lineRule="auto"/>
      </w:pPr>
      <w:rPr>
        <w:b/>
        <w:bCs/>
        <w:color w:val="FFFFFF"/>
      </w:rPr>
      <w:tcPr>
        <w:tcBorders>
          <w:top w:val="single" w:color="CF7B79" w:sz="8" w:space="0"/>
          <w:left w:val="single" w:color="CF7B79" w:sz="8" w:space="0"/>
          <w:bottom w:val="single" w:color="CF7B79" w:sz="8" w:space="0"/>
          <w:right w:val="single" w:color="CF7B79" w:sz="8" w:space="0"/>
          <w:insideH w:val="nil"/>
          <w:insideV w:val="nil"/>
        </w:tcBorders>
        <w:shd w:val="clear" w:color="auto" w:fill="C0504D"/>
      </w:tcPr>
    </w:tblStylePr>
    <w:tblStylePr w:type="lastRow">
      <w:pPr>
        <w:spacing w:before="0" w:after="0" w:line="240" w:lineRule="auto"/>
      </w:pPr>
      <w:rPr>
        <w:b/>
        <w:bCs/>
      </w:rPr>
      <w:tcPr>
        <w:tcBorders>
          <w:top w:val="double" w:color="CF7B79" w:sz="6" w:space="0"/>
          <w:left w:val="single" w:color="CF7B79" w:sz="8" w:space="0"/>
          <w:bottom w:val="single" w:color="CF7B79" w:sz="8" w:space="0"/>
          <w:right w:val="single" w:color="CF7B79" w:sz="8" w:space="0"/>
          <w:insideH w:val="nil"/>
          <w:insideV w:val="nil"/>
        </w:tcBorders>
      </w:tcPr>
    </w:tblStylePr>
    <w:tblStylePr w:type="firstCol">
      <w:rPr>
        <w:b/>
        <w:bCs/>
      </w:rPr>
    </w:tblStylePr>
    <w:tblStylePr w:type="lastCol">
      <w:rPr>
        <w:b/>
        <w:bCs/>
      </w:rPr>
    </w:tblStylePr>
    <w:tblStylePr w:type="band1Vert">
      <w:tcPr>
        <w:shd w:val="clear" w:color="auto" w:fill="EFD3D2"/>
      </w:tcPr>
    </w:tblStylePr>
    <w:tblStylePr w:type="band1Horz">
      <w:tcPr>
        <w:tcBorders>
          <w:insideH w:val="nil"/>
          <w:insideV w:val="nil"/>
        </w:tcBorders>
        <w:shd w:val="clear" w:color="auto" w:fill="EFD3D2"/>
      </w:tcPr>
    </w:tblStylePr>
    <w:tblStylePr w:type="band2Horz">
      <w:tcPr>
        <w:tcBorders>
          <w:insideH w:val="nil"/>
          <w:insideV w:val="nil"/>
        </w:tcBorders>
      </w:tcPr>
    </w:tblStylePr>
  </w:style>
  <w:style w:type="table" w:customStyle="1" w:styleId="181">
    <w:name w:val="中等深浅网格 3 - 强调文字颜色 11"/>
    <w:basedOn w:val="34"/>
    <w:uiPriority w:val="69"/>
    <w:rPr>
      <w:rFonts w:ascii="Calibri" w:hAnsi="Calibri" w:eastAsia="宋体" w:cs="Times New Roman"/>
      <w:kern w:val="0"/>
      <w:sz w:val="20"/>
      <w:szCs w:val="20"/>
    </w:rPr>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D3DFEE"/>
    </w:tcPr>
    <w:tblStylePr w:type="firstRow">
      <w:rPr>
        <w:b/>
        <w:bCs/>
        <w:i w:val="0"/>
        <w:iCs w:val="0"/>
        <w:color w:val="FFFFFF"/>
      </w:rPr>
      <w:tcPr>
        <w:tcBorders>
          <w:top w:val="single" w:color="FFFFFF" w:sz="8" w:space="0"/>
          <w:left w:val="single" w:color="FFFFFF" w:sz="8" w:space="0"/>
          <w:bottom w:val="single" w:color="FFFFFF" w:sz="24" w:space="0"/>
          <w:right w:val="single" w:color="FFFFFF" w:sz="8" w:space="0"/>
          <w:insideH w:val="nil"/>
          <w:insideV w:val="single" w:sz="8" w:space="0"/>
        </w:tcBorders>
        <w:shd w:val="clear" w:color="auto" w:fill="4F81BD"/>
      </w:tcPr>
    </w:tblStylePr>
    <w:tblStylePr w:type="lastRow">
      <w:rPr>
        <w:b/>
        <w:bCs/>
        <w:i w:val="0"/>
        <w:iCs w:val="0"/>
        <w:color w:val="FFFFFF"/>
      </w:r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4F81BD"/>
      </w:tcPr>
    </w:tblStylePr>
    <w:tblStylePr w:type="firstCol">
      <w:rPr>
        <w:b/>
        <w:bCs/>
        <w:i w:val="0"/>
        <w:iCs w:val="0"/>
        <w:color w:val="FFFFFF"/>
      </w:rPr>
      <w:tcPr>
        <w:tcBorders>
          <w:left w:val="single" w:color="FFFFFF" w:sz="8" w:space="0"/>
          <w:right w:val="single" w:color="FFFFFF" w:sz="24" w:space="0"/>
          <w:insideH w:val="nil"/>
          <w:insideV w:val="nil"/>
        </w:tcBorders>
        <w:shd w:val="clear" w:color="auto" w:fill="4F81BD"/>
      </w:tcPr>
    </w:tblStylePr>
    <w:tblStylePr w:type="lastCol">
      <w:rPr>
        <w:b/>
        <w:bCs/>
        <w:i w:val="0"/>
        <w:iCs w:val="0"/>
        <w:color w:val="FFFFFF"/>
      </w:rPr>
      <w:tcPr>
        <w:tcBorders>
          <w:top w:val="nil"/>
          <w:left w:val="single" w:color="FFFFFF" w:sz="24" w:space="0"/>
          <w:bottom w:val="nil"/>
          <w:right w:val="nil"/>
          <w:insideH w:val="nil"/>
          <w:insideV w:val="nil"/>
        </w:tcBorders>
        <w:shd w:val="clear" w:color="auto" w:fill="4F81BD"/>
      </w:tcPr>
    </w:tblStylePr>
    <w:tblStylePr w:type="band1Vert">
      <w:tcPr>
        <w:tcBorders>
          <w:top w:val="single" w:color="FFFFFF" w:sz="8" w:space="0"/>
          <w:left w:val="single" w:color="FFFFFF" w:sz="8" w:space="0"/>
          <w:bottom w:val="single" w:color="FFFFFF" w:sz="8" w:space="0"/>
          <w:right w:val="single" w:color="FFFFFF" w:sz="8" w:space="0"/>
          <w:insideH w:val="nil"/>
          <w:insideV w:val="nil"/>
        </w:tcBorders>
        <w:shd w:val="clear" w:color="auto" w:fill="A7BFDE"/>
      </w:tcPr>
    </w:tblStylePr>
    <w:tblStylePr w:type="band1Horz">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A7BFDE"/>
      </w:tcPr>
    </w:tblStylePr>
  </w:style>
  <w:style w:type="table" w:customStyle="1" w:styleId="182">
    <w:name w:val="中等深浅底纹 2 - 强调文字颜色 31"/>
    <w:basedOn w:val="34"/>
    <w:autoRedefine/>
    <w:qFormat/>
    <w:uiPriority w:val="64"/>
    <w:rPr>
      <w:rFonts w:ascii="Calibri" w:hAnsi="Calibri" w:eastAsia="宋体" w:cs="Times New Roman"/>
      <w:kern w:val="0"/>
      <w:sz w:val="20"/>
      <w:szCs w:val="20"/>
    </w:rPr>
    <w:tblPr>
      <w:tblBorders>
        <w:top w:val="single" w:color="auto" w:sz="18" w:space="0"/>
        <w:bottom w:val="single" w:color="auto" w:sz="18" w:space="0"/>
      </w:tblBorders>
    </w:tblPr>
    <w:tblStylePr w:type="firstRow">
      <w:pPr>
        <w:spacing w:before="0" w:after="0" w:line="240" w:lineRule="auto"/>
      </w:pPr>
      <w:rPr>
        <w:b/>
        <w:bCs/>
        <w:color w:val="FFFFFF"/>
      </w:rPr>
      <w:tcPr>
        <w:tcBorders>
          <w:top w:val="single" w:color="auto" w:sz="18" w:space="0"/>
          <w:left w:val="nil"/>
          <w:bottom w:val="single" w:color="auto" w:sz="18" w:space="0"/>
          <w:right w:val="nil"/>
          <w:insideH w:val="nil"/>
          <w:insideV w:val="nil"/>
        </w:tcBorders>
        <w:shd w:val="clear" w:color="auto" w:fill="9BBB59"/>
      </w:tcPr>
    </w:tblStylePr>
    <w:tblStylePr w:type="lastRow">
      <w:pPr>
        <w:spacing w:before="0" w:after="0" w:line="240" w:lineRule="auto"/>
      </w:pPr>
      <w:rPr>
        <w:color w:val="auto"/>
      </w:rPr>
      <w:tcPr>
        <w:tcBorders>
          <w:top w:val="double" w:color="auto" w:sz="6" w:space="0"/>
          <w:left w:val="nil"/>
          <w:bottom w:val="single" w:color="auto" w:sz="18" w:space="0"/>
          <w:right w:val="nil"/>
          <w:insideH w:val="nil"/>
          <w:insideV w:val="nil"/>
        </w:tcBorders>
        <w:shd w:val="clear" w:color="auto" w:fill="FFFFFF"/>
      </w:tcPr>
    </w:tblStylePr>
    <w:tblStylePr w:type="firstCol">
      <w:rPr>
        <w:b/>
        <w:bCs/>
        <w:color w:val="FFFFFF"/>
      </w:rPr>
      <w:tcPr>
        <w:tcBorders>
          <w:top w:val="nil"/>
          <w:left w:val="nil"/>
          <w:bottom w:val="single" w:color="auto" w:sz="18" w:space="0"/>
          <w:right w:val="nil"/>
          <w:insideH w:val="nil"/>
          <w:insideV w:val="nil"/>
        </w:tcBorders>
        <w:shd w:val="clear" w:color="auto" w:fill="9BBB59"/>
      </w:tcPr>
    </w:tblStylePr>
    <w:tblStylePr w:type="lastCol">
      <w:rPr>
        <w:b/>
        <w:bCs/>
        <w:color w:val="FFFFFF"/>
      </w:rPr>
      <w:tcPr>
        <w:tcBorders>
          <w:left w:val="nil"/>
          <w:right w:val="nil"/>
          <w:insideH w:val="nil"/>
          <w:insideV w:val="nil"/>
        </w:tcBorders>
        <w:shd w:val="clear" w:color="auto" w:fill="9BBB59"/>
      </w:tcPr>
    </w:tblStylePr>
    <w:tblStylePr w:type="band1Vert">
      <w:tcPr>
        <w:tcBorders>
          <w:left w:val="nil"/>
          <w:right w:val="nil"/>
          <w:insideH w:val="nil"/>
          <w:insideV w:val="nil"/>
        </w:tcBorders>
        <w:shd w:val="clear" w:color="auto" w:fill="D8D8D8"/>
      </w:tcPr>
    </w:tblStylePr>
    <w:tblStylePr w:type="band1Horz">
      <w:tcPr>
        <w:shd w:val="clear" w:color="auto" w:fill="D8D8D8"/>
      </w:tcPr>
    </w:tblStylePr>
    <w:tblStylePr w:type="neCell">
      <w:tcPr>
        <w:tcBorders>
          <w:top w:val="single" w:color="auto" w:sz="18" w:space="0"/>
          <w:left w:val="nil"/>
          <w:bottom w:val="single" w:color="auto" w:sz="18" w:space="0"/>
          <w:right w:val="nil"/>
          <w:insideH w:val="nil"/>
          <w:insideV w:val="nil"/>
        </w:tcBorders>
      </w:tcPr>
    </w:tblStylePr>
    <w:tblStylePr w:type="nwCell">
      <w:rPr>
        <w:color w:val="FFFFFF"/>
      </w:rPr>
      <w:tcPr>
        <w:tcBorders>
          <w:top w:val="single" w:color="auto" w:sz="18" w:space="0"/>
          <w:left w:val="nil"/>
          <w:bottom w:val="single" w:color="auto" w:sz="18" w:space="0"/>
          <w:right w:val="nil"/>
          <w:insideH w:val="nil"/>
          <w:insideV w:val="nil"/>
        </w:tcBorders>
      </w:tcPr>
    </w:tblStylePr>
  </w:style>
  <w:style w:type="table" w:customStyle="1" w:styleId="183">
    <w:name w:val="浅色列表 - 强调文字颜色 51"/>
    <w:basedOn w:val="34"/>
    <w:autoRedefine/>
    <w:qFormat/>
    <w:uiPriority w:val="61"/>
    <w:rPr>
      <w:rFonts w:ascii="Calibri" w:hAnsi="Calibri" w:eastAsia="宋体" w:cs="Times New Roman"/>
      <w:kern w:val="0"/>
      <w:sz w:val="20"/>
      <w:szCs w:val="20"/>
    </w:rPr>
    <w:tblPr>
      <w:tblBorders>
        <w:top w:val="single" w:color="4BACC6" w:sz="8" w:space="0"/>
        <w:left w:val="single" w:color="4BACC6" w:sz="8" w:space="0"/>
        <w:bottom w:val="single" w:color="4BACC6" w:sz="8" w:space="0"/>
        <w:right w:val="single" w:color="4BACC6" w:sz="8" w:space="0"/>
      </w:tblBorders>
    </w:tblPr>
    <w:tblStylePr w:type="firstRow">
      <w:pPr>
        <w:spacing w:before="0" w:after="0" w:line="240" w:lineRule="auto"/>
      </w:pPr>
      <w:rPr>
        <w:b/>
        <w:bCs/>
        <w:color w:val="FFFFFF"/>
      </w:rPr>
      <w:tcPr>
        <w:shd w:val="clear" w:color="auto" w:fill="4BACC6"/>
      </w:tcPr>
    </w:tblStylePr>
    <w:tblStylePr w:type="lastRow">
      <w:pPr>
        <w:spacing w:before="0" w:after="0" w:line="240" w:lineRule="auto"/>
      </w:pPr>
      <w:rPr>
        <w:b/>
        <w:bCs/>
      </w:rPr>
      <w:tcPr>
        <w:tcBorders>
          <w:top w:val="double" w:color="4BACC6" w:sz="6" w:space="0"/>
          <w:left w:val="single" w:color="4BACC6" w:sz="8" w:space="0"/>
          <w:bottom w:val="single" w:color="4BACC6" w:sz="8" w:space="0"/>
          <w:right w:val="single" w:color="4BACC6" w:sz="8" w:space="0"/>
        </w:tcBorders>
      </w:tcPr>
    </w:tblStylePr>
    <w:tblStylePr w:type="firstCol">
      <w:rPr>
        <w:b/>
        <w:bCs/>
      </w:rPr>
    </w:tblStylePr>
    <w:tblStylePr w:type="lastCol">
      <w:rPr>
        <w:b/>
        <w:bCs/>
      </w:rPr>
    </w:tblStylePr>
    <w:tblStylePr w:type="band1Vert">
      <w:tcPr>
        <w:tcBorders>
          <w:top w:val="single" w:color="4BACC6" w:sz="8" w:space="0"/>
          <w:left w:val="single" w:color="4BACC6" w:sz="8" w:space="0"/>
          <w:bottom w:val="single" w:color="4BACC6" w:sz="8" w:space="0"/>
          <w:right w:val="single" w:color="4BACC6" w:sz="8" w:space="0"/>
        </w:tcBorders>
      </w:tcPr>
    </w:tblStylePr>
    <w:tblStylePr w:type="band1Horz">
      <w:tcPr>
        <w:tcBorders>
          <w:top w:val="single" w:color="4BACC6" w:sz="8" w:space="0"/>
          <w:left w:val="single" w:color="4BACC6" w:sz="8" w:space="0"/>
          <w:bottom w:val="single" w:color="4BACC6" w:sz="8" w:space="0"/>
          <w:right w:val="single" w:color="4BACC6" w:sz="8" w:space="0"/>
        </w:tcBorders>
      </w:tcPr>
    </w:tblStylePr>
  </w:style>
  <w:style w:type="table" w:customStyle="1" w:styleId="184">
    <w:name w:val="中等深浅网格 3 - 强调文字颜色 31"/>
    <w:basedOn w:val="34"/>
    <w:uiPriority w:val="69"/>
    <w:rPr>
      <w:rFonts w:ascii="Times New Roman" w:hAnsi="Times New Roman" w:eastAsia="宋体" w:cs="Times New Roman"/>
      <w:kern w:val="0"/>
      <w:sz w:val="20"/>
      <w:szCs w:val="20"/>
    </w:rPr>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E6EED5"/>
    </w:tcPr>
    <w:tblStylePr w:type="firstRow">
      <w:rPr>
        <w:b/>
        <w:bCs/>
        <w:i w:val="0"/>
        <w:iCs w:val="0"/>
        <w:color w:val="FFFFFF"/>
      </w:rPr>
      <w:tcPr>
        <w:tcBorders>
          <w:top w:val="single" w:color="FFFFFF" w:sz="8" w:space="0"/>
          <w:left w:val="single" w:color="FFFFFF" w:sz="8" w:space="0"/>
          <w:bottom w:val="single" w:color="FFFFFF" w:sz="24" w:space="0"/>
          <w:right w:val="single" w:color="FFFFFF" w:sz="8" w:space="0"/>
          <w:insideH w:val="nil"/>
          <w:insideV w:val="single" w:sz="8" w:space="0"/>
        </w:tcBorders>
        <w:shd w:val="clear" w:color="auto" w:fill="9BBB59"/>
      </w:tcPr>
    </w:tblStylePr>
    <w:tblStylePr w:type="lastRow">
      <w:rPr>
        <w:b/>
        <w:bCs/>
        <w:i w:val="0"/>
        <w:iCs w:val="0"/>
        <w:color w:val="FFFFFF"/>
      </w:r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9BBB59"/>
      </w:tcPr>
    </w:tblStylePr>
    <w:tblStylePr w:type="firstCol">
      <w:rPr>
        <w:b/>
        <w:bCs/>
        <w:i w:val="0"/>
        <w:iCs w:val="0"/>
        <w:color w:val="FFFFFF"/>
      </w:rPr>
      <w:tcPr>
        <w:tcBorders>
          <w:left w:val="single" w:color="FFFFFF" w:sz="8" w:space="0"/>
          <w:right w:val="single" w:color="FFFFFF" w:sz="24" w:space="0"/>
          <w:insideH w:val="nil"/>
          <w:insideV w:val="nil"/>
        </w:tcBorders>
        <w:shd w:val="clear" w:color="auto" w:fill="9BBB59"/>
      </w:tcPr>
    </w:tblStylePr>
    <w:tblStylePr w:type="lastCol">
      <w:rPr>
        <w:b/>
        <w:bCs/>
        <w:i w:val="0"/>
        <w:iCs w:val="0"/>
        <w:color w:val="FFFFFF"/>
      </w:rPr>
      <w:tcPr>
        <w:tcBorders>
          <w:top w:val="nil"/>
          <w:left w:val="single" w:color="FFFFFF" w:sz="24" w:space="0"/>
          <w:bottom w:val="nil"/>
          <w:right w:val="nil"/>
          <w:insideH w:val="nil"/>
          <w:insideV w:val="nil"/>
        </w:tcBorders>
        <w:shd w:val="clear" w:color="auto" w:fill="9BBB59"/>
      </w:tcPr>
    </w:tblStylePr>
    <w:tblStylePr w:type="band1Vert">
      <w:tcPr>
        <w:tcBorders>
          <w:top w:val="single" w:color="FFFFFF" w:sz="8" w:space="0"/>
          <w:left w:val="single" w:color="FFFFFF" w:sz="8" w:space="0"/>
          <w:bottom w:val="single" w:color="FFFFFF" w:sz="8" w:space="0"/>
          <w:right w:val="single" w:color="FFFFFF" w:sz="8" w:space="0"/>
          <w:insideH w:val="nil"/>
          <w:insideV w:val="nil"/>
        </w:tcBorders>
        <w:shd w:val="clear" w:color="auto" w:fill="CDDDAC"/>
      </w:tcPr>
    </w:tblStylePr>
    <w:tblStylePr w:type="band1Horz">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CDDDAC"/>
      </w:tcPr>
    </w:tblStylePr>
  </w:style>
  <w:style w:type="table" w:customStyle="1" w:styleId="185">
    <w:name w:val="中等深浅网格 1 - 强调文字颜色 31"/>
    <w:basedOn w:val="34"/>
    <w:autoRedefine/>
    <w:qFormat/>
    <w:uiPriority w:val="67"/>
    <w:rPr>
      <w:rFonts w:ascii="Times New Roman" w:hAnsi="Times New Roman" w:eastAsia="宋体" w:cs="Times New Roman"/>
      <w:kern w:val="0"/>
      <w:sz w:val="20"/>
      <w:szCs w:val="20"/>
    </w:rPr>
    <w:tblPr>
      <w:tblBorders>
        <w:top w:val="single" w:color="B3CC82" w:sz="8" w:space="0"/>
        <w:left w:val="single" w:color="B3CC82" w:sz="8" w:space="0"/>
        <w:bottom w:val="single" w:color="B3CC82" w:sz="8" w:space="0"/>
        <w:right w:val="single" w:color="B3CC82" w:sz="8" w:space="0"/>
        <w:insideH w:val="single" w:color="B3CC82" w:sz="8" w:space="0"/>
        <w:insideV w:val="single" w:color="B3CC82" w:sz="8" w:space="0"/>
      </w:tblBorders>
    </w:tblPr>
    <w:tcPr>
      <w:shd w:val="clear" w:color="auto" w:fill="E6EED5"/>
    </w:tcPr>
    <w:tblStylePr w:type="firstRow">
      <w:rPr>
        <w:b/>
        <w:bCs/>
      </w:rPr>
    </w:tblStylePr>
    <w:tblStylePr w:type="lastRow">
      <w:rPr>
        <w:b/>
        <w:bCs/>
      </w:rPr>
      <w:tcPr>
        <w:tcBorders>
          <w:top w:val="single" w:color="B3CC82" w:sz="18" w:space="0"/>
        </w:tcBorders>
      </w:tcPr>
    </w:tblStylePr>
    <w:tblStylePr w:type="firstCol">
      <w:rPr>
        <w:b/>
        <w:bCs/>
      </w:rPr>
    </w:tblStylePr>
    <w:tblStylePr w:type="lastCol">
      <w:rPr>
        <w:b/>
        <w:bCs/>
      </w:rPr>
    </w:tblStylePr>
    <w:tblStylePr w:type="band1Vert">
      <w:tcPr>
        <w:shd w:val="clear" w:color="auto" w:fill="CDDDAC"/>
      </w:tcPr>
    </w:tblStylePr>
    <w:tblStylePr w:type="band1Horz">
      <w:tcPr>
        <w:shd w:val="clear" w:color="auto" w:fill="CDDDAC"/>
      </w:tcPr>
    </w:tblStylePr>
  </w:style>
  <w:style w:type="table" w:customStyle="1" w:styleId="186">
    <w:name w:val="中等深浅底纹 1 - 强调文字颜色 31"/>
    <w:basedOn w:val="34"/>
    <w:autoRedefine/>
    <w:qFormat/>
    <w:uiPriority w:val="63"/>
    <w:rPr>
      <w:rFonts w:ascii="Times New Roman" w:hAnsi="Times New Roman" w:eastAsia="宋体" w:cs="Times New Roman"/>
      <w:kern w:val="0"/>
      <w:sz w:val="20"/>
      <w:szCs w:val="20"/>
    </w:rPr>
    <w:tblPr>
      <w:tblBorders>
        <w:top w:val="single" w:color="B3CC82" w:sz="8" w:space="0"/>
        <w:left w:val="single" w:color="B3CC82" w:sz="8" w:space="0"/>
        <w:bottom w:val="single" w:color="B3CC82" w:sz="8" w:space="0"/>
        <w:right w:val="single" w:color="B3CC82" w:sz="8" w:space="0"/>
        <w:insideH w:val="single" w:color="B3CC82" w:sz="8" w:space="0"/>
      </w:tblBorders>
    </w:tblPr>
    <w:tblStylePr w:type="firstRow">
      <w:pPr>
        <w:spacing w:before="0" w:after="0" w:line="240" w:lineRule="auto"/>
      </w:pPr>
      <w:rPr>
        <w:b/>
        <w:bCs/>
        <w:color w:val="FFFFFF"/>
      </w:rPr>
      <w:tcPr>
        <w:tcBorders>
          <w:top w:val="single" w:color="B3CC82" w:sz="8" w:space="0"/>
          <w:left w:val="single" w:color="B3CC82" w:sz="8" w:space="0"/>
          <w:bottom w:val="single" w:color="B3CC82" w:sz="8" w:space="0"/>
          <w:right w:val="single" w:color="B3CC82" w:sz="8" w:space="0"/>
          <w:insideH w:val="nil"/>
          <w:insideV w:val="nil"/>
        </w:tcBorders>
        <w:shd w:val="clear" w:color="auto" w:fill="9BBB59"/>
      </w:tcPr>
    </w:tblStylePr>
    <w:tblStylePr w:type="lastRow">
      <w:pPr>
        <w:spacing w:before="0" w:after="0" w:line="240" w:lineRule="auto"/>
      </w:pPr>
      <w:rPr>
        <w:b/>
        <w:bCs/>
      </w:rPr>
      <w:tcPr>
        <w:tcBorders>
          <w:top w:val="double" w:color="B3CC82" w:sz="6" w:space="0"/>
          <w:left w:val="single" w:color="B3CC82" w:sz="8" w:space="0"/>
          <w:bottom w:val="single" w:color="B3CC82" w:sz="8" w:space="0"/>
          <w:right w:val="single" w:color="B3CC82" w:sz="8" w:space="0"/>
          <w:insideH w:val="nil"/>
          <w:insideV w:val="nil"/>
        </w:tcBorders>
      </w:tcPr>
    </w:tblStylePr>
    <w:tblStylePr w:type="firstCol">
      <w:rPr>
        <w:b/>
        <w:bCs/>
      </w:rPr>
    </w:tblStylePr>
    <w:tblStylePr w:type="lastCol">
      <w:rPr>
        <w:b/>
        <w:bCs/>
      </w:rPr>
    </w:tblStylePr>
    <w:tblStylePr w:type="band1Vert">
      <w:tcPr>
        <w:shd w:val="clear" w:color="auto" w:fill="E6EED5"/>
      </w:tcPr>
    </w:tblStylePr>
    <w:tblStylePr w:type="band1Horz">
      <w:tcPr>
        <w:tcBorders>
          <w:insideH w:val="nil"/>
          <w:insideV w:val="nil"/>
        </w:tcBorders>
        <w:shd w:val="clear" w:color="auto" w:fill="E6EED5"/>
      </w:tcPr>
    </w:tblStylePr>
    <w:tblStylePr w:type="band2Horz">
      <w:tcPr>
        <w:tcBorders>
          <w:insideH w:val="nil"/>
          <w:insideV w:val="nil"/>
        </w:tcBorders>
      </w:tcPr>
    </w:tblStylePr>
  </w:style>
  <w:style w:type="table" w:customStyle="1" w:styleId="187">
    <w:name w:val="中等深浅底纹 2 - 强调文字颜色 51"/>
    <w:basedOn w:val="34"/>
    <w:autoRedefine/>
    <w:qFormat/>
    <w:uiPriority w:val="64"/>
    <w:rPr>
      <w:rFonts w:ascii="Calibri" w:hAnsi="Calibri" w:eastAsia="宋体" w:cs="Times New Roman"/>
    </w:rPr>
    <w:tblPr>
      <w:tblBorders>
        <w:top w:val="single" w:color="auto" w:sz="18" w:space="0"/>
        <w:bottom w:val="single" w:color="auto" w:sz="18" w:space="0"/>
      </w:tblBorders>
    </w:tblPr>
    <w:tblStylePr w:type="firstRow">
      <w:pPr>
        <w:spacing w:before="0" w:after="0" w:line="240" w:lineRule="auto"/>
      </w:pPr>
      <w:rPr>
        <w:b/>
        <w:bCs/>
        <w:color w:val="FFFFFF"/>
      </w:rPr>
      <w:tcPr>
        <w:tcBorders>
          <w:top w:val="single" w:color="auto" w:sz="18" w:space="0"/>
          <w:left w:val="nil"/>
          <w:bottom w:val="single" w:color="auto" w:sz="18" w:space="0"/>
          <w:right w:val="nil"/>
          <w:insideH w:val="nil"/>
          <w:insideV w:val="nil"/>
        </w:tcBorders>
        <w:shd w:val="clear" w:color="auto" w:fill="4BACC6"/>
      </w:tcPr>
    </w:tblStylePr>
    <w:tblStylePr w:type="lastRow">
      <w:pPr>
        <w:spacing w:before="0" w:after="0" w:line="240" w:lineRule="auto"/>
      </w:pPr>
      <w:rPr>
        <w:color w:val="auto"/>
      </w:rPr>
      <w:tcPr>
        <w:tcBorders>
          <w:top w:val="double" w:color="auto" w:sz="6" w:space="0"/>
          <w:left w:val="nil"/>
          <w:bottom w:val="single" w:color="auto" w:sz="18" w:space="0"/>
          <w:right w:val="nil"/>
          <w:insideH w:val="nil"/>
          <w:insideV w:val="nil"/>
        </w:tcBorders>
        <w:shd w:val="clear" w:color="auto" w:fill="FFFFFF"/>
      </w:tcPr>
    </w:tblStylePr>
    <w:tblStylePr w:type="firstCol">
      <w:rPr>
        <w:b/>
        <w:bCs/>
        <w:color w:val="FFFFFF"/>
      </w:rPr>
      <w:tcPr>
        <w:tcBorders>
          <w:top w:val="nil"/>
          <w:left w:val="nil"/>
          <w:bottom w:val="single" w:color="auto" w:sz="18" w:space="0"/>
          <w:right w:val="nil"/>
          <w:insideH w:val="nil"/>
          <w:insideV w:val="nil"/>
        </w:tcBorders>
        <w:shd w:val="clear" w:color="auto" w:fill="4BACC6"/>
      </w:tcPr>
    </w:tblStylePr>
    <w:tblStylePr w:type="lastCol">
      <w:rPr>
        <w:b/>
        <w:bCs/>
        <w:color w:val="FFFFFF"/>
      </w:rPr>
      <w:tcPr>
        <w:tcBorders>
          <w:left w:val="nil"/>
          <w:right w:val="nil"/>
          <w:insideH w:val="nil"/>
          <w:insideV w:val="nil"/>
        </w:tcBorders>
        <w:shd w:val="clear" w:color="auto" w:fill="4BACC6"/>
      </w:tcPr>
    </w:tblStylePr>
    <w:tblStylePr w:type="band1Vert">
      <w:tcPr>
        <w:tcBorders>
          <w:left w:val="nil"/>
          <w:right w:val="nil"/>
          <w:insideH w:val="nil"/>
          <w:insideV w:val="nil"/>
        </w:tcBorders>
        <w:shd w:val="clear" w:color="auto" w:fill="D8D8D8"/>
      </w:tcPr>
    </w:tblStylePr>
    <w:tblStylePr w:type="band1Horz">
      <w:tcPr>
        <w:shd w:val="clear" w:color="auto" w:fill="D8D8D8"/>
      </w:tcPr>
    </w:tblStylePr>
    <w:tblStylePr w:type="neCell">
      <w:tcPr>
        <w:tcBorders>
          <w:top w:val="single" w:color="auto" w:sz="18" w:space="0"/>
          <w:left w:val="nil"/>
          <w:bottom w:val="single" w:color="auto" w:sz="18" w:space="0"/>
          <w:right w:val="nil"/>
          <w:insideH w:val="nil"/>
          <w:insideV w:val="nil"/>
        </w:tcBorders>
      </w:tcPr>
    </w:tblStylePr>
    <w:tblStylePr w:type="nwCell">
      <w:rPr>
        <w:color w:val="FFFFFF"/>
      </w:rPr>
      <w:tcPr>
        <w:tcBorders>
          <w:top w:val="single" w:color="auto" w:sz="18" w:space="0"/>
          <w:left w:val="nil"/>
          <w:bottom w:val="single" w:color="auto" w:sz="18" w:space="0"/>
          <w:right w:val="nil"/>
          <w:insideH w:val="nil"/>
          <w:insideV w:val="nil"/>
        </w:tcBorders>
      </w:tcPr>
    </w:tblStylePr>
  </w:style>
  <w:style w:type="table" w:customStyle="1" w:styleId="188">
    <w:name w:val="中等深浅底纹 1 - 强调文字颜色 51"/>
    <w:basedOn w:val="34"/>
    <w:autoRedefine/>
    <w:qFormat/>
    <w:uiPriority w:val="63"/>
    <w:rPr>
      <w:rFonts w:ascii="Times New Roman" w:hAnsi="Times New Roman" w:eastAsia="宋体" w:cs="Times New Roman"/>
      <w:kern w:val="0"/>
      <w:sz w:val="20"/>
      <w:szCs w:val="20"/>
    </w:rPr>
    <w:tblPr>
      <w:tblBorders>
        <w:top w:val="single" w:color="78C0D4" w:sz="8" w:space="0"/>
        <w:left w:val="single" w:color="78C0D4" w:sz="8" w:space="0"/>
        <w:bottom w:val="single" w:color="78C0D4" w:sz="8" w:space="0"/>
        <w:right w:val="single" w:color="78C0D4" w:sz="8" w:space="0"/>
        <w:insideH w:val="single" w:color="78C0D4" w:sz="8" w:space="0"/>
      </w:tblBorders>
    </w:tblPr>
    <w:tblStylePr w:type="firstRow">
      <w:pPr>
        <w:spacing w:before="0" w:after="0" w:line="240" w:lineRule="auto"/>
      </w:pPr>
      <w:rPr>
        <w:b/>
        <w:bCs/>
        <w:color w:val="FFFFFF"/>
      </w:rPr>
      <w:tcPr>
        <w:tcBorders>
          <w:top w:val="single" w:color="78C0D4" w:sz="8" w:space="0"/>
          <w:left w:val="single" w:color="78C0D4" w:sz="8" w:space="0"/>
          <w:bottom w:val="single" w:color="78C0D4" w:sz="8" w:space="0"/>
          <w:right w:val="single" w:color="78C0D4" w:sz="8" w:space="0"/>
          <w:insideH w:val="nil"/>
          <w:insideV w:val="nil"/>
        </w:tcBorders>
        <w:shd w:val="clear" w:color="auto" w:fill="4BACC6"/>
      </w:tcPr>
    </w:tblStylePr>
    <w:tblStylePr w:type="lastRow">
      <w:pPr>
        <w:spacing w:before="0" w:after="0" w:line="240" w:lineRule="auto"/>
      </w:pPr>
      <w:rPr>
        <w:b/>
        <w:bCs/>
      </w:rPr>
      <w:tcPr>
        <w:tcBorders>
          <w:top w:val="double" w:color="78C0D4" w:sz="6" w:space="0"/>
          <w:left w:val="single" w:color="78C0D4" w:sz="8" w:space="0"/>
          <w:bottom w:val="single" w:color="78C0D4" w:sz="8" w:space="0"/>
          <w:right w:val="single" w:color="78C0D4" w:sz="8" w:space="0"/>
          <w:insideH w:val="nil"/>
          <w:insideV w:val="nil"/>
        </w:tcBorders>
      </w:tcPr>
    </w:tblStylePr>
    <w:tblStylePr w:type="firstCol">
      <w:rPr>
        <w:b/>
        <w:bCs/>
      </w:rPr>
    </w:tblStylePr>
    <w:tblStylePr w:type="lastCol">
      <w:rPr>
        <w:b/>
        <w:bCs/>
      </w:rPr>
    </w:tblStylePr>
    <w:tblStylePr w:type="band1Vert">
      <w:tcPr>
        <w:shd w:val="clear" w:color="auto" w:fill="D2EAF1"/>
      </w:tcPr>
    </w:tblStylePr>
    <w:tblStylePr w:type="band1Horz">
      <w:tcPr>
        <w:tcBorders>
          <w:insideH w:val="nil"/>
          <w:insideV w:val="nil"/>
        </w:tcBorders>
        <w:shd w:val="clear" w:color="auto" w:fill="D2EAF1"/>
      </w:tcPr>
    </w:tblStylePr>
    <w:tblStylePr w:type="band2Horz">
      <w:tcPr>
        <w:tcBorders>
          <w:insideH w:val="nil"/>
          <w:insideV w:val="nil"/>
        </w:tcBorders>
      </w:tcPr>
    </w:tblStylePr>
  </w:style>
  <w:style w:type="table" w:customStyle="1" w:styleId="189">
    <w:name w:val="中等深浅底纹 1 - 强调文字颜色 11"/>
    <w:basedOn w:val="34"/>
    <w:autoRedefine/>
    <w:qFormat/>
    <w:uiPriority w:val="63"/>
    <w:rPr>
      <w:rFonts w:ascii="Calibri" w:hAnsi="Calibri" w:eastAsia="宋体" w:cs="Times New Roman"/>
      <w:szCs w:val="22"/>
    </w:rPr>
    <w:tblPr>
      <w:tblBorders>
        <w:top w:val="single" w:color="7BA0CD" w:sz="8" w:space="0"/>
        <w:left w:val="single" w:color="7BA0CD" w:sz="8" w:space="0"/>
        <w:bottom w:val="single" w:color="7BA0CD" w:sz="8" w:space="0"/>
        <w:right w:val="single" w:color="7BA0CD" w:sz="8" w:space="0"/>
        <w:insideH w:val="single" w:color="7BA0CD" w:sz="8" w:space="0"/>
      </w:tblBorders>
    </w:tblPr>
    <w:tblStylePr w:type="firstRow">
      <w:pPr>
        <w:spacing w:before="0" w:after="0" w:line="240" w:lineRule="auto"/>
      </w:pPr>
      <w:rPr>
        <w:b/>
        <w:bCs/>
        <w:color w:val="FFFFFF"/>
      </w:rPr>
      <w:tcPr>
        <w:tcBorders>
          <w:top w:val="single" w:color="7BA0CD" w:sz="8" w:space="0"/>
          <w:left w:val="single" w:color="7BA0CD" w:sz="8" w:space="0"/>
          <w:bottom w:val="single" w:color="7BA0CD" w:sz="8" w:space="0"/>
          <w:right w:val="single" w:color="7BA0CD" w:sz="8" w:space="0"/>
          <w:insideH w:val="nil"/>
          <w:insideV w:val="nil"/>
        </w:tcBorders>
        <w:shd w:val="clear" w:color="auto" w:fill="4F81BD"/>
      </w:tcPr>
    </w:tblStylePr>
    <w:tblStylePr w:type="lastRow">
      <w:pPr>
        <w:spacing w:before="0" w:after="0" w:line="240" w:lineRule="auto"/>
      </w:pPr>
      <w:rPr>
        <w:b/>
        <w:bCs/>
      </w:rPr>
      <w:tcPr>
        <w:tcBorders>
          <w:top w:val="double" w:color="7BA0CD" w:sz="6" w:space="0"/>
          <w:left w:val="single" w:color="7BA0CD" w:sz="8" w:space="0"/>
          <w:bottom w:val="single" w:color="7BA0CD" w:sz="8" w:space="0"/>
          <w:right w:val="single" w:color="7BA0CD" w:sz="8" w:space="0"/>
          <w:insideH w:val="nil"/>
          <w:insideV w:val="nil"/>
        </w:tcBorders>
      </w:tcPr>
    </w:tblStylePr>
    <w:tblStylePr w:type="firstCol">
      <w:rPr>
        <w:b/>
        <w:bCs/>
      </w:rPr>
    </w:tblStylePr>
    <w:tblStylePr w:type="lastCol">
      <w:rPr>
        <w:b/>
        <w:bCs/>
      </w:rPr>
    </w:tblStylePr>
    <w:tblStylePr w:type="band1Vert">
      <w:tcPr>
        <w:shd w:val="clear" w:color="auto" w:fill="D3DFEE"/>
      </w:tcPr>
    </w:tblStylePr>
    <w:tblStylePr w:type="band1Horz">
      <w:tcPr>
        <w:tcBorders>
          <w:insideH w:val="nil"/>
          <w:insideV w:val="nil"/>
        </w:tcBorders>
        <w:shd w:val="clear" w:color="auto" w:fill="D3DFEE"/>
      </w:tcPr>
    </w:tblStylePr>
    <w:tblStylePr w:type="band2Horz">
      <w:tcPr>
        <w:tcBorders>
          <w:insideH w:val="nil"/>
          <w:insideV w:val="nil"/>
        </w:tcBorders>
      </w:tcPr>
    </w:tblStylePr>
  </w:style>
  <w:style w:type="table" w:customStyle="1" w:styleId="190">
    <w:name w:val="网格表 4 - 着色 52"/>
    <w:basedOn w:val="34"/>
    <w:autoRedefine/>
    <w:qFormat/>
    <w:uiPriority w:val="49"/>
    <w:rPr>
      <w:rFonts w:ascii="Calibri" w:hAnsi="Calibri" w:eastAsia="宋体" w:cs="Times New Roman"/>
      <w:szCs w:val="22"/>
    </w:rPr>
    <w:tblPr>
      <w:tblBorders>
        <w:top w:val="single" w:color="8EAADB" w:sz="4" w:space="0"/>
        <w:left w:val="single" w:color="8EAADB" w:sz="4" w:space="0"/>
        <w:bottom w:val="single" w:color="8EAADB" w:sz="4" w:space="0"/>
        <w:right w:val="single" w:color="8EAADB" w:sz="4" w:space="0"/>
        <w:insideH w:val="single" w:color="8EAADB" w:sz="4" w:space="0"/>
        <w:insideV w:val="single" w:color="8EAADB" w:sz="4" w:space="0"/>
      </w:tblBorders>
    </w:tblPr>
    <w:tblStylePr w:type="firstRow">
      <w:rPr>
        <w:b/>
        <w:bCs/>
        <w:color w:val="FFFFFF"/>
      </w:rPr>
      <w:tcPr>
        <w:tcBorders>
          <w:top w:val="single" w:color="4472C4" w:sz="4" w:space="0"/>
          <w:left w:val="single" w:color="4472C4" w:sz="4" w:space="0"/>
          <w:bottom w:val="single" w:color="4472C4" w:sz="4" w:space="0"/>
          <w:right w:val="single" w:color="4472C4" w:sz="4" w:space="0"/>
          <w:insideH w:val="nil"/>
          <w:insideV w:val="nil"/>
        </w:tcBorders>
        <w:shd w:val="clear" w:color="auto" w:fill="4472C4"/>
      </w:tcPr>
    </w:tblStylePr>
    <w:tblStylePr w:type="lastRow">
      <w:rPr>
        <w:b/>
        <w:bCs/>
      </w:rPr>
      <w:tcPr>
        <w:tcBorders>
          <w:top w:val="double" w:color="4472C4" w:sz="4" w:space="0"/>
        </w:tcBorders>
      </w:tcPr>
    </w:tblStylePr>
    <w:tblStylePr w:type="firstCol">
      <w:rPr>
        <w:b/>
        <w:bCs/>
      </w:rPr>
    </w:tblStylePr>
    <w:tblStylePr w:type="lastCol">
      <w:rPr>
        <w:b/>
        <w:bCs/>
      </w:rPr>
    </w:tblStylePr>
    <w:tblStylePr w:type="band1Vert">
      <w:tcPr>
        <w:shd w:val="clear" w:color="auto" w:fill="D9E2F3"/>
      </w:tcPr>
    </w:tblStylePr>
    <w:tblStylePr w:type="band1Horz">
      <w:tcPr>
        <w:shd w:val="clear" w:color="auto" w:fill="D9E2F3"/>
      </w:tcPr>
    </w:tblStylePr>
  </w:style>
  <w:style w:type="character" w:customStyle="1" w:styleId="191">
    <w:name w:val="未处理的提及41"/>
    <w:basedOn w:val="67"/>
    <w:autoRedefine/>
    <w:semiHidden/>
    <w:unhideWhenUsed/>
    <w:qFormat/>
    <w:uiPriority w:val="99"/>
    <w:rPr>
      <w:color w:val="605E5C"/>
      <w:shd w:val="clear" w:color="auto" w:fill="E1DFDD"/>
    </w:rPr>
  </w:style>
  <w:style w:type="character" w:customStyle="1" w:styleId="192">
    <w:name w:val="标题 7 字符"/>
    <w:basedOn w:val="67"/>
    <w:link w:val="8"/>
    <w:autoRedefine/>
    <w:qFormat/>
    <w:uiPriority w:val="9"/>
    <w:rPr>
      <w:rFonts w:ascii="Book Antiqua" w:hAnsi="Book Antiqua" w:eastAsia="宋体"/>
      <w:b/>
      <w:bCs/>
      <w:color w:val="1A1A1A" w:themeColor="background1" w:themeShade="1A"/>
      <w:szCs w:val="24"/>
    </w:rPr>
  </w:style>
  <w:style w:type="character" w:customStyle="1" w:styleId="193">
    <w:name w:val="标题 8 字符"/>
    <w:basedOn w:val="67"/>
    <w:link w:val="9"/>
    <w:autoRedefine/>
    <w:semiHidden/>
    <w:qFormat/>
    <w:uiPriority w:val="9"/>
    <w:rPr>
      <w:rFonts w:asciiTheme="majorHAnsi" w:hAnsiTheme="majorHAnsi" w:eastAsiaTheme="majorEastAsia" w:cstheme="majorBidi"/>
      <w:sz w:val="24"/>
      <w:szCs w:val="24"/>
    </w:rPr>
  </w:style>
  <w:style w:type="character" w:customStyle="1" w:styleId="194">
    <w:name w:val="未处理的提及5"/>
    <w:basedOn w:val="67"/>
    <w:autoRedefine/>
    <w:semiHidden/>
    <w:unhideWhenUsed/>
    <w:qFormat/>
    <w:uiPriority w:val="99"/>
    <w:rPr>
      <w:color w:val="605E5C"/>
      <w:shd w:val="clear" w:color="auto" w:fill="E1DFDD"/>
    </w:rPr>
  </w:style>
  <w:style w:type="table" w:customStyle="1" w:styleId="195">
    <w:name w:val="List Table 2 Accent 2"/>
    <w:basedOn w:val="34"/>
    <w:uiPriority w:val="47"/>
    <w:rPr>
      <w:kern w:val="0"/>
      <w:sz w:val="22"/>
      <w:szCs w:val="22"/>
      <w:lang w:val="en-IN" w:eastAsia="en-US"/>
    </w:rPr>
    <w:tblPr>
      <w:tblBorders>
        <w:top w:val="single" w:color="F4B083" w:themeColor="accent2" w:themeTint="99" w:sz="4" w:space="0"/>
        <w:bottom w:val="single" w:color="F4B083" w:themeColor="accent2" w:themeTint="99" w:sz="4" w:space="0"/>
        <w:insideH w:val="single" w:color="F4B083" w:themeColor="accent2"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FBE4D5" w:themeFill="accent2" w:themeFillTint="33"/>
      </w:tcPr>
    </w:tblStylePr>
    <w:tblStylePr w:type="band1Horz">
      <w:tcPr>
        <w:shd w:val="clear" w:color="auto" w:fill="FBE4D5" w:themeFill="accent2" w:themeFillTint="33"/>
      </w:tcPr>
    </w:tblStylePr>
  </w:style>
  <w:style w:type="table" w:customStyle="1" w:styleId="196">
    <w:name w:val="lpi 专用"/>
    <w:basedOn w:val="197"/>
    <w:autoRedefine/>
    <w:qFormat/>
    <w:uiPriority w:val="99"/>
    <w:pPr>
      <w:jc w:val="both"/>
    </w:pPr>
    <w:rPr>
      <w:rFonts w:ascii="Calibri" w:hAnsi="Calibri" w:eastAsia="Calibri"/>
      <w:color w:val="000000" w:themeColor="text1"/>
      <w:kern w:val="0"/>
      <w:sz w:val="22"/>
      <w:szCs w:val="20"/>
      <w14:textFill>
        <w14:solidFill>
          <w14:schemeClr w14:val="tx1"/>
        </w14:solidFill>
      </w14:textFill>
    </w:rPr>
    <w:tblPr>
      <w:tblBorders>
        <w:top w:val="single" w:color="008E88" w:sz="2" w:space="0"/>
        <w:bottom w:val="single" w:color="008E88" w:sz="2" w:space="0"/>
        <w:insideH w:val="single" w:color="008E88" w:sz="2" w:space="0"/>
        <w:insideV w:val="single" w:color="008E88" w:sz="2" w:space="0"/>
      </w:tblBorders>
      <w:tblCellMar>
        <w:left w:w="0" w:type="dxa"/>
        <w:right w:w="0" w:type="dxa"/>
      </w:tblCellMar>
    </w:tblPr>
    <w:tcPr>
      <w:vAlign w:val="center"/>
    </w:tcPr>
    <w:tblStylePr w:type="firstRow">
      <w:rPr>
        <w:b/>
        <w:bCs/>
      </w:rPr>
      <w:tcPr>
        <w:tcBorders>
          <w:top w:val="nil"/>
          <w:bottom w:val="single" w:color="666666" w:themeColor="text1" w:themeTint="99" w:sz="12" w:space="0"/>
          <w:insideH w:val="nil"/>
          <w:insideV w:val="nil"/>
        </w:tcBorders>
        <w:shd w:val="clear" w:color="auto" w:fill="FFFFFF" w:themeFill="background1"/>
      </w:tcPr>
    </w:tblStylePr>
    <w:tblStylePr w:type="lastRow">
      <w:rPr>
        <w:b/>
        <w:bCs/>
      </w:rPr>
      <w:tcPr>
        <w:tcBorders>
          <w:top w:val="double" w:color="666666" w:themeColor="text1" w:themeTint="99" w:sz="2" w:space="0"/>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CCCCCC" w:themeFill="text1" w:themeFillTint="33"/>
      </w:tcPr>
    </w:tblStylePr>
    <w:tblStylePr w:type="band1Horz">
      <w:tcPr>
        <w:shd w:val="clear" w:color="auto" w:fill="CCCCCC" w:themeFill="text1" w:themeFillTint="33"/>
      </w:tcPr>
    </w:tblStylePr>
  </w:style>
  <w:style w:type="table" w:customStyle="1" w:styleId="197">
    <w:name w:val="Grid Table 2"/>
    <w:basedOn w:val="34"/>
    <w:autoRedefine/>
    <w:qFormat/>
    <w:uiPriority w:val="47"/>
    <w:tblPr>
      <w:tblBorders>
        <w:top w:val="single" w:color="666666" w:themeColor="text1" w:themeTint="99" w:sz="2" w:space="0"/>
        <w:bottom w:val="single" w:color="666666" w:themeColor="text1" w:themeTint="99" w:sz="2" w:space="0"/>
        <w:insideH w:val="single" w:color="666666" w:themeColor="text1" w:themeTint="99" w:sz="2" w:space="0"/>
        <w:insideV w:val="single" w:color="666666" w:themeColor="text1" w:themeTint="99" w:sz="2" w:space="0"/>
      </w:tblBorders>
    </w:tblPr>
    <w:tblStylePr w:type="firstRow">
      <w:rPr>
        <w:b/>
        <w:bCs/>
      </w:rPr>
      <w:tcPr>
        <w:tcBorders>
          <w:top w:val="nil"/>
          <w:bottom w:val="single" w:color="666666" w:themeColor="text1" w:themeTint="99" w:sz="12" w:space="0"/>
          <w:insideH w:val="nil"/>
          <w:insideV w:val="nil"/>
        </w:tcBorders>
        <w:shd w:val="clear" w:color="auto" w:fill="FFFFFF" w:themeFill="background1"/>
      </w:tcPr>
    </w:tblStylePr>
    <w:tblStylePr w:type="lastRow">
      <w:rPr>
        <w:b/>
        <w:bCs/>
      </w:rPr>
      <w:tcPr>
        <w:tcBorders>
          <w:top w:val="double" w:color="666666" w:themeColor="text1" w:themeTint="99" w:sz="2" w:space="0"/>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CCCCCC" w:themeFill="text1" w:themeFillTint="33"/>
      </w:tcPr>
    </w:tblStylePr>
    <w:tblStylePr w:type="band1Horz">
      <w:tcPr>
        <w:shd w:val="clear" w:color="auto" w:fill="CCCCCC" w:themeFill="text1" w:themeFillTint="33"/>
      </w:tcPr>
    </w:tblStylePr>
  </w:style>
  <w:style w:type="table" w:customStyle="1" w:styleId="198">
    <w:name w:val="Grid Table 2 Accent 4"/>
    <w:basedOn w:val="34"/>
    <w:autoRedefine/>
    <w:qFormat/>
    <w:uiPriority w:val="47"/>
    <w:tblPr>
      <w:tblBorders>
        <w:top w:val="single" w:color="FFD965" w:themeColor="accent4" w:themeTint="99" w:sz="2" w:space="0"/>
        <w:bottom w:val="single" w:color="FFD965" w:themeColor="accent4" w:themeTint="99" w:sz="2" w:space="0"/>
        <w:insideH w:val="single" w:color="FFD965" w:themeColor="accent4" w:themeTint="99" w:sz="2" w:space="0"/>
        <w:insideV w:val="single" w:color="FFD965" w:themeColor="accent4" w:themeTint="99" w:sz="2" w:space="0"/>
      </w:tblBorders>
    </w:tblPr>
    <w:tblStylePr w:type="firstRow">
      <w:pPr>
        <w:jc w:val="center"/>
      </w:pPr>
      <w:rPr>
        <w:b/>
        <w:bCs/>
      </w:rPr>
      <w:tcPr>
        <w:tcBorders>
          <w:top w:val="nil"/>
          <w:bottom w:val="single" w:color="FFD965" w:themeColor="accent4" w:themeTint="99" w:sz="12" w:space="0"/>
          <w:insideH w:val="nil"/>
          <w:insideV w:val="nil"/>
        </w:tcBorders>
        <w:shd w:val="clear" w:color="auto" w:fill="FFFFFF" w:themeFill="background1"/>
        <w:vAlign w:val="center"/>
      </w:tcPr>
    </w:tblStylePr>
    <w:tblStylePr w:type="lastRow">
      <w:rPr>
        <w:b/>
        <w:bCs/>
      </w:rPr>
      <w:tcPr>
        <w:tcBorders>
          <w:top w:val="double" w:color="FFD965" w:themeColor="accent4" w:themeTint="99" w:sz="2" w:space="0"/>
          <w:bottom w:val="nil"/>
          <w:insideH w:val="nil"/>
          <w:insideV w:val="nil"/>
        </w:tcBorders>
        <w:shd w:val="clear" w:color="auto" w:fill="FFFFFF" w:themeFill="background1"/>
      </w:tcPr>
    </w:tblStylePr>
    <w:tblStylePr w:type="firstCol">
      <w:pPr>
        <w:jc w:val="both"/>
      </w:pPr>
      <w:rPr>
        <w:b/>
        <w:bCs/>
      </w:rPr>
      <w:tcPr>
        <w:vAlign w:val="center"/>
      </w:tcPr>
    </w:tblStylePr>
    <w:tblStylePr w:type="lastCol">
      <w:rPr>
        <w:b/>
        <w:bCs/>
      </w:rPr>
    </w:tblStylePr>
    <w:tblStylePr w:type="band1Vert">
      <w:tcPr>
        <w:shd w:val="clear" w:color="auto" w:fill="FEF2CC" w:themeFill="accent4" w:themeFillTint="33"/>
      </w:tcPr>
    </w:tblStylePr>
    <w:tblStylePr w:type="band1Horz">
      <w:tcPr>
        <w:shd w:val="clear" w:color="auto" w:fill="FEF2CC" w:themeFill="accent4" w:themeFillTint="33"/>
      </w:tcPr>
    </w:tblStylePr>
  </w:style>
  <w:style w:type="table" w:customStyle="1" w:styleId="199">
    <w:name w:val="Grid Table 2 Accent 5"/>
    <w:basedOn w:val="34"/>
    <w:autoRedefine/>
    <w:qFormat/>
    <w:uiPriority w:val="47"/>
    <w:tblPr>
      <w:tblBorders>
        <w:top w:val="single" w:color="8EAADB" w:themeColor="accent5" w:themeTint="99" w:sz="2" w:space="0"/>
        <w:bottom w:val="single" w:color="8EAADB" w:themeColor="accent5" w:themeTint="99" w:sz="2" w:space="0"/>
      </w:tblBorders>
    </w:tblPr>
    <w:tblStylePr w:type="firstRow">
      <w:rPr>
        <w:b/>
        <w:bCs/>
        <w:color w:val="FF0000"/>
      </w:rPr>
      <w:tcPr>
        <w:tcBorders>
          <w:top w:val="nil"/>
          <w:bottom w:val="single" w:color="auto" w:sz="4" w:space="0"/>
          <w:insideH w:val="nil"/>
          <w:insideV w:val="nil"/>
        </w:tcBorders>
        <w:shd w:val="clear" w:color="auto" w:fill="FFFFFF" w:themeFill="background1"/>
      </w:tcPr>
    </w:tblStylePr>
    <w:tblStylePr w:type="lastRow">
      <w:rPr>
        <w:b/>
        <w:bCs/>
      </w:rPr>
      <w:tcPr>
        <w:tcBorders>
          <w:top w:val="double" w:color="2E75B5" w:themeColor="accent1" w:themeShade="BF" w:sz="12" w:space="0"/>
          <w:bottom w:val="single" w:color="2E75B5" w:themeColor="accent1" w:themeShade="BF" w:sz="12" w:space="0"/>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7E7E7E" w:themeFill="text1" w:themeFillTint="80"/>
      </w:tcPr>
    </w:tblStylePr>
  </w:style>
  <w:style w:type="table" w:customStyle="1" w:styleId="200">
    <w:name w:val="季度-样式"/>
    <w:basedOn w:val="34"/>
    <w:autoRedefine/>
    <w:qFormat/>
    <w:uiPriority w:val="99"/>
  </w:style>
  <w:style w:type="table" w:customStyle="1" w:styleId="201">
    <w:name w:val="List Table 2 Accent 5"/>
    <w:basedOn w:val="34"/>
    <w:autoRedefine/>
    <w:qFormat/>
    <w:uiPriority w:val="47"/>
    <w:tblPr>
      <w:tblBorders>
        <w:top w:val="single" w:color="8EAADB" w:themeColor="accent5" w:themeTint="99" w:sz="4" w:space="0"/>
        <w:bottom w:val="single" w:color="8EAADB" w:themeColor="accent5" w:themeTint="99" w:sz="4" w:space="0"/>
        <w:insideH w:val="single" w:color="8EAADB" w:themeColor="accent5"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table" w:customStyle="1" w:styleId="202">
    <w:name w:val="List Table 1 Light Accent 5"/>
    <w:basedOn w:val="34"/>
    <w:autoRedefine/>
    <w:qFormat/>
    <w:uiPriority w:val="46"/>
    <w:tblStylePr w:type="firstRow">
      <w:rPr>
        <w:b/>
        <w:bCs/>
      </w:rPr>
      <w:tcPr>
        <w:tcBorders>
          <w:bottom w:val="single" w:color="8EAADB" w:themeColor="accent5" w:themeTint="99" w:sz="4" w:space="0"/>
        </w:tcBorders>
      </w:tcPr>
    </w:tblStylePr>
    <w:tblStylePr w:type="lastRow">
      <w:rPr>
        <w:b/>
        <w:bCs/>
      </w:rPr>
      <w:tcPr>
        <w:tcBorders>
          <w:top w:val="single" w:color="8EAADB" w:themeColor="accent5" w:themeTint="99" w:sz="4" w:space="0"/>
        </w:tcBorders>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paragraph" w:customStyle="1" w:styleId="203">
    <w:name w:val="数据-表格"/>
    <w:autoRedefine/>
    <w:qFormat/>
    <w:uiPriority w:val="0"/>
    <w:pPr>
      <w:spacing w:before="80" w:after="80"/>
    </w:pPr>
    <w:rPr>
      <w:rFonts w:ascii="Tahoma" w:hAnsi="Tahoma" w:eastAsia="宋体" w:cstheme="minorBidi"/>
      <w:kern w:val="0"/>
      <w:sz w:val="21"/>
      <w:szCs w:val="22"/>
      <w:lang w:val="en-IN" w:eastAsia="en-US" w:bidi="ar-SA"/>
    </w:rPr>
  </w:style>
  <w:style w:type="character" w:customStyle="1" w:styleId="204">
    <w:name w:val="Unresolved Mention"/>
    <w:basedOn w:val="67"/>
    <w:autoRedefine/>
    <w:semiHidden/>
    <w:unhideWhenUsed/>
    <w:qFormat/>
    <w:uiPriority w:val="99"/>
    <w:rPr>
      <w:color w:val="605E5C"/>
      <w:shd w:val="clear" w:color="auto" w:fill="E1DFDD"/>
    </w:rPr>
  </w:style>
</w:styles>
</file>

<file path=word/_rels/document.xml.rels><?xml version="1.0" encoding="UTF-8" standalone="yes"?>
<Relationships xmlns="http://schemas.openxmlformats.org/package/2006/relationships"><Relationship Id="rId9" Type="http://schemas.openxmlformats.org/officeDocument/2006/relationships/image" Target="media/image2.png"/><Relationship Id="rId8" Type="http://schemas.openxmlformats.org/officeDocument/2006/relationships/chart" Target="charts/chart2.xml"/><Relationship Id="rId7" Type="http://schemas.openxmlformats.org/officeDocument/2006/relationships/chart" Target="charts/chart1.xml"/><Relationship Id="rId6" Type="http://schemas.openxmlformats.org/officeDocument/2006/relationships/theme" Target="theme/theme1.xml"/><Relationship Id="rId5" Type="http://schemas.openxmlformats.org/officeDocument/2006/relationships/header" Target="header2.xml"/><Relationship Id="rId4" Type="http://schemas.openxmlformats.org/officeDocument/2006/relationships/header" Target="header1.xml"/><Relationship Id="rId3" Type="http://schemas.openxmlformats.org/officeDocument/2006/relationships/footnotes" Target="footnotes.xml"/><Relationship Id="rId20" Type="http://schemas.openxmlformats.org/officeDocument/2006/relationships/fontTable" Target="fontTable.xml"/><Relationship Id="rId2" Type="http://schemas.openxmlformats.org/officeDocument/2006/relationships/settings" Target="settings.xml"/><Relationship Id="rId19" Type="http://schemas.openxmlformats.org/officeDocument/2006/relationships/customXml" Target="../customXml/item2.xml"/><Relationship Id="rId18" Type="http://schemas.openxmlformats.org/officeDocument/2006/relationships/numbering" Target="numbering.xml"/><Relationship Id="rId17" Type="http://schemas.openxmlformats.org/officeDocument/2006/relationships/customXml" Target="../customXml/item1.xml"/><Relationship Id="rId16" Type="http://schemas.openxmlformats.org/officeDocument/2006/relationships/chart" Target="charts/chart8.xml"/><Relationship Id="rId15" Type="http://schemas.openxmlformats.org/officeDocument/2006/relationships/chart" Target="charts/chart7.xml"/><Relationship Id="rId14" Type="http://schemas.openxmlformats.org/officeDocument/2006/relationships/chart" Target="charts/chart6.xml"/><Relationship Id="rId13" Type="http://schemas.openxmlformats.org/officeDocument/2006/relationships/chart" Target="charts/chart5.xml"/><Relationship Id="rId12" Type="http://schemas.openxmlformats.org/officeDocument/2006/relationships/chart" Target="charts/chart4.xml"/><Relationship Id="rId11" Type="http://schemas.openxmlformats.org/officeDocument/2006/relationships/image" Target="media/image3.png"/><Relationship Id="rId10" Type="http://schemas.openxmlformats.org/officeDocument/2006/relationships/chart" Target="charts/chart3.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charts/_rels/chart1.xml.rels><?xml version="1.0" encoding="UTF-8" standalone="yes"?>
<Relationships xmlns="http://schemas.openxmlformats.org/package/2006/relationships"><Relationship Id="rId5" Type="http://schemas.microsoft.com/office/2011/relationships/chartColorStyle" Target="colors6.xml"/><Relationship Id="rId4" Type="http://schemas.microsoft.com/office/2011/relationships/chartStyle" Target="style6.xml"/><Relationship Id="rId3" Type="http://schemas.openxmlformats.org/officeDocument/2006/relationships/chartUserShapes" Target="../drawings/drawing1.xml"/><Relationship Id="rId2" Type="http://schemas.openxmlformats.org/officeDocument/2006/relationships/themeOverride" Target="../theme/themeOverride4.xml"/><Relationship Id="rId1" Type="http://schemas.openxmlformats.org/officeDocument/2006/relationships/oleObject" Target="file:///F:\&#33410;&#36873;\2024.01&#33410;&#36873;\2024.01&#23459;&#20256;&#25991;&#20214;\&#38035;&#40060;&#32447;\&#35266;&#28857;&#25968;&#25454;&#22270;&#34920;&#27169;&#26495;-&#27169;&#26495;%2020231220.xlsx" TargetMode="External"/></Relationships>
</file>

<file path=word/charts/_rels/chart2.xml.rels><?xml version="1.0" encoding="UTF-8" standalone="yes"?>
<Relationships xmlns="http://schemas.openxmlformats.org/package/2006/relationships"><Relationship Id="rId4" Type="http://schemas.microsoft.com/office/2011/relationships/chartColorStyle" Target="colors3.xml"/><Relationship Id="rId3" Type="http://schemas.microsoft.com/office/2011/relationships/chartStyle" Target="style3.xml"/><Relationship Id="rId2" Type="http://schemas.openxmlformats.org/officeDocument/2006/relationships/themeOverride" Target="../theme/themeOverride2.xml"/><Relationship Id="rId1" Type="http://schemas.openxmlformats.org/officeDocument/2006/relationships/oleObject" Target="file:///F:\&#33410;&#36873;\2024.01&#33410;&#36873;\2024.01&#23459;&#20256;&#25991;&#20214;\&#38035;&#40060;&#32447;\&#35266;&#28857;&#25968;&#25454;&#22270;&#34920;&#27169;&#26495;-&#27169;&#26495;%2020231220.xlsx" TargetMode="External"/></Relationships>
</file>

<file path=word/charts/_rels/chart3.xml.rels><?xml version="1.0" encoding="UTF-8" standalone="yes"?>
<Relationships xmlns="http://schemas.openxmlformats.org/package/2006/relationships"><Relationship Id="rId4" Type="http://schemas.microsoft.com/office/2011/relationships/chartColorStyle" Target="colors2.xml"/><Relationship Id="rId3" Type="http://schemas.microsoft.com/office/2011/relationships/chartStyle" Target="style2.xml"/><Relationship Id="rId2" Type="http://schemas.openxmlformats.org/officeDocument/2006/relationships/themeOverride" Target="../theme/themeOverride1.xml"/><Relationship Id="rId1" Type="http://schemas.openxmlformats.org/officeDocument/2006/relationships/oleObject" Target="file:///F:\&#33410;&#36873;\2024.01&#33410;&#36873;\2024.01&#23459;&#20256;&#25991;&#20214;\&#38035;&#40060;&#32447;\&#35266;&#28857;&#25968;&#25454;&#22270;&#34920;&#27169;&#26495;-&#27169;&#26495;%2020231220.xlsx" TargetMode="External"/></Relationships>
</file>

<file path=word/charts/_rels/chart4.xml.rels><?xml version="1.0" encoding="UTF-8" standalone="yes"?>
<Relationships xmlns="http://schemas.openxmlformats.org/package/2006/relationships"><Relationship Id="rId4" Type="http://schemas.microsoft.com/office/2011/relationships/chartColorStyle" Target="colors4.xml"/><Relationship Id="rId3" Type="http://schemas.microsoft.com/office/2011/relationships/chartStyle" Target="style4.xml"/><Relationship Id="rId2" Type="http://schemas.openxmlformats.org/officeDocument/2006/relationships/themeOverride" Target="../theme/themeOverride3.xml"/><Relationship Id="rId1" Type="http://schemas.openxmlformats.org/officeDocument/2006/relationships/oleObject" Target="file:///F:\&#33410;&#36873;\2024.01&#33410;&#36873;\2024.01&#23459;&#20256;&#25991;&#20214;\&#38035;&#40060;&#32447;\&#35266;&#28857;&#25968;&#25454;&#22270;&#34920;&#27169;&#26495;-&#27169;&#26495;%2020231220.xlsx" TargetMode="External"/></Relationships>
</file>

<file path=word/charts/_rels/chart5.xml.rels><?xml version="1.0" encoding="UTF-8" standalone="yes"?>
<Relationships xmlns="http://schemas.openxmlformats.org/package/2006/relationships"><Relationship Id="rId3" Type="http://schemas.microsoft.com/office/2011/relationships/chartColorStyle" Target="colors8.xml"/><Relationship Id="rId2" Type="http://schemas.microsoft.com/office/2011/relationships/chartStyle" Target="style8.xml"/><Relationship Id="rId1" Type="http://schemas.openxmlformats.org/officeDocument/2006/relationships/oleObject" Target="file:///C:\Users\hzbz\Desktop\&#35266;&#28857;%20&#25490;&#21517;%20&#30333;&#30382;&#20070;\&#35266;&#28857;&#25968;&#25454;&#22270;&#34920;&#27169;&#26495;%2020230904.xlsx" TargetMode="External"/></Relationships>
</file>

<file path=word/charts/_rels/chart6.xml.rels><?xml version="1.0" encoding="UTF-8" standalone="yes"?>
<Relationships xmlns="http://schemas.openxmlformats.org/package/2006/relationships"><Relationship Id="rId3" Type="http://schemas.microsoft.com/office/2011/relationships/chartColorStyle" Target="colors7.xml"/><Relationship Id="rId2" Type="http://schemas.microsoft.com/office/2011/relationships/chartStyle" Target="style7.xml"/><Relationship Id="rId1" Type="http://schemas.openxmlformats.org/officeDocument/2006/relationships/oleObject" Target="file:///C:\Users\hzbz\Desktop\&#35266;&#28857;%20&#25490;&#21517;%20&#30333;&#30382;&#20070;\&#35266;&#28857;&#25968;&#25454;&#22270;&#34920;&#27169;&#26495;%2020230904.xlsx" TargetMode="External"/></Relationships>
</file>

<file path=word/charts/_rels/chart7.xml.rels><?xml version="1.0" encoding="UTF-8" standalone="yes"?>
<Relationships xmlns="http://schemas.openxmlformats.org/package/2006/relationships"><Relationship Id="rId3" Type="http://schemas.microsoft.com/office/2011/relationships/chartColorStyle" Target="colors5.xml"/><Relationship Id="rId2" Type="http://schemas.microsoft.com/office/2011/relationships/chartStyle" Target="style5.xml"/><Relationship Id="rId1" Type="http://schemas.openxmlformats.org/officeDocument/2006/relationships/oleObject" Target="file:///C:\Users\hzbz\Desktop\&#35266;&#28857;%20&#25490;&#21517;%20&#30333;&#30382;&#20070;\&#35266;&#28857;&#25968;&#25454;&#22270;&#34920;&#27169;&#26495;%2020230904.xlsx" TargetMode="External"/></Relationships>
</file>

<file path=word/charts/_rels/chart8.xml.rels><?xml version="1.0" encoding="UTF-8" standalone="yes"?>
<Relationships xmlns="http://schemas.openxmlformats.org/package/2006/relationships"><Relationship Id="rId3" Type="http://schemas.microsoft.com/office/2011/relationships/chartColorStyle" Target="colors1.xml"/><Relationship Id="rId2" Type="http://schemas.microsoft.com/office/2011/relationships/chartStyle" Target="style1.xml"/><Relationship Id="rId1" Type="http://schemas.openxmlformats.org/officeDocument/2006/relationships/oleObject" Target="file:///C:\Users\hzbz\Desktop\&#35266;&#28857;%20&#25490;&#21517;%20&#30333;&#30382;&#20070;\&#35266;&#28857;&#25968;&#25454;&#22270;&#34920;&#27169;&#26495;%2020230904.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0" spcFirstLastPara="1" vertOverflow="ellipsis" vert="horz" wrap="square" anchor="ctr" anchorCtr="1"/>
          <a:lstStyle/>
          <a:p>
            <a:pPr>
              <a:defRPr lang="zh-CN" sz="1100" b="0" i="0" u="none" strike="noStrike" kern="1200" spc="0" baseline="0">
                <a:solidFill>
                  <a:schemeClr val="tx1">
                    <a:lumMod val="65000"/>
                    <a:lumOff val="35000"/>
                  </a:schemeClr>
                </a:solidFill>
                <a:latin typeface="+mn-lt"/>
                <a:ea typeface="+mn-ea"/>
                <a:cs typeface="+mn-cs"/>
              </a:defRPr>
            </a:pPr>
            <a:r>
              <a:rPr lang="zh-CN" altLang="en-US" sz="1100">
                <a:latin typeface="Book Antiqua" panose="02040602050305030304" pitchFamily="1" charset="0"/>
              </a:rPr>
              <a:t>全球市场规模（百万美元），</a:t>
            </a:r>
            <a:r>
              <a:rPr lang="en-US" altLang="zh-CN" sz="1100">
                <a:latin typeface="Book Antiqua" panose="02040602050305030304" pitchFamily="1" charset="0"/>
              </a:rPr>
              <a:t>2022 VS 2029</a:t>
            </a:r>
            <a:endParaRPr lang="en-US" altLang="zh-CN" sz="1100">
              <a:latin typeface="Book Antiqua" panose="02040602050305030304" pitchFamily="1" charset="0"/>
            </a:endParaRPr>
          </a:p>
        </c:rich>
      </c:tx>
      <c:layout/>
      <c:overlay val="0"/>
      <c:spPr>
        <a:noFill/>
        <a:ln>
          <a:noFill/>
        </a:ln>
        <a:effectLst/>
      </c:spPr>
    </c:title>
    <c:autoTitleDeleted val="0"/>
    <c:plotArea>
      <c:layout/>
      <c:barChart>
        <c:barDir val="col"/>
        <c:grouping val="clustered"/>
        <c:varyColors val="0"/>
        <c:ser>
          <c:idx val="0"/>
          <c:order val="0"/>
          <c:tx>
            <c:strRef>
              <c:f>全球总体!$A$22</c:f>
              <c:strCache>
                <c:ptCount val="1"/>
                <c:pt idx="0">
                  <c:v>Global Market Size ($ Mn)</c:v>
                </c:pt>
              </c:strCache>
            </c:strRef>
          </c:tx>
          <c:spPr>
            <a:solidFill>
              <a:srgbClr val="002060"/>
            </a:solidFill>
            <a:ln>
              <a:noFill/>
            </a:ln>
            <a:effectLst/>
          </c:spPr>
          <c:invertIfNegative val="0"/>
          <c:dLbls>
            <c:numFmt formatCode="#,##0.00_);[Red]\(#,##0.00\)" sourceLinked="0"/>
            <c:spPr>
              <a:noFill/>
              <a:ln>
                <a:noFill/>
              </a:ln>
              <a:effectLst/>
            </c:spPr>
            <c:txPr>
              <a:bodyPr rot="0" spcFirstLastPara="1" vertOverflow="ellipsis" vert="horz" wrap="square" lIns="38100" tIns="19050" rIns="38100" bIns="19050" anchor="ctr" anchorCtr="1">
                <a:spAutoFit/>
              </a:bodyPr>
              <a:lstStyle/>
              <a:p>
                <a:pPr>
                  <a:defRPr lang="zh-CN" sz="900" b="0" i="0" u="none" strike="noStrike" kern="1200" baseline="0">
                    <a:solidFill>
                      <a:schemeClr val="tx1">
                        <a:lumMod val="75000"/>
                        <a:lumOff val="25000"/>
                      </a:schemeClr>
                    </a:solidFill>
                    <a:latin typeface="+mn-lt"/>
                    <a:ea typeface="+mn-ea"/>
                    <a:cs typeface="+mn-cs"/>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numRef>
              <c:f>全球总体!$C$21:$D$21</c:f>
              <c:numCache>
                <c:formatCode>General</c:formatCode>
                <c:ptCount val="2"/>
                <c:pt idx="0">
                  <c:v>2022</c:v>
                </c:pt>
                <c:pt idx="1">
                  <c:v>2029</c:v>
                </c:pt>
              </c:numCache>
            </c:numRef>
          </c:cat>
          <c:val>
            <c:numRef>
              <c:f>全球总体!$C$22:$D$22</c:f>
              <c:numCache>
                <c:formatCode>#,##0_ </c:formatCode>
                <c:ptCount val="2"/>
                <c:pt idx="0">
                  <c:v>666.06</c:v>
                </c:pt>
                <c:pt idx="1">
                  <c:v>844.84</c:v>
                </c:pt>
              </c:numCache>
            </c:numRef>
          </c:val>
        </c:ser>
        <c:dLbls>
          <c:showLegendKey val="0"/>
          <c:showVal val="0"/>
          <c:showCatName val="0"/>
          <c:showSerName val="0"/>
          <c:showPercent val="0"/>
          <c:showBubbleSize val="0"/>
        </c:dLbls>
        <c:gapWidth val="219"/>
        <c:overlap val="-27"/>
        <c:axId val="719571343"/>
        <c:axId val="481370671"/>
      </c:barChart>
      <c:catAx>
        <c:axId val="719571343"/>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481370671"/>
        <c:crosses val="autoZero"/>
        <c:auto val="1"/>
        <c:lblAlgn val="ctr"/>
        <c:lblOffset val="100"/>
        <c:noMultiLvlLbl val="0"/>
      </c:catAx>
      <c:valAx>
        <c:axId val="481370671"/>
        <c:scaling>
          <c:orientation val="minMax"/>
        </c:scaling>
        <c:delete val="0"/>
        <c:axPos val="l"/>
        <c:majorGridlines>
          <c:spPr>
            <a:ln w="9525" cap="flat" cmpd="sng" algn="ctr">
              <a:noFill/>
              <a:round/>
            </a:ln>
            <a:effectLst/>
          </c:spPr>
        </c:majorGridlines>
        <c:numFmt formatCode="#,##0_ " sourceLinked="1"/>
        <c:majorTickMark val="none"/>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719571343"/>
        <c:crosses val="autoZero"/>
        <c:crossBetween val="between"/>
      </c:valAx>
      <c:spPr>
        <a:noFill/>
        <a:ln>
          <a:noFill/>
        </a:ln>
        <a:effectLst/>
      </c:spPr>
    </c:plotArea>
    <c:plotVisOnly val="1"/>
    <c:dispBlanksAs val="gap"/>
    <c:showDLblsOverMax val="0"/>
  </c:chart>
  <c:spPr>
    <a:solidFill>
      <a:schemeClr val="bg1"/>
    </a:solidFill>
    <a:ln w="9525" cap="flat" cmpd="sng" algn="ctr">
      <a:noFill/>
      <a:round/>
    </a:ln>
    <a:effectLst/>
  </c:spPr>
  <c:txPr>
    <a:bodyPr/>
    <a:lstStyle/>
    <a:p>
      <a:pPr>
        <a:defRPr lang="zh-CN"/>
      </a:pPr>
    </a:p>
  </c:txPr>
  <c:externalData r:id="rId1">
    <c:autoUpdate val="0"/>
  </c:externalData>
  <c:userShapes r:id="rId3"/>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0" spcFirstLastPara="1" vertOverflow="ellipsis" vert="horz" wrap="square" anchor="ctr" anchorCtr="1"/>
          <a:lstStyle/>
          <a:p>
            <a:pPr>
              <a:defRPr lang="zh-CN" sz="1050" b="0" i="0" u="none" strike="noStrike" kern="1200" spc="0" baseline="0">
                <a:solidFill>
                  <a:schemeClr val="tx1">
                    <a:lumMod val="65000"/>
                    <a:lumOff val="35000"/>
                  </a:schemeClr>
                </a:solidFill>
                <a:latin typeface="Book Antiqua" panose="02040602050305030304" pitchFamily="1" charset="0"/>
                <a:ea typeface="+mn-ea"/>
                <a:cs typeface="+mn-cs"/>
              </a:defRPr>
            </a:pPr>
            <a:r>
              <a:rPr lang="zh-CN" altLang="en-US" sz="1050">
                <a:latin typeface="Book Antiqua" panose="02040602050305030304" pitchFamily="1" charset="0"/>
              </a:rPr>
              <a:t>全球市场主要企业排名</a:t>
            </a:r>
            <a:endParaRPr lang="en-US" altLang="zh-CN" sz="1050">
              <a:latin typeface="Book Antiqua" panose="02040602050305030304" pitchFamily="1" charset="0"/>
            </a:endParaRPr>
          </a:p>
        </c:rich>
      </c:tx>
      <c:layout>
        <c:manualLayout>
          <c:xMode val="edge"/>
          <c:yMode val="edge"/>
          <c:x val="0.332020778652668"/>
          <c:y val="0.0346320818516983"/>
        </c:manualLayout>
      </c:layout>
      <c:overlay val="0"/>
      <c:spPr>
        <a:noFill/>
        <a:ln>
          <a:noFill/>
        </a:ln>
        <a:effectLst/>
      </c:spPr>
    </c:title>
    <c:autoTitleDeleted val="0"/>
    <c:plotArea>
      <c:layout/>
      <c:barChart>
        <c:barDir val="bar"/>
        <c:grouping val="clustered"/>
        <c:varyColors val="1"/>
        <c:ser>
          <c:idx val="0"/>
          <c:order val="0"/>
          <c:tx>
            <c:strRef>
              <c:f>企业排序!$G$1</c:f>
              <c:strCache>
                <c:ptCount val="1"/>
                <c:pt idx="0">
                  <c:v>2022</c:v>
                </c:pt>
              </c:strCache>
            </c:strRef>
          </c:tx>
          <c:spPr/>
          <c:invertIfNegative val="0"/>
          <c:dPt>
            <c:idx val="0"/>
            <c:invertIfNegative val="0"/>
            <c:bubble3D val="0"/>
            <c:spPr>
              <a:solidFill>
                <a:schemeClr val="accent1"/>
              </a:solidFill>
              <a:ln>
                <a:noFill/>
              </a:ln>
              <a:effectLst/>
            </c:spPr>
          </c:dPt>
          <c:dPt>
            <c:idx val="1"/>
            <c:invertIfNegative val="0"/>
            <c:bubble3D val="0"/>
            <c:spPr>
              <a:solidFill>
                <a:schemeClr val="accent2"/>
              </a:solidFill>
              <a:ln>
                <a:noFill/>
              </a:ln>
              <a:effectLst/>
            </c:spPr>
          </c:dPt>
          <c:dPt>
            <c:idx val="2"/>
            <c:invertIfNegative val="0"/>
            <c:bubble3D val="0"/>
            <c:spPr>
              <a:solidFill>
                <a:schemeClr val="accent3"/>
              </a:solidFill>
              <a:ln>
                <a:noFill/>
              </a:ln>
              <a:effectLst/>
            </c:spPr>
          </c:dPt>
          <c:dPt>
            <c:idx val="3"/>
            <c:invertIfNegative val="0"/>
            <c:bubble3D val="0"/>
            <c:spPr>
              <a:solidFill>
                <a:schemeClr val="accent4"/>
              </a:solidFill>
              <a:ln>
                <a:noFill/>
              </a:ln>
              <a:effectLst/>
            </c:spPr>
          </c:dPt>
          <c:dPt>
            <c:idx val="4"/>
            <c:invertIfNegative val="0"/>
            <c:bubble3D val="0"/>
            <c:spPr>
              <a:solidFill>
                <a:schemeClr val="accent5"/>
              </a:solidFill>
              <a:ln>
                <a:noFill/>
              </a:ln>
              <a:effectLst/>
            </c:spPr>
          </c:dPt>
          <c:dPt>
            <c:idx val="5"/>
            <c:invertIfNegative val="0"/>
            <c:bubble3D val="0"/>
            <c:spPr>
              <a:solidFill>
                <a:schemeClr val="accent6"/>
              </a:solidFill>
              <a:ln>
                <a:noFill/>
              </a:ln>
              <a:effectLst/>
            </c:spPr>
          </c:dPt>
          <c:dPt>
            <c:idx val="6"/>
            <c:invertIfNegative val="0"/>
            <c:bubble3D val="0"/>
            <c:spPr>
              <a:solidFill>
                <a:schemeClr val="accent1">
                  <a:lumMod val="60000"/>
                </a:schemeClr>
              </a:solidFill>
              <a:ln>
                <a:noFill/>
              </a:ln>
              <a:effectLst/>
            </c:spPr>
          </c:dPt>
          <c:dPt>
            <c:idx val="7"/>
            <c:invertIfNegative val="0"/>
            <c:bubble3D val="0"/>
            <c:spPr>
              <a:solidFill>
                <a:schemeClr val="accent2">
                  <a:lumMod val="60000"/>
                </a:schemeClr>
              </a:solidFill>
              <a:ln>
                <a:noFill/>
              </a:ln>
              <a:effectLst/>
            </c:spPr>
          </c:dPt>
          <c:dPt>
            <c:idx val="8"/>
            <c:invertIfNegative val="0"/>
            <c:bubble3D val="0"/>
            <c:spPr>
              <a:solidFill>
                <a:schemeClr val="accent3">
                  <a:lumMod val="60000"/>
                </a:schemeClr>
              </a:solidFill>
              <a:ln>
                <a:noFill/>
              </a:ln>
              <a:effectLst/>
            </c:spPr>
          </c:dPt>
          <c:dPt>
            <c:idx val="9"/>
            <c:invertIfNegative val="0"/>
            <c:bubble3D val="0"/>
            <c:spPr>
              <a:solidFill>
                <a:schemeClr val="accent4">
                  <a:lumMod val="60000"/>
                </a:schemeClr>
              </a:solidFill>
              <a:ln>
                <a:noFill/>
              </a:ln>
              <a:effectLst/>
            </c:spPr>
          </c:dPt>
          <c:dLbls>
            <c:delete val="1"/>
          </c:dLbls>
          <c:cat>
            <c:strRef>
              <c:f>企业排序!$F$2:$F$25</c:f>
              <c:strCache>
                <c:ptCount val="10"/>
                <c:pt idx="0">
                  <c:v>Mercan Fishing Lines</c:v>
                </c:pt>
                <c:pt idx="1">
                  <c:v>Maxima Fishing Line</c:v>
                </c:pt>
                <c:pt idx="2">
                  <c:v>Momoi</c:v>
                </c:pt>
                <c:pt idx="3">
                  <c:v>FirstDart</c:v>
                </c:pt>
                <c:pt idx="4">
                  <c:v>SHIMANO INC</c:v>
                </c:pt>
                <c:pt idx="5">
                  <c:v>DAIWA </c:v>
                </c:pt>
                <c:pt idx="6">
                  <c:v>Sunline</c:v>
                </c:pt>
                <c:pt idx="7">
                  <c:v>Sufix International</c:v>
                </c:pt>
                <c:pt idx="8">
                  <c:v>Toray</c:v>
                </c:pt>
                <c:pt idx="9">
                  <c:v>PureFishing</c:v>
                </c:pt>
              </c:strCache>
            </c:strRef>
          </c:cat>
          <c:val>
            <c:numRef>
              <c:f>企业排序!$G$2:$G$25</c:f>
              <c:numCache>
                <c:formatCode>#,##0.00_ </c:formatCode>
                <c:ptCount val="10"/>
                <c:pt idx="0">
                  <c:v>9.45</c:v>
                </c:pt>
                <c:pt idx="1">
                  <c:v>12.62</c:v>
                </c:pt>
                <c:pt idx="2">
                  <c:v>13.56</c:v>
                </c:pt>
                <c:pt idx="3">
                  <c:v>13.82</c:v>
                </c:pt>
                <c:pt idx="4">
                  <c:v>21.69</c:v>
                </c:pt>
                <c:pt idx="5">
                  <c:v>17.34</c:v>
                </c:pt>
                <c:pt idx="6">
                  <c:v>21.97</c:v>
                </c:pt>
                <c:pt idx="7">
                  <c:v>26.9</c:v>
                </c:pt>
                <c:pt idx="8">
                  <c:v>37.57</c:v>
                </c:pt>
                <c:pt idx="9">
                  <c:v>40.84</c:v>
                </c:pt>
              </c:numCache>
            </c:numRef>
          </c:val>
        </c:ser>
        <c:dLbls>
          <c:showLegendKey val="0"/>
          <c:showVal val="0"/>
          <c:showCatName val="0"/>
          <c:showSerName val="0"/>
          <c:showPercent val="0"/>
          <c:showBubbleSize val="0"/>
        </c:dLbls>
        <c:gapWidth val="75"/>
        <c:axId val="1272139183"/>
        <c:axId val="1326546959"/>
      </c:barChart>
      <c:catAx>
        <c:axId val="1272139183"/>
        <c:scaling>
          <c:orientation val="minMax"/>
        </c:scaling>
        <c:delete val="0"/>
        <c:axPos val="l"/>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Book Antiqua" panose="02040602050305030304" pitchFamily="1" charset="0"/>
                <a:ea typeface="+mn-ea"/>
                <a:cs typeface="+mn-cs"/>
              </a:defRPr>
            </a:pPr>
          </a:p>
        </c:txPr>
        <c:crossAx val="1326546959"/>
        <c:crosses val="autoZero"/>
        <c:auto val="1"/>
        <c:lblAlgn val="ctr"/>
        <c:lblOffset val="100"/>
        <c:noMultiLvlLbl val="0"/>
      </c:catAx>
      <c:valAx>
        <c:axId val="1326546959"/>
        <c:scaling>
          <c:orientation val="minMax"/>
        </c:scaling>
        <c:delete val="0"/>
        <c:axPos val="b"/>
        <c:majorGridlines>
          <c:spPr>
            <a:ln w="9525" cap="flat" cmpd="sng" algn="ctr">
              <a:noFill/>
              <a:round/>
            </a:ln>
            <a:effectLst/>
          </c:spPr>
        </c:majorGridlines>
        <c:numFmt formatCode="#,##0.00_ " sourceLinked="1"/>
        <c:majorTickMark val="none"/>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Book Antiqua" panose="02040602050305030304" pitchFamily="1" charset="0"/>
                <a:ea typeface="+mn-ea"/>
                <a:cs typeface="+mn-cs"/>
              </a:defRPr>
            </a:pPr>
          </a:p>
        </c:txPr>
        <c:crossAx val="1272139183"/>
        <c:crosses val="autoZero"/>
        <c:crossBetween val="between"/>
      </c:valAx>
      <c:spPr>
        <a:noFill/>
        <a:ln>
          <a:noFill/>
        </a:ln>
        <a:effectLst/>
      </c:spPr>
    </c:plotArea>
    <c:plotVisOnly val="1"/>
    <c:dispBlanksAs val="gap"/>
    <c:showDLblsOverMax val="0"/>
  </c:chart>
  <c:spPr>
    <a:solidFill>
      <a:schemeClr val="bg1"/>
    </a:solidFill>
    <a:ln w="9525" cap="flat" cmpd="sng" algn="ctr">
      <a:noFill/>
      <a:round/>
    </a:ln>
    <a:effectLst/>
  </c:spPr>
  <c:txPr>
    <a:bodyPr/>
    <a:lstStyle/>
    <a:p>
      <a:pPr>
        <a:defRPr lang="zh-CN"/>
      </a:pPr>
    </a:p>
  </c:txPr>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plotArea>
      <c:layout>
        <c:manualLayout>
          <c:layoutTarget val="inner"/>
          <c:xMode val="edge"/>
          <c:yMode val="edge"/>
          <c:x val="0.0299878086419753"/>
          <c:y val="0.0211666666666667"/>
          <c:w val="0.936207098765432"/>
          <c:h val="0.755441666666667"/>
        </c:manualLayout>
      </c:layout>
      <c:barChart>
        <c:barDir val="col"/>
        <c:grouping val="stacked"/>
        <c:varyColors val="0"/>
        <c:ser>
          <c:idx val="0"/>
          <c:order val="0"/>
          <c:tx>
            <c:strRef>
              <c:f>分类!$A$2</c:f>
              <c:strCache>
                <c:ptCount val="1"/>
                <c:pt idx="0">
                  <c:v>Monofilament Fishing Line</c:v>
                </c:pt>
              </c:strCache>
            </c:strRef>
          </c:tx>
          <c:spPr>
            <a:solidFill>
              <a:srgbClr val="002060"/>
            </a:solidFill>
            <a:ln>
              <a:noFill/>
            </a:ln>
            <a:effectLst/>
          </c:spPr>
          <c:invertIfNegative val="0"/>
          <c:dLbls>
            <c:delete val="1"/>
          </c:dLbls>
          <c:cat>
            <c:numRef>
              <c:f>分类!$B$1:$M$1</c:f>
              <c:numCache>
                <c:formatCode>General</c:formatCode>
                <c:ptCount val="12"/>
                <c:pt idx="0">
                  <c:v>2018</c:v>
                </c:pt>
                <c:pt idx="1">
                  <c:v>2019</c:v>
                </c:pt>
                <c:pt idx="2">
                  <c:v>2020</c:v>
                </c:pt>
                <c:pt idx="3">
                  <c:v>2021</c:v>
                </c:pt>
                <c:pt idx="4">
                  <c:v>2022</c:v>
                </c:pt>
                <c:pt idx="5">
                  <c:v>2023</c:v>
                </c:pt>
                <c:pt idx="6">
                  <c:v>2024</c:v>
                </c:pt>
                <c:pt idx="7">
                  <c:v>2025</c:v>
                </c:pt>
                <c:pt idx="8">
                  <c:v>2026</c:v>
                </c:pt>
                <c:pt idx="9">
                  <c:v>2027</c:v>
                </c:pt>
                <c:pt idx="10">
                  <c:v>2028</c:v>
                </c:pt>
                <c:pt idx="11">
                  <c:v>2029</c:v>
                </c:pt>
              </c:numCache>
            </c:numRef>
          </c:cat>
          <c:val>
            <c:numRef>
              <c:f>分类!$B$2:$M$2</c:f>
              <c:numCache>
                <c:formatCode>#,##0_);[Red]\(#,##0\)</c:formatCode>
                <c:ptCount val="12"/>
                <c:pt idx="0">
                  <c:v>304.618970390049</c:v>
                </c:pt>
                <c:pt idx="1">
                  <c:v>313.966859621729</c:v>
                </c:pt>
                <c:pt idx="2">
                  <c:v>297.452463441579</c:v>
                </c:pt>
                <c:pt idx="3">
                  <c:v>317.81</c:v>
                </c:pt>
                <c:pt idx="4">
                  <c:v>325.19</c:v>
                </c:pt>
                <c:pt idx="5">
                  <c:v>335</c:v>
                </c:pt>
                <c:pt idx="6">
                  <c:v>362.42</c:v>
                </c:pt>
                <c:pt idx="7">
                  <c:v>369.59</c:v>
                </c:pt>
                <c:pt idx="8">
                  <c:v>376.29</c:v>
                </c:pt>
                <c:pt idx="9">
                  <c:v>398.27</c:v>
                </c:pt>
                <c:pt idx="10">
                  <c:v>392.19</c:v>
                </c:pt>
                <c:pt idx="11">
                  <c:v>401.28</c:v>
                </c:pt>
              </c:numCache>
            </c:numRef>
          </c:val>
        </c:ser>
        <c:ser>
          <c:idx val="1"/>
          <c:order val="1"/>
          <c:tx>
            <c:strRef>
              <c:f>分类!$A$3</c:f>
              <c:strCache>
                <c:ptCount val="1"/>
                <c:pt idx="0">
                  <c:v>Braided Fishing Line</c:v>
                </c:pt>
              </c:strCache>
            </c:strRef>
          </c:tx>
          <c:spPr>
            <a:solidFill>
              <a:schemeClr val="bg1">
                <a:lumMod val="50000"/>
              </a:schemeClr>
            </a:solidFill>
            <a:ln>
              <a:noFill/>
            </a:ln>
            <a:effectLst/>
          </c:spPr>
          <c:invertIfNegative val="0"/>
          <c:dLbls>
            <c:delete val="1"/>
          </c:dLbls>
          <c:cat>
            <c:numRef>
              <c:f>分类!$B$1:$M$1</c:f>
              <c:numCache>
                <c:formatCode>General</c:formatCode>
                <c:ptCount val="12"/>
                <c:pt idx="0">
                  <c:v>2018</c:v>
                </c:pt>
                <c:pt idx="1">
                  <c:v>2019</c:v>
                </c:pt>
                <c:pt idx="2">
                  <c:v>2020</c:v>
                </c:pt>
                <c:pt idx="3">
                  <c:v>2021</c:v>
                </c:pt>
                <c:pt idx="4">
                  <c:v>2022</c:v>
                </c:pt>
                <c:pt idx="5">
                  <c:v>2023</c:v>
                </c:pt>
                <c:pt idx="6">
                  <c:v>2024</c:v>
                </c:pt>
                <c:pt idx="7">
                  <c:v>2025</c:v>
                </c:pt>
                <c:pt idx="8">
                  <c:v>2026</c:v>
                </c:pt>
                <c:pt idx="9">
                  <c:v>2027</c:v>
                </c:pt>
                <c:pt idx="10">
                  <c:v>2028</c:v>
                </c:pt>
                <c:pt idx="11">
                  <c:v>2029</c:v>
                </c:pt>
              </c:numCache>
            </c:numRef>
          </c:cat>
          <c:val>
            <c:numRef>
              <c:f>分类!$B$3:$M$3</c:f>
              <c:numCache>
                <c:formatCode>#,##0_);[Red]\(#,##0\)</c:formatCode>
                <c:ptCount val="12"/>
                <c:pt idx="0">
                  <c:v>216.200388750503</c:v>
                </c:pt>
                <c:pt idx="1">
                  <c:v>225.671036195464</c:v>
                </c:pt>
                <c:pt idx="2">
                  <c:v>221.182965505205</c:v>
                </c:pt>
                <c:pt idx="3">
                  <c:v>233.39</c:v>
                </c:pt>
                <c:pt idx="4">
                  <c:v>238.66</c:v>
                </c:pt>
                <c:pt idx="5">
                  <c:v>245.35</c:v>
                </c:pt>
                <c:pt idx="6">
                  <c:v>251.48</c:v>
                </c:pt>
                <c:pt idx="7">
                  <c:v>257.41</c:v>
                </c:pt>
                <c:pt idx="8">
                  <c:v>265.39</c:v>
                </c:pt>
                <c:pt idx="9">
                  <c:v>281.1</c:v>
                </c:pt>
                <c:pt idx="10">
                  <c:v>296.56</c:v>
                </c:pt>
                <c:pt idx="11">
                  <c:v>306.61</c:v>
                </c:pt>
              </c:numCache>
            </c:numRef>
          </c:val>
        </c:ser>
        <c:ser>
          <c:idx val="2"/>
          <c:order val="2"/>
          <c:tx>
            <c:strRef>
              <c:f>分类!$A$4</c:f>
              <c:strCache>
                <c:ptCount val="1"/>
                <c:pt idx="0">
                  <c:v>Fluorocarbon Fishing Line</c:v>
                </c:pt>
              </c:strCache>
            </c:strRef>
          </c:tx>
          <c:spPr>
            <a:solidFill>
              <a:schemeClr val="accent6">
                <a:lumMod val="75000"/>
              </a:schemeClr>
            </a:solidFill>
            <a:ln>
              <a:noFill/>
            </a:ln>
            <a:effectLst/>
          </c:spPr>
          <c:invertIfNegative val="0"/>
          <c:dLbls>
            <c:delete val="1"/>
          </c:dLbls>
          <c:cat>
            <c:numRef>
              <c:f>分类!$B$1:$M$1</c:f>
              <c:numCache>
                <c:formatCode>General</c:formatCode>
                <c:ptCount val="12"/>
                <c:pt idx="0">
                  <c:v>2018</c:v>
                </c:pt>
                <c:pt idx="1">
                  <c:v>2019</c:v>
                </c:pt>
                <c:pt idx="2">
                  <c:v>2020</c:v>
                </c:pt>
                <c:pt idx="3">
                  <c:v>2021</c:v>
                </c:pt>
                <c:pt idx="4">
                  <c:v>2022</c:v>
                </c:pt>
                <c:pt idx="5">
                  <c:v>2023</c:v>
                </c:pt>
                <c:pt idx="6">
                  <c:v>2024</c:v>
                </c:pt>
                <c:pt idx="7">
                  <c:v>2025</c:v>
                </c:pt>
                <c:pt idx="8">
                  <c:v>2026</c:v>
                </c:pt>
                <c:pt idx="9">
                  <c:v>2027</c:v>
                </c:pt>
                <c:pt idx="10">
                  <c:v>2028</c:v>
                </c:pt>
                <c:pt idx="11">
                  <c:v>2029</c:v>
                </c:pt>
              </c:numCache>
            </c:numRef>
          </c:cat>
          <c:val>
            <c:numRef>
              <c:f>分类!$B$4:$M$4</c:f>
              <c:numCache>
                <c:formatCode>#,##0_);[Red]\(#,##0\)</c:formatCode>
                <c:ptCount val="12"/>
                <c:pt idx="0">
                  <c:v>95.7106408594478</c:v>
                </c:pt>
                <c:pt idx="1">
                  <c:v>99.1421041828061</c:v>
                </c:pt>
                <c:pt idx="2">
                  <c:v>96.6545710532166</c:v>
                </c:pt>
                <c:pt idx="3">
                  <c:v>100.99</c:v>
                </c:pt>
                <c:pt idx="4">
                  <c:v>102.21</c:v>
                </c:pt>
                <c:pt idx="5">
                  <c:v>105.09</c:v>
                </c:pt>
                <c:pt idx="6">
                  <c:v>107.57</c:v>
                </c:pt>
                <c:pt idx="7">
                  <c:v>111.79</c:v>
                </c:pt>
                <c:pt idx="8">
                  <c:v>116.89</c:v>
                </c:pt>
                <c:pt idx="9">
                  <c:v>123.81</c:v>
                </c:pt>
                <c:pt idx="10">
                  <c:v>131.56</c:v>
                </c:pt>
                <c:pt idx="11">
                  <c:v>136.95</c:v>
                </c:pt>
              </c:numCache>
            </c:numRef>
          </c:val>
        </c:ser>
        <c:ser>
          <c:idx val="3"/>
          <c:order val="3"/>
          <c:tx>
            <c:strRef>
              <c:f>分类!$A$5</c:f>
              <c:strCache>
                <c:ptCount val="1"/>
                <c:pt idx="0">
                  <c:v/>
                </c:pt>
              </c:strCache>
            </c:strRef>
          </c:tx>
          <c:spPr>
            <a:solidFill>
              <a:schemeClr val="tx2">
                <a:lumMod val="60000"/>
                <a:lumOff val="40000"/>
              </a:schemeClr>
            </a:solidFill>
            <a:ln>
              <a:noFill/>
            </a:ln>
            <a:effectLst/>
          </c:spPr>
          <c:invertIfNegative val="0"/>
          <c:dLbls>
            <c:delete val="1"/>
          </c:dLbls>
          <c:cat>
            <c:numRef>
              <c:f>分类!$B$1:$M$1</c:f>
              <c:numCache>
                <c:formatCode>General</c:formatCode>
                <c:ptCount val="12"/>
                <c:pt idx="0">
                  <c:v>2018</c:v>
                </c:pt>
                <c:pt idx="1">
                  <c:v>2019</c:v>
                </c:pt>
                <c:pt idx="2">
                  <c:v>2020</c:v>
                </c:pt>
                <c:pt idx="3">
                  <c:v>2021</c:v>
                </c:pt>
                <c:pt idx="4">
                  <c:v>2022</c:v>
                </c:pt>
                <c:pt idx="5">
                  <c:v>2023</c:v>
                </c:pt>
                <c:pt idx="6">
                  <c:v>2024</c:v>
                </c:pt>
                <c:pt idx="7">
                  <c:v>2025</c:v>
                </c:pt>
                <c:pt idx="8">
                  <c:v>2026</c:v>
                </c:pt>
                <c:pt idx="9">
                  <c:v>2027</c:v>
                </c:pt>
                <c:pt idx="10">
                  <c:v>2028</c:v>
                </c:pt>
                <c:pt idx="11">
                  <c:v>2029</c:v>
                </c:pt>
              </c:numCache>
            </c:numRef>
          </c:cat>
          <c:val>
            <c:numRef>
              <c:f>分类!$B$5:$M$5</c:f>
            </c:numRef>
          </c:val>
        </c:ser>
        <c:ser>
          <c:idx val="4"/>
          <c:order val="4"/>
          <c:tx>
            <c:strRef>
              <c:f>分类!$A$6</c:f>
              <c:strCache>
                <c:ptCount val="1"/>
                <c:pt idx="0">
                  <c:v/>
                </c:pt>
              </c:strCache>
            </c:strRef>
          </c:tx>
          <c:spPr>
            <a:solidFill>
              <a:schemeClr val="accent1">
                <a:lumMod val="75000"/>
              </a:schemeClr>
            </a:solidFill>
            <a:ln>
              <a:noFill/>
            </a:ln>
            <a:effectLst/>
          </c:spPr>
          <c:invertIfNegative val="0"/>
          <c:dLbls>
            <c:delete val="1"/>
          </c:dLbls>
          <c:cat>
            <c:numRef>
              <c:f>分类!$B$1:$M$1</c:f>
              <c:numCache>
                <c:formatCode>General</c:formatCode>
                <c:ptCount val="12"/>
                <c:pt idx="0">
                  <c:v>2018</c:v>
                </c:pt>
                <c:pt idx="1">
                  <c:v>2019</c:v>
                </c:pt>
                <c:pt idx="2">
                  <c:v>2020</c:v>
                </c:pt>
                <c:pt idx="3">
                  <c:v>2021</c:v>
                </c:pt>
                <c:pt idx="4">
                  <c:v>2022</c:v>
                </c:pt>
                <c:pt idx="5">
                  <c:v>2023</c:v>
                </c:pt>
                <c:pt idx="6">
                  <c:v>2024</c:v>
                </c:pt>
                <c:pt idx="7">
                  <c:v>2025</c:v>
                </c:pt>
                <c:pt idx="8">
                  <c:v>2026</c:v>
                </c:pt>
                <c:pt idx="9">
                  <c:v>2027</c:v>
                </c:pt>
                <c:pt idx="10">
                  <c:v>2028</c:v>
                </c:pt>
                <c:pt idx="11">
                  <c:v>2029</c:v>
                </c:pt>
              </c:numCache>
            </c:numRef>
          </c:cat>
          <c:val>
            <c:numRef>
              <c:f>分类!$B$6:$M$6</c:f>
            </c:numRef>
          </c:val>
        </c:ser>
        <c:ser>
          <c:idx val="5"/>
          <c:order val="5"/>
          <c:tx>
            <c:strRef>
              <c:f>分类!$A$7</c:f>
              <c:strCache>
                <c:ptCount val="1"/>
                <c:pt idx="0">
                  <c:v/>
                </c:pt>
              </c:strCache>
            </c:strRef>
          </c:tx>
          <c:spPr>
            <a:solidFill>
              <a:schemeClr val="accent4">
                <a:lumMod val="60000"/>
                <a:lumOff val="40000"/>
              </a:schemeClr>
            </a:solidFill>
            <a:ln>
              <a:noFill/>
            </a:ln>
            <a:effectLst/>
          </c:spPr>
          <c:invertIfNegative val="0"/>
          <c:dLbls>
            <c:delete val="1"/>
          </c:dLbls>
          <c:cat>
            <c:numRef>
              <c:f>分类!$B$1:$M$1</c:f>
              <c:numCache>
                <c:formatCode>General</c:formatCode>
                <c:ptCount val="12"/>
                <c:pt idx="0">
                  <c:v>2018</c:v>
                </c:pt>
                <c:pt idx="1">
                  <c:v>2019</c:v>
                </c:pt>
                <c:pt idx="2">
                  <c:v>2020</c:v>
                </c:pt>
                <c:pt idx="3">
                  <c:v>2021</c:v>
                </c:pt>
                <c:pt idx="4">
                  <c:v>2022</c:v>
                </c:pt>
                <c:pt idx="5">
                  <c:v>2023</c:v>
                </c:pt>
                <c:pt idx="6">
                  <c:v>2024</c:v>
                </c:pt>
                <c:pt idx="7">
                  <c:v>2025</c:v>
                </c:pt>
                <c:pt idx="8">
                  <c:v>2026</c:v>
                </c:pt>
                <c:pt idx="9">
                  <c:v>2027</c:v>
                </c:pt>
                <c:pt idx="10">
                  <c:v>2028</c:v>
                </c:pt>
                <c:pt idx="11">
                  <c:v>2029</c:v>
                </c:pt>
              </c:numCache>
            </c:numRef>
          </c:cat>
          <c:val>
            <c:numRef>
              <c:f>分类!$B$7:$M$7</c:f>
            </c:numRef>
          </c:val>
        </c:ser>
        <c:ser>
          <c:idx val="6"/>
          <c:order val="6"/>
          <c:tx>
            <c:strRef>
              <c:f>分类!$A$8</c:f>
              <c:strCache>
                <c:ptCount val="1"/>
                <c:pt idx="0">
                  <c:v/>
                </c:pt>
              </c:strCache>
            </c:strRef>
          </c:tx>
          <c:spPr>
            <a:solidFill>
              <a:schemeClr val="accent2">
                <a:lumMod val="60000"/>
                <a:lumOff val="40000"/>
              </a:schemeClr>
            </a:solidFill>
            <a:ln>
              <a:noFill/>
            </a:ln>
            <a:effectLst/>
          </c:spPr>
          <c:invertIfNegative val="0"/>
          <c:dLbls>
            <c:delete val="1"/>
          </c:dLbls>
          <c:cat>
            <c:numRef>
              <c:f>分类!$B$1:$M$1</c:f>
              <c:numCache>
                <c:formatCode>General</c:formatCode>
                <c:ptCount val="12"/>
                <c:pt idx="0">
                  <c:v>2018</c:v>
                </c:pt>
                <c:pt idx="1">
                  <c:v>2019</c:v>
                </c:pt>
                <c:pt idx="2">
                  <c:v>2020</c:v>
                </c:pt>
                <c:pt idx="3">
                  <c:v>2021</c:v>
                </c:pt>
                <c:pt idx="4">
                  <c:v>2022</c:v>
                </c:pt>
                <c:pt idx="5">
                  <c:v>2023</c:v>
                </c:pt>
                <c:pt idx="6">
                  <c:v>2024</c:v>
                </c:pt>
                <c:pt idx="7">
                  <c:v>2025</c:v>
                </c:pt>
                <c:pt idx="8">
                  <c:v>2026</c:v>
                </c:pt>
                <c:pt idx="9">
                  <c:v>2027</c:v>
                </c:pt>
                <c:pt idx="10">
                  <c:v>2028</c:v>
                </c:pt>
                <c:pt idx="11">
                  <c:v>2029</c:v>
                </c:pt>
              </c:numCache>
            </c:numRef>
          </c:cat>
          <c:val>
            <c:numRef>
              <c:f>分类!$B$8:$M$8</c:f>
            </c:numRef>
          </c:val>
        </c:ser>
        <c:ser>
          <c:idx val="7"/>
          <c:order val="7"/>
          <c:tx>
            <c:strRef>
              <c:f>分类!$A$9</c:f>
              <c:strCache>
                <c:ptCount val="1"/>
                <c:pt idx="0">
                  <c:v/>
                </c:pt>
              </c:strCache>
            </c:strRef>
          </c:tx>
          <c:spPr>
            <a:solidFill>
              <a:schemeClr val="bg2">
                <a:lumMod val="50000"/>
              </a:schemeClr>
            </a:solidFill>
            <a:ln>
              <a:noFill/>
            </a:ln>
            <a:effectLst/>
          </c:spPr>
          <c:invertIfNegative val="0"/>
          <c:dLbls>
            <c:delete val="1"/>
          </c:dLbls>
          <c:cat>
            <c:numRef>
              <c:f>分类!$B$1:$M$1</c:f>
              <c:numCache>
                <c:formatCode>General</c:formatCode>
                <c:ptCount val="12"/>
                <c:pt idx="0">
                  <c:v>2018</c:v>
                </c:pt>
                <c:pt idx="1">
                  <c:v>2019</c:v>
                </c:pt>
                <c:pt idx="2">
                  <c:v>2020</c:v>
                </c:pt>
                <c:pt idx="3">
                  <c:v>2021</c:v>
                </c:pt>
                <c:pt idx="4">
                  <c:v>2022</c:v>
                </c:pt>
                <c:pt idx="5">
                  <c:v>2023</c:v>
                </c:pt>
                <c:pt idx="6">
                  <c:v>2024</c:v>
                </c:pt>
                <c:pt idx="7">
                  <c:v>2025</c:v>
                </c:pt>
                <c:pt idx="8">
                  <c:v>2026</c:v>
                </c:pt>
                <c:pt idx="9">
                  <c:v>2027</c:v>
                </c:pt>
                <c:pt idx="10">
                  <c:v>2028</c:v>
                </c:pt>
                <c:pt idx="11">
                  <c:v>2029</c:v>
                </c:pt>
              </c:numCache>
            </c:numRef>
          </c:cat>
          <c:val>
            <c:numRef>
              <c:f>分类!$B$9:$M$9</c:f>
            </c:numRef>
          </c:val>
        </c:ser>
        <c:ser>
          <c:idx val="8"/>
          <c:order val="8"/>
          <c:tx>
            <c:strRef>
              <c:f>分类!$A$10</c:f>
              <c:strCache>
                <c:ptCount val="1"/>
                <c:pt idx="0">
                  <c:v/>
                </c:pt>
              </c:strCache>
            </c:strRef>
          </c:tx>
          <c:spPr>
            <a:solidFill>
              <a:schemeClr val="accent5">
                <a:lumMod val="60000"/>
                <a:lumOff val="40000"/>
              </a:schemeClr>
            </a:solidFill>
            <a:ln>
              <a:noFill/>
            </a:ln>
            <a:effectLst/>
          </c:spPr>
          <c:invertIfNegative val="0"/>
          <c:dLbls>
            <c:delete val="1"/>
          </c:dLbls>
          <c:cat>
            <c:numRef>
              <c:f>分类!$B$1:$M$1</c:f>
              <c:numCache>
                <c:formatCode>General</c:formatCode>
                <c:ptCount val="12"/>
                <c:pt idx="0">
                  <c:v>2018</c:v>
                </c:pt>
                <c:pt idx="1">
                  <c:v>2019</c:v>
                </c:pt>
                <c:pt idx="2">
                  <c:v>2020</c:v>
                </c:pt>
                <c:pt idx="3">
                  <c:v>2021</c:v>
                </c:pt>
                <c:pt idx="4">
                  <c:v>2022</c:v>
                </c:pt>
                <c:pt idx="5">
                  <c:v>2023</c:v>
                </c:pt>
                <c:pt idx="6">
                  <c:v>2024</c:v>
                </c:pt>
                <c:pt idx="7">
                  <c:v>2025</c:v>
                </c:pt>
                <c:pt idx="8">
                  <c:v>2026</c:v>
                </c:pt>
                <c:pt idx="9">
                  <c:v>2027</c:v>
                </c:pt>
                <c:pt idx="10">
                  <c:v>2028</c:v>
                </c:pt>
                <c:pt idx="11">
                  <c:v>2029</c:v>
                </c:pt>
              </c:numCache>
            </c:numRef>
          </c:cat>
          <c:val>
            <c:numRef>
              <c:f>分类!$B$10:$M$10</c:f>
            </c:numRef>
          </c:val>
        </c:ser>
        <c:dLbls>
          <c:showLegendKey val="0"/>
          <c:showVal val="0"/>
          <c:showCatName val="0"/>
          <c:showSerName val="0"/>
          <c:showPercent val="0"/>
          <c:showBubbleSize val="0"/>
        </c:dLbls>
        <c:gapWidth val="25"/>
        <c:overlap val="100"/>
        <c:axId val="2101581920"/>
        <c:axId val="2101559456"/>
      </c:barChart>
      <c:lineChart>
        <c:grouping val="stacked"/>
        <c:varyColors val="0"/>
        <c:ser>
          <c:idx val="9"/>
          <c:order val="9"/>
          <c:tx>
            <c:strRef>
              <c:f>分类!$A$11</c:f>
              <c:strCache>
                <c:ptCount val="1"/>
                <c:pt idx="0">
                  <c:v>Total</c:v>
                </c:pt>
              </c:strCache>
            </c:strRef>
          </c:tx>
          <c:spPr>
            <a:ln w="28575" cap="rnd">
              <a:solidFill>
                <a:srgbClr val="002060"/>
              </a:solidFill>
              <a:round/>
            </a:ln>
            <a:effectLst/>
          </c:spPr>
          <c:marker>
            <c:symbol val="diamond"/>
            <c:size val="8"/>
            <c:spPr>
              <a:solidFill>
                <a:srgbClr val="FFC000"/>
              </a:solidFill>
              <a:ln w="9525">
                <a:solidFill>
                  <a:schemeClr val="accent4">
                    <a:lumMod val="60000"/>
                  </a:schemeClr>
                </a:solidFill>
              </a:ln>
              <a:effectLst/>
            </c:spPr>
          </c:marker>
          <c:dLbls>
            <c:delete val="1"/>
          </c:dLbls>
          <c:cat>
            <c:numRef>
              <c:f>分类!$B$1:$M$1</c:f>
              <c:numCache>
                <c:formatCode>General</c:formatCode>
                <c:ptCount val="12"/>
                <c:pt idx="0">
                  <c:v>2018</c:v>
                </c:pt>
                <c:pt idx="1">
                  <c:v>2019</c:v>
                </c:pt>
                <c:pt idx="2">
                  <c:v>2020</c:v>
                </c:pt>
                <c:pt idx="3">
                  <c:v>2021</c:v>
                </c:pt>
                <c:pt idx="4">
                  <c:v>2022</c:v>
                </c:pt>
                <c:pt idx="5">
                  <c:v>2023</c:v>
                </c:pt>
                <c:pt idx="6">
                  <c:v>2024</c:v>
                </c:pt>
                <c:pt idx="7">
                  <c:v>2025</c:v>
                </c:pt>
                <c:pt idx="8">
                  <c:v>2026</c:v>
                </c:pt>
                <c:pt idx="9">
                  <c:v>2027</c:v>
                </c:pt>
                <c:pt idx="10">
                  <c:v>2028</c:v>
                </c:pt>
                <c:pt idx="11">
                  <c:v>2029</c:v>
                </c:pt>
              </c:numCache>
            </c:numRef>
          </c:cat>
          <c:val>
            <c:numRef>
              <c:f>分类!$B$11:$M$11</c:f>
              <c:numCache>
                <c:formatCode>#,##0_);[Red]\(#,##0\)</c:formatCode>
                <c:ptCount val="12"/>
                <c:pt idx="0">
                  <c:v>616.53</c:v>
                </c:pt>
                <c:pt idx="1">
                  <c:v>638.78</c:v>
                </c:pt>
                <c:pt idx="2">
                  <c:v>615.29</c:v>
                </c:pt>
                <c:pt idx="3">
                  <c:v>652.19</c:v>
                </c:pt>
                <c:pt idx="4">
                  <c:v>666.06</c:v>
                </c:pt>
                <c:pt idx="5">
                  <c:v>685.44</c:v>
                </c:pt>
                <c:pt idx="6">
                  <c:v>721.47</c:v>
                </c:pt>
                <c:pt idx="7">
                  <c:v>738.79</c:v>
                </c:pt>
                <c:pt idx="8">
                  <c:v>758.57</c:v>
                </c:pt>
                <c:pt idx="9">
                  <c:v>803.18</c:v>
                </c:pt>
                <c:pt idx="10">
                  <c:v>820.31</c:v>
                </c:pt>
                <c:pt idx="11">
                  <c:v>844.84</c:v>
                </c:pt>
              </c:numCache>
            </c:numRef>
          </c:val>
          <c:smooth val="0"/>
        </c:ser>
        <c:dLbls>
          <c:showLegendKey val="0"/>
          <c:showVal val="0"/>
          <c:showCatName val="0"/>
          <c:showSerName val="0"/>
          <c:showPercent val="0"/>
          <c:showBubbleSize val="0"/>
        </c:dLbls>
        <c:marker val="1"/>
        <c:smooth val="0"/>
        <c:axId val="2101602720"/>
        <c:axId val="2101608960"/>
      </c:lineChart>
      <c:catAx>
        <c:axId val="2101581920"/>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2101559456"/>
        <c:crosses val="autoZero"/>
        <c:auto val="1"/>
        <c:lblAlgn val="ctr"/>
        <c:lblOffset val="100"/>
        <c:noMultiLvlLbl val="0"/>
      </c:catAx>
      <c:valAx>
        <c:axId val="2101559456"/>
        <c:scaling>
          <c:orientation val="minMax"/>
        </c:scaling>
        <c:delete val="0"/>
        <c:axPos val="l"/>
        <c:majorGridlines>
          <c:spPr>
            <a:ln w="9525" cap="flat" cmpd="sng" algn="ctr">
              <a:noFill/>
              <a:round/>
            </a:ln>
            <a:effectLst/>
          </c:spPr>
        </c:majorGridlines>
        <c:numFmt formatCode="#,##0_);[Red]\(#,##0\)" sourceLinked="0"/>
        <c:majorTickMark val="none"/>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crossAx val="2101581920"/>
        <c:crosses val="autoZero"/>
        <c:crossBetween val="between"/>
      </c:valAx>
      <c:catAx>
        <c:axId val="2101602720"/>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2101608960"/>
        <c:crosses val="autoZero"/>
        <c:auto val="1"/>
        <c:lblAlgn val="ctr"/>
        <c:lblOffset val="100"/>
        <c:noMultiLvlLbl val="0"/>
      </c:catAx>
      <c:valAx>
        <c:axId val="2101608960"/>
        <c:scaling>
          <c:orientation val="minMax"/>
        </c:scaling>
        <c:delete val="0"/>
        <c:axPos val="r"/>
        <c:numFmt formatCode="0.0%" sourceLinked="0"/>
        <c:majorTickMark val="out"/>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crossAx val="2101602720"/>
        <c:crosses val="max"/>
        <c:crossBetween val="between"/>
      </c:valAx>
      <c:spPr>
        <a:noFill/>
        <a:ln>
          <a:noFill/>
        </a:ln>
        <a:effectLst/>
      </c:spPr>
    </c:plotArea>
    <c:legend>
      <c:legendPos val="b"/>
      <c:layout>
        <c:manualLayout>
          <c:xMode val="edge"/>
          <c:yMode val="edge"/>
          <c:x val="0.0695485312899106"/>
          <c:y val="0.865502222222222"/>
          <c:w val="0.860902937420179"/>
          <c:h val="0.113331111111111"/>
        </c:manualLayout>
      </c:layout>
      <c:overlay val="0"/>
      <c:spPr>
        <a:noFill/>
        <a:ln>
          <a:noFill/>
        </a:ln>
        <a:effectLst/>
      </c:spPr>
      <c:txPr>
        <a:bodyPr rot="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legend>
    <c:plotVisOnly val="1"/>
    <c:dispBlanksAs val="gap"/>
    <c:showDLblsOverMax val="0"/>
  </c:chart>
  <c:spPr>
    <a:solidFill>
      <a:schemeClr val="bg1"/>
    </a:solidFill>
    <a:ln w="9525" cap="flat" cmpd="sng" algn="ctr">
      <a:noFill/>
      <a:round/>
    </a:ln>
    <a:effectLst/>
  </c:spPr>
  <c:txPr>
    <a:bodyPr/>
    <a:lstStyle/>
    <a:p>
      <a:pPr>
        <a:defRPr lang="zh-CN"/>
      </a:pPr>
    </a:p>
  </c:txPr>
  <c:externalData r:id="rId1">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plotArea>
      <c:layout>
        <c:manualLayout>
          <c:layoutTarget val="inner"/>
          <c:xMode val="edge"/>
          <c:yMode val="edge"/>
          <c:x val="0.0691853448275862"/>
          <c:y val="0.03175"/>
          <c:w val="0.897009594053696"/>
          <c:h val="0.755441666666667"/>
        </c:manualLayout>
      </c:layout>
      <c:barChart>
        <c:barDir val="col"/>
        <c:grouping val="stacked"/>
        <c:varyColors val="0"/>
        <c:ser>
          <c:idx val="0"/>
          <c:order val="0"/>
          <c:tx>
            <c:strRef>
              <c:f>应用!$A$2</c:f>
              <c:strCache>
                <c:ptCount val="1"/>
                <c:pt idx="0">
                  <c:v>Freshwater Fishing</c:v>
                </c:pt>
              </c:strCache>
            </c:strRef>
          </c:tx>
          <c:spPr>
            <a:solidFill>
              <a:srgbClr val="002060"/>
            </a:solidFill>
            <a:ln>
              <a:noFill/>
            </a:ln>
            <a:effectLst/>
          </c:spPr>
          <c:invertIfNegative val="0"/>
          <c:dLbls>
            <c:delete val="1"/>
          </c:dLbls>
          <c:cat>
            <c:numRef>
              <c:f>应用!$B$1:$M$1</c:f>
              <c:numCache>
                <c:formatCode>General</c:formatCode>
                <c:ptCount val="12"/>
                <c:pt idx="0">
                  <c:v>2018</c:v>
                </c:pt>
                <c:pt idx="1">
                  <c:v>2019</c:v>
                </c:pt>
                <c:pt idx="2">
                  <c:v>2020</c:v>
                </c:pt>
                <c:pt idx="3">
                  <c:v>2021</c:v>
                </c:pt>
                <c:pt idx="4">
                  <c:v>2022</c:v>
                </c:pt>
                <c:pt idx="5">
                  <c:v>2023</c:v>
                </c:pt>
                <c:pt idx="6">
                  <c:v>2024</c:v>
                </c:pt>
                <c:pt idx="7">
                  <c:v>2025</c:v>
                </c:pt>
                <c:pt idx="8">
                  <c:v>2026</c:v>
                </c:pt>
                <c:pt idx="9">
                  <c:v>2027</c:v>
                </c:pt>
                <c:pt idx="10">
                  <c:v>2028</c:v>
                </c:pt>
                <c:pt idx="11">
                  <c:v>2029</c:v>
                </c:pt>
              </c:numCache>
            </c:numRef>
          </c:cat>
          <c:val>
            <c:numRef>
              <c:f>应用!$B$2:$M$2</c:f>
              <c:numCache>
                <c:formatCode>#,##0_);[Red]\(#,##0\)</c:formatCode>
                <c:ptCount val="12"/>
                <c:pt idx="0">
                  <c:v>531.69</c:v>
                </c:pt>
                <c:pt idx="1">
                  <c:v>551.94</c:v>
                </c:pt>
                <c:pt idx="2">
                  <c:v>531.91</c:v>
                </c:pt>
                <c:pt idx="3">
                  <c:v>563.75</c:v>
                </c:pt>
                <c:pt idx="4">
                  <c:v>575.44</c:v>
                </c:pt>
                <c:pt idx="5">
                  <c:v>591.39</c:v>
                </c:pt>
                <c:pt idx="6">
                  <c:v>622.47628282563</c:v>
                </c:pt>
                <c:pt idx="7">
                  <c:v>637.419785976891</c:v>
                </c:pt>
                <c:pt idx="8">
                  <c:v>655.709643830751</c:v>
                </c:pt>
                <c:pt idx="9">
                  <c:v>698.756166416979</c:v>
                </c:pt>
                <c:pt idx="10">
                  <c:v>713.766362595243</c:v>
                </c:pt>
                <c:pt idx="11">
                  <c:v>736.133526755926</c:v>
                </c:pt>
              </c:numCache>
            </c:numRef>
          </c:val>
        </c:ser>
        <c:ser>
          <c:idx val="1"/>
          <c:order val="1"/>
          <c:tx>
            <c:strRef>
              <c:f>应用!$A$3</c:f>
              <c:strCache>
                <c:ptCount val="1"/>
                <c:pt idx="0">
                  <c:v>Saltwater Fishing</c:v>
                </c:pt>
              </c:strCache>
            </c:strRef>
          </c:tx>
          <c:spPr>
            <a:solidFill>
              <a:schemeClr val="bg1">
                <a:lumMod val="50000"/>
              </a:schemeClr>
            </a:solidFill>
            <a:ln>
              <a:noFill/>
            </a:ln>
            <a:effectLst/>
          </c:spPr>
          <c:invertIfNegative val="0"/>
          <c:dLbls>
            <c:delete val="1"/>
          </c:dLbls>
          <c:cat>
            <c:numRef>
              <c:f>应用!$B$1:$M$1</c:f>
              <c:numCache>
                <c:formatCode>General</c:formatCode>
                <c:ptCount val="12"/>
                <c:pt idx="0">
                  <c:v>2018</c:v>
                </c:pt>
                <c:pt idx="1">
                  <c:v>2019</c:v>
                </c:pt>
                <c:pt idx="2">
                  <c:v>2020</c:v>
                </c:pt>
                <c:pt idx="3">
                  <c:v>2021</c:v>
                </c:pt>
                <c:pt idx="4">
                  <c:v>2022</c:v>
                </c:pt>
                <c:pt idx="5">
                  <c:v>2023</c:v>
                </c:pt>
                <c:pt idx="6">
                  <c:v>2024</c:v>
                </c:pt>
                <c:pt idx="7">
                  <c:v>2025</c:v>
                </c:pt>
                <c:pt idx="8">
                  <c:v>2026</c:v>
                </c:pt>
                <c:pt idx="9">
                  <c:v>2027</c:v>
                </c:pt>
                <c:pt idx="10">
                  <c:v>2028</c:v>
                </c:pt>
                <c:pt idx="11">
                  <c:v>2029</c:v>
                </c:pt>
              </c:numCache>
            </c:numRef>
          </c:cat>
          <c:val>
            <c:numRef>
              <c:f>应用!$B$3:$M$3</c:f>
              <c:numCache>
                <c:formatCode>#,##0_);[Red]\(#,##0\)</c:formatCode>
                <c:ptCount val="12"/>
                <c:pt idx="0">
                  <c:v>84.84</c:v>
                </c:pt>
                <c:pt idx="1">
                  <c:v>86.84</c:v>
                </c:pt>
                <c:pt idx="2">
                  <c:v>83.38</c:v>
                </c:pt>
                <c:pt idx="3">
                  <c:v>88.44</c:v>
                </c:pt>
                <c:pt idx="4">
                  <c:v>90.62</c:v>
                </c:pt>
                <c:pt idx="5">
                  <c:v>94.05</c:v>
                </c:pt>
                <c:pt idx="6">
                  <c:v>98.9937171743698</c:v>
                </c:pt>
                <c:pt idx="7">
                  <c:v>101.370214023109</c:v>
                </c:pt>
                <c:pt idx="8">
                  <c:v>102.860356169249</c:v>
                </c:pt>
                <c:pt idx="9">
                  <c:v>104.423833583022</c:v>
                </c:pt>
                <c:pt idx="10">
                  <c:v>106.543637404757</c:v>
                </c:pt>
                <c:pt idx="11">
                  <c:v>108.706473244073</c:v>
                </c:pt>
              </c:numCache>
            </c:numRef>
          </c:val>
        </c:ser>
        <c:ser>
          <c:idx val="2"/>
          <c:order val="2"/>
          <c:tx>
            <c:strRef>
              <c:f>应用!$A$4</c:f>
              <c:strCache>
                <c:ptCount val="1"/>
                <c:pt idx="0">
                  <c:v>Industry</c:v>
                </c:pt>
              </c:strCache>
            </c:strRef>
          </c:tx>
          <c:spPr>
            <a:solidFill>
              <a:schemeClr val="accent6">
                <a:lumMod val="75000"/>
              </a:schemeClr>
            </a:solidFill>
            <a:ln>
              <a:noFill/>
            </a:ln>
            <a:effectLst/>
          </c:spPr>
          <c:invertIfNegative val="0"/>
          <c:dLbls>
            <c:delete val="1"/>
          </c:dLbls>
          <c:cat>
            <c:numRef>
              <c:f>应用!$B$1:$M$1</c:f>
              <c:numCache>
                <c:formatCode>General</c:formatCode>
                <c:ptCount val="12"/>
                <c:pt idx="0">
                  <c:v>2018</c:v>
                </c:pt>
                <c:pt idx="1">
                  <c:v>2019</c:v>
                </c:pt>
                <c:pt idx="2">
                  <c:v>2020</c:v>
                </c:pt>
                <c:pt idx="3">
                  <c:v>2021</c:v>
                </c:pt>
                <c:pt idx="4">
                  <c:v>2022</c:v>
                </c:pt>
                <c:pt idx="5">
                  <c:v>2023</c:v>
                </c:pt>
                <c:pt idx="6">
                  <c:v>2024</c:v>
                </c:pt>
                <c:pt idx="7">
                  <c:v>2025</c:v>
                </c:pt>
                <c:pt idx="8">
                  <c:v>2026</c:v>
                </c:pt>
                <c:pt idx="9">
                  <c:v>2027</c:v>
                </c:pt>
                <c:pt idx="10">
                  <c:v>2028</c:v>
                </c:pt>
                <c:pt idx="11">
                  <c:v>2029</c:v>
                </c:pt>
              </c:numCache>
            </c:numRef>
          </c:cat>
          <c:val>
            <c:numRef>
              <c:f>应用!$B$4:$M$4</c:f>
            </c:numRef>
          </c:val>
        </c:ser>
        <c:ser>
          <c:idx val="3"/>
          <c:order val="3"/>
          <c:tx>
            <c:strRef>
              <c:f>应用!$A$5</c:f>
              <c:strCache>
                <c:ptCount val="1"/>
                <c:pt idx="0">
                  <c:v>Marine</c:v>
                </c:pt>
              </c:strCache>
            </c:strRef>
          </c:tx>
          <c:spPr>
            <a:solidFill>
              <a:schemeClr val="tx2">
                <a:lumMod val="60000"/>
                <a:lumOff val="40000"/>
              </a:schemeClr>
            </a:solidFill>
            <a:ln>
              <a:noFill/>
            </a:ln>
            <a:effectLst/>
          </c:spPr>
          <c:invertIfNegative val="0"/>
          <c:dLbls>
            <c:delete val="1"/>
          </c:dLbls>
          <c:cat>
            <c:numRef>
              <c:f>应用!$B$1:$M$1</c:f>
              <c:numCache>
                <c:formatCode>General</c:formatCode>
                <c:ptCount val="12"/>
                <c:pt idx="0">
                  <c:v>2018</c:v>
                </c:pt>
                <c:pt idx="1">
                  <c:v>2019</c:v>
                </c:pt>
                <c:pt idx="2">
                  <c:v>2020</c:v>
                </c:pt>
                <c:pt idx="3">
                  <c:v>2021</c:v>
                </c:pt>
                <c:pt idx="4">
                  <c:v>2022</c:v>
                </c:pt>
                <c:pt idx="5">
                  <c:v>2023</c:v>
                </c:pt>
                <c:pt idx="6">
                  <c:v>2024</c:v>
                </c:pt>
                <c:pt idx="7">
                  <c:v>2025</c:v>
                </c:pt>
                <c:pt idx="8">
                  <c:v>2026</c:v>
                </c:pt>
                <c:pt idx="9">
                  <c:v>2027</c:v>
                </c:pt>
                <c:pt idx="10">
                  <c:v>2028</c:v>
                </c:pt>
                <c:pt idx="11">
                  <c:v>2029</c:v>
                </c:pt>
              </c:numCache>
            </c:numRef>
          </c:cat>
          <c:val>
            <c:numRef>
              <c:f>应用!$B$5:$M$5</c:f>
            </c:numRef>
          </c:val>
        </c:ser>
        <c:ser>
          <c:idx val="4"/>
          <c:order val="4"/>
          <c:tx>
            <c:strRef>
              <c:f>应用!$A$6</c:f>
              <c:strCache>
                <c:ptCount val="1"/>
                <c:pt idx="0">
                  <c:v>Drilling</c:v>
                </c:pt>
              </c:strCache>
            </c:strRef>
          </c:tx>
          <c:spPr>
            <a:solidFill>
              <a:schemeClr val="accent1">
                <a:lumMod val="75000"/>
              </a:schemeClr>
            </a:solidFill>
            <a:ln>
              <a:noFill/>
            </a:ln>
            <a:effectLst/>
          </c:spPr>
          <c:invertIfNegative val="0"/>
          <c:dLbls>
            <c:delete val="1"/>
          </c:dLbls>
          <c:cat>
            <c:numRef>
              <c:f>应用!$B$1:$M$1</c:f>
              <c:numCache>
                <c:formatCode>General</c:formatCode>
                <c:ptCount val="12"/>
                <c:pt idx="0">
                  <c:v>2018</c:v>
                </c:pt>
                <c:pt idx="1">
                  <c:v>2019</c:v>
                </c:pt>
                <c:pt idx="2">
                  <c:v>2020</c:v>
                </c:pt>
                <c:pt idx="3">
                  <c:v>2021</c:v>
                </c:pt>
                <c:pt idx="4">
                  <c:v>2022</c:v>
                </c:pt>
                <c:pt idx="5">
                  <c:v>2023</c:v>
                </c:pt>
                <c:pt idx="6">
                  <c:v>2024</c:v>
                </c:pt>
                <c:pt idx="7">
                  <c:v>2025</c:v>
                </c:pt>
                <c:pt idx="8">
                  <c:v>2026</c:v>
                </c:pt>
                <c:pt idx="9">
                  <c:v>2027</c:v>
                </c:pt>
                <c:pt idx="10">
                  <c:v>2028</c:v>
                </c:pt>
                <c:pt idx="11">
                  <c:v>2029</c:v>
                </c:pt>
              </c:numCache>
            </c:numRef>
          </c:cat>
          <c:val>
            <c:numRef>
              <c:f>应用!$B$6:$M$6</c:f>
            </c:numRef>
          </c:val>
        </c:ser>
        <c:ser>
          <c:idx val="5"/>
          <c:order val="5"/>
          <c:tx>
            <c:strRef>
              <c:f>应用!$A$7</c:f>
              <c:strCache>
                <c:ptCount val="1"/>
                <c:pt idx="0">
                  <c:v>Waste &amp; Refuse Treatment</c:v>
                </c:pt>
              </c:strCache>
            </c:strRef>
          </c:tx>
          <c:spPr>
            <a:solidFill>
              <a:schemeClr val="accent4">
                <a:lumMod val="60000"/>
                <a:lumOff val="40000"/>
              </a:schemeClr>
            </a:solidFill>
            <a:ln>
              <a:noFill/>
            </a:ln>
            <a:effectLst/>
          </c:spPr>
          <c:invertIfNegative val="0"/>
          <c:dLbls>
            <c:delete val="1"/>
          </c:dLbls>
          <c:cat>
            <c:numRef>
              <c:f>应用!$B$1:$M$1</c:f>
              <c:numCache>
                <c:formatCode>General</c:formatCode>
                <c:ptCount val="12"/>
                <c:pt idx="0">
                  <c:v>2018</c:v>
                </c:pt>
                <c:pt idx="1">
                  <c:v>2019</c:v>
                </c:pt>
                <c:pt idx="2">
                  <c:v>2020</c:v>
                </c:pt>
                <c:pt idx="3">
                  <c:v>2021</c:v>
                </c:pt>
                <c:pt idx="4">
                  <c:v>2022</c:v>
                </c:pt>
                <c:pt idx="5">
                  <c:v>2023</c:v>
                </c:pt>
                <c:pt idx="6">
                  <c:v>2024</c:v>
                </c:pt>
                <c:pt idx="7">
                  <c:v>2025</c:v>
                </c:pt>
                <c:pt idx="8">
                  <c:v>2026</c:v>
                </c:pt>
                <c:pt idx="9">
                  <c:v>2027</c:v>
                </c:pt>
                <c:pt idx="10">
                  <c:v>2028</c:v>
                </c:pt>
                <c:pt idx="11">
                  <c:v>2029</c:v>
                </c:pt>
              </c:numCache>
            </c:numRef>
          </c:cat>
          <c:val>
            <c:numRef>
              <c:f>应用!$B$7:$M$7</c:f>
            </c:numRef>
          </c:val>
        </c:ser>
        <c:ser>
          <c:idx val="6"/>
          <c:order val="6"/>
          <c:tx>
            <c:strRef>
              <c:f>应用!$A$8</c:f>
              <c:strCache>
                <c:ptCount val="1"/>
                <c:pt idx="0">
                  <c:v>Others</c:v>
                </c:pt>
              </c:strCache>
            </c:strRef>
          </c:tx>
          <c:spPr>
            <a:solidFill>
              <a:schemeClr val="accent2">
                <a:lumMod val="60000"/>
                <a:lumOff val="40000"/>
              </a:schemeClr>
            </a:solidFill>
            <a:ln>
              <a:noFill/>
            </a:ln>
            <a:effectLst/>
          </c:spPr>
          <c:invertIfNegative val="0"/>
          <c:dLbls>
            <c:delete val="1"/>
          </c:dLbls>
          <c:cat>
            <c:numRef>
              <c:f>应用!$B$1:$M$1</c:f>
              <c:numCache>
                <c:formatCode>General</c:formatCode>
                <c:ptCount val="12"/>
                <c:pt idx="0">
                  <c:v>2018</c:v>
                </c:pt>
                <c:pt idx="1">
                  <c:v>2019</c:v>
                </c:pt>
                <c:pt idx="2">
                  <c:v>2020</c:v>
                </c:pt>
                <c:pt idx="3">
                  <c:v>2021</c:v>
                </c:pt>
                <c:pt idx="4">
                  <c:v>2022</c:v>
                </c:pt>
                <c:pt idx="5">
                  <c:v>2023</c:v>
                </c:pt>
                <c:pt idx="6">
                  <c:v>2024</c:v>
                </c:pt>
                <c:pt idx="7">
                  <c:v>2025</c:v>
                </c:pt>
                <c:pt idx="8">
                  <c:v>2026</c:v>
                </c:pt>
                <c:pt idx="9">
                  <c:v>2027</c:v>
                </c:pt>
                <c:pt idx="10">
                  <c:v>2028</c:v>
                </c:pt>
                <c:pt idx="11">
                  <c:v>2029</c:v>
                </c:pt>
              </c:numCache>
            </c:numRef>
          </c:cat>
          <c:val>
            <c:numRef>
              <c:f>应用!$B$8:$M$8</c:f>
            </c:numRef>
          </c:val>
        </c:ser>
        <c:ser>
          <c:idx val="7"/>
          <c:order val="7"/>
          <c:tx>
            <c:strRef>
              <c:f>应用!$A$9</c:f>
              <c:strCache>
                <c:ptCount val="1"/>
                <c:pt idx="0">
                  <c:v/>
                </c:pt>
              </c:strCache>
            </c:strRef>
          </c:tx>
          <c:spPr>
            <a:solidFill>
              <a:schemeClr val="bg2">
                <a:lumMod val="50000"/>
              </a:schemeClr>
            </a:solidFill>
            <a:ln>
              <a:noFill/>
            </a:ln>
            <a:effectLst/>
          </c:spPr>
          <c:invertIfNegative val="0"/>
          <c:dLbls>
            <c:delete val="1"/>
          </c:dLbls>
          <c:cat>
            <c:numRef>
              <c:f>应用!$B$1:$M$1</c:f>
              <c:numCache>
                <c:formatCode>General</c:formatCode>
                <c:ptCount val="12"/>
                <c:pt idx="0">
                  <c:v>2018</c:v>
                </c:pt>
                <c:pt idx="1">
                  <c:v>2019</c:v>
                </c:pt>
                <c:pt idx="2">
                  <c:v>2020</c:v>
                </c:pt>
                <c:pt idx="3">
                  <c:v>2021</c:v>
                </c:pt>
                <c:pt idx="4">
                  <c:v>2022</c:v>
                </c:pt>
                <c:pt idx="5">
                  <c:v>2023</c:v>
                </c:pt>
                <c:pt idx="6">
                  <c:v>2024</c:v>
                </c:pt>
                <c:pt idx="7">
                  <c:v>2025</c:v>
                </c:pt>
                <c:pt idx="8">
                  <c:v>2026</c:v>
                </c:pt>
                <c:pt idx="9">
                  <c:v>2027</c:v>
                </c:pt>
                <c:pt idx="10">
                  <c:v>2028</c:v>
                </c:pt>
                <c:pt idx="11">
                  <c:v>2029</c:v>
                </c:pt>
              </c:numCache>
            </c:numRef>
          </c:cat>
          <c:val>
            <c:numRef>
              <c:f>应用!$B$9:$M$9</c:f>
            </c:numRef>
          </c:val>
        </c:ser>
        <c:ser>
          <c:idx val="8"/>
          <c:order val="8"/>
          <c:tx>
            <c:strRef>
              <c:f>应用!$A$10</c:f>
              <c:strCache>
                <c:ptCount val="1"/>
                <c:pt idx="0">
                  <c:v/>
                </c:pt>
              </c:strCache>
            </c:strRef>
          </c:tx>
          <c:spPr>
            <a:solidFill>
              <a:schemeClr val="accent5">
                <a:lumMod val="60000"/>
                <a:lumOff val="40000"/>
              </a:schemeClr>
            </a:solidFill>
            <a:ln>
              <a:noFill/>
            </a:ln>
            <a:effectLst/>
          </c:spPr>
          <c:invertIfNegative val="0"/>
          <c:dLbls>
            <c:delete val="1"/>
          </c:dLbls>
          <c:cat>
            <c:numRef>
              <c:f>应用!$B$1:$M$1</c:f>
              <c:numCache>
                <c:formatCode>General</c:formatCode>
                <c:ptCount val="12"/>
                <c:pt idx="0">
                  <c:v>2018</c:v>
                </c:pt>
                <c:pt idx="1">
                  <c:v>2019</c:v>
                </c:pt>
                <c:pt idx="2">
                  <c:v>2020</c:v>
                </c:pt>
                <c:pt idx="3">
                  <c:v>2021</c:v>
                </c:pt>
                <c:pt idx="4">
                  <c:v>2022</c:v>
                </c:pt>
                <c:pt idx="5">
                  <c:v>2023</c:v>
                </c:pt>
                <c:pt idx="6">
                  <c:v>2024</c:v>
                </c:pt>
                <c:pt idx="7">
                  <c:v>2025</c:v>
                </c:pt>
                <c:pt idx="8">
                  <c:v>2026</c:v>
                </c:pt>
                <c:pt idx="9">
                  <c:v>2027</c:v>
                </c:pt>
                <c:pt idx="10">
                  <c:v>2028</c:v>
                </c:pt>
                <c:pt idx="11">
                  <c:v>2029</c:v>
                </c:pt>
              </c:numCache>
            </c:numRef>
          </c:cat>
          <c:val>
            <c:numRef>
              <c:f>应用!$B$10:$M$10</c:f>
            </c:numRef>
          </c:val>
        </c:ser>
        <c:dLbls>
          <c:showLegendKey val="0"/>
          <c:showVal val="0"/>
          <c:showCatName val="0"/>
          <c:showSerName val="0"/>
          <c:showPercent val="0"/>
          <c:showBubbleSize val="0"/>
        </c:dLbls>
        <c:gapWidth val="25"/>
        <c:overlap val="100"/>
        <c:axId val="2101581920"/>
        <c:axId val="2101559456"/>
      </c:barChart>
      <c:lineChart>
        <c:grouping val="stacked"/>
        <c:varyColors val="0"/>
        <c:ser>
          <c:idx val="9"/>
          <c:order val="9"/>
          <c:tx>
            <c:strRef>
              <c:f>应用!$A$11</c:f>
              <c:strCache>
                <c:ptCount val="1"/>
                <c:pt idx="0">
                  <c:v>Total</c:v>
                </c:pt>
              </c:strCache>
            </c:strRef>
          </c:tx>
          <c:spPr>
            <a:ln w="28575" cap="rnd">
              <a:solidFill>
                <a:srgbClr val="002060"/>
              </a:solidFill>
              <a:round/>
            </a:ln>
            <a:effectLst/>
          </c:spPr>
          <c:marker>
            <c:symbol val="diamond"/>
            <c:size val="8"/>
            <c:spPr>
              <a:solidFill>
                <a:srgbClr val="FFC000"/>
              </a:solidFill>
              <a:ln w="9525">
                <a:solidFill>
                  <a:schemeClr val="accent4">
                    <a:lumMod val="60000"/>
                  </a:schemeClr>
                </a:solidFill>
              </a:ln>
              <a:effectLst/>
            </c:spPr>
          </c:marker>
          <c:dLbls>
            <c:delete val="1"/>
          </c:dLbls>
          <c:cat>
            <c:numRef>
              <c:f>应用!$B$1:$M$1</c:f>
              <c:numCache>
                <c:formatCode>General</c:formatCode>
                <c:ptCount val="12"/>
                <c:pt idx="0">
                  <c:v>2018</c:v>
                </c:pt>
                <c:pt idx="1">
                  <c:v>2019</c:v>
                </c:pt>
                <c:pt idx="2">
                  <c:v>2020</c:v>
                </c:pt>
                <c:pt idx="3">
                  <c:v>2021</c:v>
                </c:pt>
                <c:pt idx="4">
                  <c:v>2022</c:v>
                </c:pt>
                <c:pt idx="5">
                  <c:v>2023</c:v>
                </c:pt>
                <c:pt idx="6">
                  <c:v>2024</c:v>
                </c:pt>
                <c:pt idx="7">
                  <c:v>2025</c:v>
                </c:pt>
                <c:pt idx="8">
                  <c:v>2026</c:v>
                </c:pt>
                <c:pt idx="9">
                  <c:v>2027</c:v>
                </c:pt>
                <c:pt idx="10">
                  <c:v>2028</c:v>
                </c:pt>
                <c:pt idx="11">
                  <c:v>2029</c:v>
                </c:pt>
              </c:numCache>
            </c:numRef>
          </c:cat>
          <c:val>
            <c:numRef>
              <c:f>应用!$B$11:$M$11</c:f>
              <c:numCache>
                <c:formatCode>#,##0_);[Red]\(#,##0\)</c:formatCode>
                <c:ptCount val="12"/>
                <c:pt idx="0">
                  <c:v>616.53</c:v>
                </c:pt>
                <c:pt idx="1">
                  <c:v>638.78</c:v>
                </c:pt>
                <c:pt idx="2">
                  <c:v>615.29</c:v>
                </c:pt>
                <c:pt idx="3">
                  <c:v>652.19</c:v>
                </c:pt>
                <c:pt idx="4">
                  <c:v>666.06</c:v>
                </c:pt>
                <c:pt idx="5">
                  <c:v>685.44</c:v>
                </c:pt>
                <c:pt idx="6">
                  <c:v>721.47</c:v>
                </c:pt>
                <c:pt idx="7">
                  <c:v>738.79</c:v>
                </c:pt>
                <c:pt idx="8">
                  <c:v>758.57</c:v>
                </c:pt>
                <c:pt idx="9">
                  <c:v>803.18</c:v>
                </c:pt>
                <c:pt idx="10">
                  <c:v>820.31</c:v>
                </c:pt>
                <c:pt idx="11">
                  <c:v>844.84</c:v>
                </c:pt>
              </c:numCache>
            </c:numRef>
          </c:val>
          <c:smooth val="0"/>
        </c:ser>
        <c:dLbls>
          <c:showLegendKey val="0"/>
          <c:showVal val="0"/>
          <c:showCatName val="0"/>
          <c:showSerName val="0"/>
          <c:showPercent val="0"/>
          <c:showBubbleSize val="0"/>
        </c:dLbls>
        <c:marker val="1"/>
        <c:smooth val="0"/>
        <c:axId val="2101602720"/>
        <c:axId val="2101608960"/>
      </c:lineChart>
      <c:catAx>
        <c:axId val="2101581920"/>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2101559456"/>
        <c:crosses val="autoZero"/>
        <c:auto val="1"/>
        <c:lblAlgn val="ctr"/>
        <c:lblOffset val="100"/>
        <c:noMultiLvlLbl val="0"/>
      </c:catAx>
      <c:valAx>
        <c:axId val="2101559456"/>
        <c:scaling>
          <c:orientation val="minMax"/>
        </c:scaling>
        <c:delete val="0"/>
        <c:axPos val="l"/>
        <c:majorGridlines>
          <c:spPr>
            <a:ln w="9525" cap="flat" cmpd="sng" algn="ctr">
              <a:noFill/>
              <a:round/>
            </a:ln>
            <a:effectLst/>
          </c:spPr>
        </c:majorGridlines>
        <c:numFmt formatCode="#,##0_);[Red]\(#,##0\)" sourceLinked="0"/>
        <c:majorTickMark val="none"/>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crossAx val="2101581920"/>
        <c:crosses val="autoZero"/>
        <c:crossBetween val="between"/>
      </c:valAx>
      <c:catAx>
        <c:axId val="2101602720"/>
        <c:scaling>
          <c:orientation val="minMax"/>
        </c:scaling>
        <c:delete val="1"/>
        <c:axPos val="b"/>
        <c:numFmt formatCode="General" sourceLinked="1"/>
        <c:majorTickMark val="out"/>
        <c:minorTickMark val="none"/>
        <c:tickLblPos val="nextTo"/>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2101608960"/>
        <c:crosses val="autoZero"/>
        <c:auto val="1"/>
        <c:lblAlgn val="ctr"/>
        <c:lblOffset val="100"/>
        <c:noMultiLvlLbl val="0"/>
      </c:catAx>
      <c:valAx>
        <c:axId val="2101608960"/>
        <c:scaling>
          <c:orientation val="minMax"/>
        </c:scaling>
        <c:delete val="0"/>
        <c:axPos val="r"/>
        <c:numFmt formatCode="0.0%" sourceLinked="0"/>
        <c:majorTickMark val="out"/>
        <c:minorTickMark val="none"/>
        <c:tickLblPos val="none"/>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crossAx val="2101602720"/>
        <c:crosses val="max"/>
        <c:crossBetween val="between"/>
      </c:valAx>
      <c:spPr>
        <a:noFill/>
        <a:ln>
          <a:noFill/>
        </a:ln>
        <a:effectLst/>
      </c:spPr>
    </c:plotArea>
    <c:legend>
      <c:legendPos val="b"/>
      <c:layout>
        <c:manualLayout>
          <c:xMode val="edge"/>
          <c:yMode val="edge"/>
          <c:x val="0.0695485312899106"/>
          <c:y val="0.865502222222222"/>
          <c:w val="0.860902937420179"/>
          <c:h val="0.113331111111111"/>
        </c:manualLayout>
      </c:layout>
      <c:overlay val="0"/>
      <c:spPr>
        <a:noFill/>
        <a:ln>
          <a:noFill/>
        </a:ln>
        <a:effectLst/>
      </c:spPr>
      <c:txPr>
        <a:bodyPr rot="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legend>
    <c:plotVisOnly val="1"/>
    <c:dispBlanksAs val="gap"/>
    <c:showDLblsOverMax val="0"/>
  </c:chart>
  <c:spPr>
    <a:solidFill>
      <a:schemeClr val="bg1"/>
    </a:solidFill>
    <a:ln w="9525" cap="flat" cmpd="sng" algn="ctr">
      <a:noFill/>
      <a:round/>
    </a:ln>
    <a:effectLst/>
  </c:spPr>
  <c:txPr>
    <a:bodyPr/>
    <a:lstStyle/>
    <a:p>
      <a:pPr>
        <a:defRPr lang="zh-CN"/>
      </a:pPr>
    </a:p>
  </c:txPr>
  <c:externalData r:id="rId1">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percentStacked"/>
        <c:varyColors val="0"/>
        <c:ser>
          <c:idx val="0"/>
          <c:order val="0"/>
          <c:tx>
            <c:strRef>
              <c:f>'地区-消费'!$A$2</c:f>
              <c:strCache>
                <c:ptCount val="1"/>
                <c:pt idx="0">
                  <c:v>North America</c:v>
                </c:pt>
              </c:strCache>
            </c:strRef>
          </c:tx>
          <c:spPr>
            <a:solidFill>
              <a:srgbClr val="002060"/>
            </a:solidFill>
            <a:ln>
              <a:noFill/>
            </a:ln>
            <a:effectLst/>
          </c:spPr>
          <c:invertIfNegative val="0"/>
          <c:dLbls>
            <c:delete val="1"/>
          </c:dLbls>
          <c:cat>
            <c:numRef>
              <c:f>'地区-消费'!$B$1:$M$1</c:f>
              <c:numCache>
                <c:formatCode>General</c:formatCode>
                <c:ptCount val="12"/>
                <c:pt idx="0">
                  <c:v>2018</c:v>
                </c:pt>
                <c:pt idx="1">
                  <c:v>2019</c:v>
                </c:pt>
                <c:pt idx="2">
                  <c:v>2020</c:v>
                </c:pt>
                <c:pt idx="3">
                  <c:v>2021</c:v>
                </c:pt>
                <c:pt idx="4">
                  <c:v>2022</c:v>
                </c:pt>
                <c:pt idx="5">
                  <c:v>2023</c:v>
                </c:pt>
                <c:pt idx="6">
                  <c:v>2024</c:v>
                </c:pt>
                <c:pt idx="7">
                  <c:v>2025</c:v>
                </c:pt>
                <c:pt idx="8">
                  <c:v>2026</c:v>
                </c:pt>
                <c:pt idx="9">
                  <c:v>2027</c:v>
                </c:pt>
                <c:pt idx="10">
                  <c:v>2028</c:v>
                </c:pt>
                <c:pt idx="11">
                  <c:v>2029</c:v>
                </c:pt>
              </c:numCache>
            </c:numRef>
          </c:cat>
          <c:val>
            <c:numRef>
              <c:f>'地区-消费'!$B$2:$M$2</c:f>
              <c:numCache>
                <c:formatCode>#,##0_);[Red]\(#,##0\)</c:formatCode>
                <c:ptCount val="12"/>
                <c:pt idx="0">
                  <c:v>15.6637172945922</c:v>
                </c:pt>
                <c:pt idx="1">
                  <c:v>18.2571587948623</c:v>
                </c:pt>
                <c:pt idx="2">
                  <c:v>29.0559680911078</c:v>
                </c:pt>
                <c:pt idx="3">
                  <c:v>53.709861106089</c:v>
                </c:pt>
                <c:pt idx="4">
                  <c:v>103.505929935192</c:v>
                </c:pt>
                <c:pt idx="5">
                  <c:v>180.868639563525</c:v>
                </c:pt>
                <c:pt idx="6">
                  <c:v>284.387926948326</c:v>
                </c:pt>
                <c:pt idx="7">
                  <c:v>376.36087590897</c:v>
                </c:pt>
                <c:pt idx="8">
                  <c:v>469.21248319666</c:v>
                </c:pt>
                <c:pt idx="9">
                  <c:v>575.28849919243</c:v>
                </c:pt>
                <c:pt idx="10">
                  <c:v>684.146449496507</c:v>
                </c:pt>
                <c:pt idx="11">
                  <c:v>788.560785206554</c:v>
                </c:pt>
              </c:numCache>
            </c:numRef>
          </c:val>
        </c:ser>
        <c:ser>
          <c:idx val="1"/>
          <c:order val="1"/>
          <c:tx>
            <c:strRef>
              <c:f>'地区-消费'!$A$3</c:f>
              <c:strCache>
                <c:ptCount val="1"/>
                <c:pt idx="0">
                  <c:v>Europe</c:v>
                </c:pt>
              </c:strCache>
            </c:strRef>
          </c:tx>
          <c:spPr>
            <a:solidFill>
              <a:schemeClr val="bg1">
                <a:lumMod val="50000"/>
              </a:schemeClr>
            </a:solidFill>
            <a:ln>
              <a:noFill/>
            </a:ln>
            <a:effectLst/>
          </c:spPr>
          <c:invertIfNegative val="0"/>
          <c:dLbls>
            <c:delete val="1"/>
          </c:dLbls>
          <c:cat>
            <c:numRef>
              <c:f>'地区-消费'!$B$1:$M$1</c:f>
              <c:numCache>
                <c:formatCode>General</c:formatCode>
                <c:ptCount val="12"/>
                <c:pt idx="0">
                  <c:v>2018</c:v>
                </c:pt>
                <c:pt idx="1">
                  <c:v>2019</c:v>
                </c:pt>
                <c:pt idx="2">
                  <c:v>2020</c:v>
                </c:pt>
                <c:pt idx="3">
                  <c:v>2021</c:v>
                </c:pt>
                <c:pt idx="4">
                  <c:v>2022</c:v>
                </c:pt>
                <c:pt idx="5">
                  <c:v>2023</c:v>
                </c:pt>
                <c:pt idx="6">
                  <c:v>2024</c:v>
                </c:pt>
                <c:pt idx="7">
                  <c:v>2025</c:v>
                </c:pt>
                <c:pt idx="8">
                  <c:v>2026</c:v>
                </c:pt>
                <c:pt idx="9">
                  <c:v>2027</c:v>
                </c:pt>
                <c:pt idx="10">
                  <c:v>2028</c:v>
                </c:pt>
                <c:pt idx="11">
                  <c:v>2029</c:v>
                </c:pt>
              </c:numCache>
            </c:numRef>
          </c:cat>
          <c:val>
            <c:numRef>
              <c:f>'地区-消费'!$B$3:$M$3</c:f>
              <c:numCache>
                <c:formatCode>#,##0_);[Red]\(#,##0\)</c:formatCode>
                <c:ptCount val="12"/>
                <c:pt idx="0">
                  <c:v>6.98066829061662</c:v>
                </c:pt>
                <c:pt idx="1">
                  <c:v>7.85042938805125</c:v>
                </c:pt>
                <c:pt idx="2">
                  <c:v>11.3471628711458</c:v>
                </c:pt>
                <c:pt idx="3">
                  <c:v>18.8936112329535</c:v>
                </c:pt>
                <c:pt idx="4">
                  <c:v>32.3350291127153</c:v>
                </c:pt>
                <c:pt idx="5">
                  <c:v>50.7600592973083</c:v>
                </c:pt>
                <c:pt idx="6">
                  <c:v>73.0015886189534</c:v>
                </c:pt>
                <c:pt idx="7">
                  <c:v>91.0426021124497</c:v>
                </c:pt>
                <c:pt idx="8">
                  <c:v>108.044619390887</c:v>
                </c:pt>
                <c:pt idx="9">
                  <c:v>126.584814613685</c:v>
                </c:pt>
                <c:pt idx="10">
                  <c:v>144.710141254893</c:v>
                </c:pt>
                <c:pt idx="11">
                  <c:v>161.459534758633</c:v>
                </c:pt>
              </c:numCache>
            </c:numRef>
          </c:val>
        </c:ser>
        <c:ser>
          <c:idx val="2"/>
          <c:order val="2"/>
          <c:tx>
            <c:strRef>
              <c:f>'地区-消费'!$A$4</c:f>
              <c:strCache>
                <c:ptCount val="1"/>
                <c:pt idx="0">
                  <c:v>Asia-Pacific</c:v>
                </c:pt>
              </c:strCache>
            </c:strRef>
          </c:tx>
          <c:spPr>
            <a:solidFill>
              <a:srgbClr val="0070C0"/>
            </a:solidFill>
            <a:ln>
              <a:noFill/>
            </a:ln>
            <a:effectLst/>
          </c:spPr>
          <c:invertIfNegative val="0"/>
          <c:dLbls>
            <c:delete val="1"/>
          </c:dLbls>
          <c:cat>
            <c:numRef>
              <c:f>'地区-消费'!$B$1:$M$1</c:f>
              <c:numCache>
                <c:formatCode>General</c:formatCode>
                <c:ptCount val="12"/>
                <c:pt idx="0">
                  <c:v>2018</c:v>
                </c:pt>
                <c:pt idx="1">
                  <c:v>2019</c:v>
                </c:pt>
                <c:pt idx="2">
                  <c:v>2020</c:v>
                </c:pt>
                <c:pt idx="3">
                  <c:v>2021</c:v>
                </c:pt>
                <c:pt idx="4">
                  <c:v>2022</c:v>
                </c:pt>
                <c:pt idx="5">
                  <c:v>2023</c:v>
                </c:pt>
                <c:pt idx="6">
                  <c:v>2024</c:v>
                </c:pt>
                <c:pt idx="7">
                  <c:v>2025</c:v>
                </c:pt>
                <c:pt idx="8">
                  <c:v>2026</c:v>
                </c:pt>
                <c:pt idx="9">
                  <c:v>2027</c:v>
                </c:pt>
                <c:pt idx="10">
                  <c:v>2028</c:v>
                </c:pt>
                <c:pt idx="11">
                  <c:v>2029</c:v>
                </c:pt>
              </c:numCache>
            </c:numRef>
          </c:cat>
          <c:val>
            <c:numRef>
              <c:f>'地区-消费'!$B$4:$M$4</c:f>
              <c:numCache>
                <c:formatCode>#,##0_);[Red]\(#,##0\)</c:formatCode>
                <c:ptCount val="12"/>
                <c:pt idx="0">
                  <c:v>27.3752847095552</c:v>
                </c:pt>
                <c:pt idx="1">
                  <c:v>30.5772730898022</c:v>
                </c:pt>
                <c:pt idx="2">
                  <c:v>43.338202762923</c:v>
                </c:pt>
                <c:pt idx="3">
                  <c:v>70.4462429681307</c:v>
                </c:pt>
                <c:pt idx="4">
                  <c:v>117.48584848173</c:v>
                </c:pt>
                <c:pt idx="5">
                  <c:v>180.287150725809</c:v>
                </c:pt>
                <c:pt idx="6">
                  <c:v>254.435992791633</c:v>
                </c:pt>
                <c:pt idx="7">
                  <c:v>313.325075078125</c:v>
                </c:pt>
                <c:pt idx="8">
                  <c:v>368.038103304162</c:v>
                </c:pt>
                <c:pt idx="9">
                  <c:v>427.107677545972</c:v>
                </c:pt>
                <c:pt idx="10">
                  <c:v>484.417982704447</c:v>
                </c:pt>
                <c:pt idx="11">
                  <c:v>536.855582255233</c:v>
                </c:pt>
              </c:numCache>
            </c:numRef>
          </c:val>
        </c:ser>
        <c:ser>
          <c:idx val="3"/>
          <c:order val="3"/>
          <c:tx>
            <c:strRef>
              <c:f>'地区-消费'!$A$5</c:f>
              <c:strCache>
                <c:ptCount val="1"/>
                <c:pt idx="0">
                  <c:v>South America</c:v>
                </c:pt>
              </c:strCache>
            </c:strRef>
          </c:tx>
          <c:spPr>
            <a:solidFill>
              <a:srgbClr val="FFC000"/>
            </a:solidFill>
            <a:ln>
              <a:noFill/>
            </a:ln>
            <a:effectLst/>
          </c:spPr>
          <c:invertIfNegative val="0"/>
          <c:dLbls>
            <c:delete val="1"/>
          </c:dLbls>
          <c:cat>
            <c:numRef>
              <c:f>'地区-消费'!$B$1:$M$1</c:f>
              <c:numCache>
                <c:formatCode>General</c:formatCode>
                <c:ptCount val="12"/>
                <c:pt idx="0">
                  <c:v>2018</c:v>
                </c:pt>
                <c:pt idx="1">
                  <c:v>2019</c:v>
                </c:pt>
                <c:pt idx="2">
                  <c:v>2020</c:v>
                </c:pt>
                <c:pt idx="3">
                  <c:v>2021</c:v>
                </c:pt>
                <c:pt idx="4">
                  <c:v>2022</c:v>
                </c:pt>
                <c:pt idx="5">
                  <c:v>2023</c:v>
                </c:pt>
                <c:pt idx="6">
                  <c:v>2024</c:v>
                </c:pt>
                <c:pt idx="7">
                  <c:v>2025</c:v>
                </c:pt>
                <c:pt idx="8">
                  <c:v>2026</c:v>
                </c:pt>
                <c:pt idx="9">
                  <c:v>2027</c:v>
                </c:pt>
                <c:pt idx="10">
                  <c:v>2028</c:v>
                </c:pt>
                <c:pt idx="11">
                  <c:v>2029</c:v>
                </c:pt>
              </c:numCache>
            </c:numRef>
          </c:cat>
          <c:val>
            <c:numRef>
              <c:f>'地区-消费'!$B$5:$M$5</c:f>
              <c:numCache>
                <c:formatCode>#,##0_);[Red]\(#,##0\)</c:formatCode>
                <c:ptCount val="12"/>
                <c:pt idx="0">
                  <c:v>4.47102707959221</c:v>
                </c:pt>
                <c:pt idx="1">
                  <c:v>5.26995859483115</c:v>
                </c:pt>
                <c:pt idx="2">
                  <c:v>8.62862909941586</c:v>
                </c:pt>
                <c:pt idx="3">
                  <c:v>16.6352024917683</c:v>
                </c:pt>
                <c:pt idx="4">
                  <c:v>33.3583858328803</c:v>
                </c:pt>
                <c:pt idx="5">
                  <c:v>60.3282548441235</c:v>
                </c:pt>
                <c:pt idx="6">
                  <c:v>97.7492862906894</c:v>
                </c:pt>
                <c:pt idx="7">
                  <c:v>131.952913514243</c:v>
                </c:pt>
                <c:pt idx="8">
                  <c:v>167.084500734402</c:v>
                </c:pt>
                <c:pt idx="9">
                  <c:v>207.865307413685</c:v>
                </c:pt>
                <c:pt idx="10">
                  <c:v>250.32908945613</c:v>
                </c:pt>
                <c:pt idx="11">
                  <c:v>291.525213327676</c:v>
                </c:pt>
              </c:numCache>
            </c:numRef>
          </c:val>
        </c:ser>
        <c:ser>
          <c:idx val="4"/>
          <c:order val="4"/>
          <c:tx>
            <c:strRef>
              <c:f>'地区-消费'!$A$6</c:f>
              <c:strCache>
                <c:ptCount val="1"/>
                <c:pt idx="0">
                  <c:v/>
                </c:pt>
              </c:strCache>
            </c:strRef>
          </c:tx>
          <c:spPr>
            <a:solidFill>
              <a:schemeClr val="tx1">
                <a:lumMod val="65000"/>
                <a:lumOff val="35000"/>
              </a:schemeClr>
            </a:solidFill>
            <a:ln>
              <a:noFill/>
            </a:ln>
            <a:effectLst/>
          </c:spPr>
          <c:invertIfNegative val="0"/>
          <c:dLbls>
            <c:delete val="1"/>
          </c:dLbls>
          <c:cat>
            <c:numRef>
              <c:f>'地区-消费'!$B$1:$M$1</c:f>
              <c:numCache>
                <c:formatCode>General</c:formatCode>
                <c:ptCount val="12"/>
                <c:pt idx="0">
                  <c:v>2018</c:v>
                </c:pt>
                <c:pt idx="1">
                  <c:v>2019</c:v>
                </c:pt>
                <c:pt idx="2">
                  <c:v>2020</c:v>
                </c:pt>
                <c:pt idx="3">
                  <c:v>2021</c:v>
                </c:pt>
                <c:pt idx="4">
                  <c:v>2022</c:v>
                </c:pt>
                <c:pt idx="5">
                  <c:v>2023</c:v>
                </c:pt>
                <c:pt idx="6">
                  <c:v>2024</c:v>
                </c:pt>
                <c:pt idx="7">
                  <c:v>2025</c:v>
                </c:pt>
                <c:pt idx="8">
                  <c:v>2026</c:v>
                </c:pt>
                <c:pt idx="9">
                  <c:v>2027</c:v>
                </c:pt>
                <c:pt idx="10">
                  <c:v>2028</c:v>
                </c:pt>
                <c:pt idx="11">
                  <c:v>2029</c:v>
                </c:pt>
              </c:numCache>
            </c:numRef>
          </c:cat>
          <c:val>
            <c:numRef>
              <c:f>'地区-消费'!$B$6:$M$6</c:f>
              <c:numCache>
                <c:formatCode>General</c:formatCode>
                <c:ptCount val="12"/>
              </c:numCache>
            </c:numRef>
          </c:val>
        </c:ser>
        <c:ser>
          <c:idx val="5"/>
          <c:order val="5"/>
          <c:tx>
            <c:strRef>
              <c:f>'地区-消费'!$A$7</c:f>
              <c:strCache>
                <c:ptCount val="1"/>
                <c:pt idx="0">
                  <c:v/>
                </c:pt>
              </c:strCache>
            </c:strRef>
          </c:tx>
          <c:spPr>
            <a:solidFill>
              <a:srgbClr val="C00000"/>
            </a:solidFill>
            <a:ln>
              <a:noFill/>
            </a:ln>
            <a:effectLst/>
          </c:spPr>
          <c:invertIfNegative val="0"/>
          <c:dLbls>
            <c:delete val="1"/>
          </c:dLbls>
          <c:cat>
            <c:numRef>
              <c:f>'地区-消费'!$B$1:$M$1</c:f>
              <c:numCache>
                <c:formatCode>General</c:formatCode>
                <c:ptCount val="12"/>
                <c:pt idx="0">
                  <c:v>2018</c:v>
                </c:pt>
                <c:pt idx="1">
                  <c:v>2019</c:v>
                </c:pt>
                <c:pt idx="2">
                  <c:v>2020</c:v>
                </c:pt>
                <c:pt idx="3">
                  <c:v>2021</c:v>
                </c:pt>
                <c:pt idx="4">
                  <c:v>2022</c:v>
                </c:pt>
                <c:pt idx="5">
                  <c:v>2023</c:v>
                </c:pt>
                <c:pt idx="6">
                  <c:v>2024</c:v>
                </c:pt>
                <c:pt idx="7">
                  <c:v>2025</c:v>
                </c:pt>
                <c:pt idx="8">
                  <c:v>2026</c:v>
                </c:pt>
                <c:pt idx="9">
                  <c:v>2027</c:v>
                </c:pt>
                <c:pt idx="10">
                  <c:v>2028</c:v>
                </c:pt>
                <c:pt idx="11">
                  <c:v>2029</c:v>
                </c:pt>
              </c:numCache>
            </c:numRef>
          </c:cat>
          <c:val>
            <c:numRef>
              <c:f>'地区-消费'!$B$7:$M$7</c:f>
              <c:numCache>
                <c:formatCode>General</c:formatCode>
                <c:ptCount val="12"/>
              </c:numCache>
            </c:numRef>
          </c:val>
        </c:ser>
        <c:ser>
          <c:idx val="6"/>
          <c:order val="6"/>
          <c:tx>
            <c:strRef>
              <c:f>'地区-消费'!$A$8</c:f>
              <c:strCache>
                <c:ptCount val="1"/>
                <c:pt idx="0">
                  <c:v/>
                </c:pt>
              </c:strCache>
            </c:strRef>
          </c:tx>
          <c:spPr>
            <a:solidFill>
              <a:srgbClr val="7030A0"/>
            </a:solidFill>
            <a:ln>
              <a:noFill/>
            </a:ln>
            <a:effectLst/>
          </c:spPr>
          <c:invertIfNegative val="0"/>
          <c:dLbls>
            <c:delete val="1"/>
          </c:dLbls>
          <c:cat>
            <c:numRef>
              <c:f>'地区-消费'!$B$1:$M$1</c:f>
              <c:numCache>
                <c:formatCode>General</c:formatCode>
                <c:ptCount val="12"/>
                <c:pt idx="0">
                  <c:v>2018</c:v>
                </c:pt>
                <c:pt idx="1">
                  <c:v>2019</c:v>
                </c:pt>
                <c:pt idx="2">
                  <c:v>2020</c:v>
                </c:pt>
                <c:pt idx="3">
                  <c:v>2021</c:v>
                </c:pt>
                <c:pt idx="4">
                  <c:v>2022</c:v>
                </c:pt>
                <c:pt idx="5">
                  <c:v>2023</c:v>
                </c:pt>
                <c:pt idx="6">
                  <c:v>2024</c:v>
                </c:pt>
                <c:pt idx="7">
                  <c:v>2025</c:v>
                </c:pt>
                <c:pt idx="8">
                  <c:v>2026</c:v>
                </c:pt>
                <c:pt idx="9">
                  <c:v>2027</c:v>
                </c:pt>
                <c:pt idx="10">
                  <c:v>2028</c:v>
                </c:pt>
                <c:pt idx="11">
                  <c:v>2029</c:v>
                </c:pt>
              </c:numCache>
            </c:numRef>
          </c:cat>
          <c:val>
            <c:numRef>
              <c:f>'地区-消费'!$B$8:$M$8</c:f>
              <c:numCache>
                <c:formatCode>General</c:formatCode>
                <c:ptCount val="12"/>
              </c:numCache>
            </c:numRef>
          </c:val>
        </c:ser>
        <c:ser>
          <c:idx val="7"/>
          <c:order val="7"/>
          <c:tx>
            <c:strRef>
              <c:f>'地区-消费'!$A$9</c:f>
              <c:strCache>
                <c:ptCount val="1"/>
                <c:pt idx="0">
                  <c:v/>
                </c:pt>
              </c:strCache>
            </c:strRef>
          </c:tx>
          <c:spPr>
            <a:solidFill>
              <a:schemeClr val="tx2">
                <a:lumMod val="60000"/>
                <a:lumOff val="40000"/>
              </a:schemeClr>
            </a:solidFill>
            <a:ln>
              <a:noFill/>
            </a:ln>
            <a:effectLst/>
          </c:spPr>
          <c:invertIfNegative val="0"/>
          <c:dLbls>
            <c:delete val="1"/>
          </c:dLbls>
          <c:cat>
            <c:numRef>
              <c:f>'地区-消费'!$B$1:$M$1</c:f>
              <c:numCache>
                <c:formatCode>General</c:formatCode>
                <c:ptCount val="12"/>
                <c:pt idx="0">
                  <c:v>2018</c:v>
                </c:pt>
                <c:pt idx="1">
                  <c:v>2019</c:v>
                </c:pt>
                <c:pt idx="2">
                  <c:v>2020</c:v>
                </c:pt>
                <c:pt idx="3">
                  <c:v>2021</c:v>
                </c:pt>
                <c:pt idx="4">
                  <c:v>2022</c:v>
                </c:pt>
                <c:pt idx="5">
                  <c:v>2023</c:v>
                </c:pt>
                <c:pt idx="6">
                  <c:v>2024</c:v>
                </c:pt>
                <c:pt idx="7">
                  <c:v>2025</c:v>
                </c:pt>
                <c:pt idx="8">
                  <c:v>2026</c:v>
                </c:pt>
                <c:pt idx="9">
                  <c:v>2027</c:v>
                </c:pt>
                <c:pt idx="10">
                  <c:v>2028</c:v>
                </c:pt>
                <c:pt idx="11">
                  <c:v>2029</c:v>
                </c:pt>
              </c:numCache>
            </c:numRef>
          </c:cat>
          <c:val>
            <c:numRef>
              <c:f>'地区-消费'!$B$9:$M$9</c:f>
              <c:numCache>
                <c:formatCode>General</c:formatCode>
                <c:ptCount val="12"/>
              </c:numCache>
            </c:numRef>
          </c:val>
        </c:ser>
        <c:ser>
          <c:idx val="8"/>
          <c:order val="8"/>
          <c:tx>
            <c:strRef>
              <c:f>'地区-消费'!$A$10</c:f>
              <c:strCache>
                <c:ptCount val="1"/>
                <c:pt idx="0">
                  <c:v>Middle East and Africa</c:v>
                </c:pt>
              </c:strCache>
            </c:strRef>
          </c:tx>
          <c:spPr>
            <a:solidFill>
              <a:schemeClr val="accent6">
                <a:lumMod val="75000"/>
              </a:schemeClr>
            </a:solidFill>
            <a:ln>
              <a:noFill/>
            </a:ln>
            <a:effectLst/>
          </c:spPr>
          <c:invertIfNegative val="0"/>
          <c:dLbls>
            <c:delete val="1"/>
          </c:dLbls>
          <c:cat>
            <c:numRef>
              <c:f>'地区-消费'!$B$1:$M$1</c:f>
              <c:numCache>
                <c:formatCode>General</c:formatCode>
                <c:ptCount val="12"/>
                <c:pt idx="0">
                  <c:v>2018</c:v>
                </c:pt>
                <c:pt idx="1">
                  <c:v>2019</c:v>
                </c:pt>
                <c:pt idx="2">
                  <c:v>2020</c:v>
                </c:pt>
                <c:pt idx="3">
                  <c:v>2021</c:v>
                </c:pt>
                <c:pt idx="4">
                  <c:v>2022</c:v>
                </c:pt>
                <c:pt idx="5">
                  <c:v>2023</c:v>
                </c:pt>
                <c:pt idx="6">
                  <c:v>2024</c:v>
                </c:pt>
                <c:pt idx="7">
                  <c:v>2025</c:v>
                </c:pt>
                <c:pt idx="8">
                  <c:v>2026</c:v>
                </c:pt>
                <c:pt idx="9">
                  <c:v>2027</c:v>
                </c:pt>
                <c:pt idx="10">
                  <c:v>2028</c:v>
                </c:pt>
                <c:pt idx="11">
                  <c:v>2029</c:v>
                </c:pt>
              </c:numCache>
            </c:numRef>
          </c:cat>
          <c:val>
            <c:numRef>
              <c:f>'地区-消费'!$B$10:$M$10</c:f>
              <c:numCache>
                <c:formatCode>#,##0_);[Red]\(#,##0\)</c:formatCode>
                <c:ptCount val="12"/>
                <c:pt idx="0">
                  <c:v>4.35148389628365</c:v>
                </c:pt>
                <c:pt idx="1">
                  <c:v>5.82065696921784</c:v>
                </c:pt>
                <c:pt idx="2">
                  <c:v>12.7915859293932</c:v>
                </c:pt>
                <c:pt idx="3">
                  <c:v>30.267328468106</c:v>
                </c:pt>
                <c:pt idx="4">
                  <c:v>69.1203760531381</c:v>
                </c:pt>
                <c:pt idx="5">
                  <c:v>133.023193941774</c:v>
                </c:pt>
                <c:pt idx="6">
                  <c:v>220.676549070474</c:v>
                </c:pt>
                <c:pt idx="7">
                  <c:v>298.142569209899</c:v>
                </c:pt>
                <c:pt idx="8">
                  <c:v>374.954471781357</c:v>
                </c:pt>
                <c:pt idx="9">
                  <c:v>461.539980120013</c:v>
                </c:pt>
                <c:pt idx="10">
                  <c:v>548.016250304034</c:v>
                </c:pt>
                <c:pt idx="11">
                  <c:v>628.580997120508</c:v>
                </c:pt>
              </c:numCache>
            </c:numRef>
          </c:val>
        </c:ser>
        <c:dLbls>
          <c:showLegendKey val="0"/>
          <c:showVal val="0"/>
          <c:showCatName val="0"/>
          <c:showSerName val="0"/>
          <c:showPercent val="0"/>
          <c:showBubbleSize val="0"/>
        </c:dLbls>
        <c:gapWidth val="45"/>
        <c:overlap val="100"/>
        <c:axId val="1897692240"/>
        <c:axId val="1897707216"/>
      </c:barChart>
      <c:catAx>
        <c:axId val="1897692240"/>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crossAx val="1897707216"/>
        <c:crosses val="autoZero"/>
        <c:auto val="1"/>
        <c:lblAlgn val="ctr"/>
        <c:lblOffset val="100"/>
        <c:noMultiLvlLbl val="0"/>
      </c:catAx>
      <c:valAx>
        <c:axId val="1897707216"/>
        <c:scaling>
          <c:orientation val="minMax"/>
        </c:scaling>
        <c:delete val="0"/>
        <c:axPos val="l"/>
        <c:majorGridlines>
          <c:spPr>
            <a:ln w="9525" cap="flat" cmpd="sng" algn="ctr">
              <a:noFill/>
              <a:round/>
            </a:ln>
            <a:effectLst/>
          </c:spPr>
        </c:majorGridlines>
        <c:numFmt formatCode="0%" sourceLinked="1"/>
        <c:majorTickMark val="none"/>
        <c:minorTickMark val="none"/>
        <c:tickLblPos val="nextTo"/>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crossAx val="1897692240"/>
        <c:crosses val="autoZero"/>
        <c:crossBetween val="between"/>
      </c:valAx>
      <c:spPr>
        <a:noFill/>
        <a:ln>
          <a:noFill/>
        </a:ln>
        <a:effectLst/>
      </c:spPr>
    </c:plotArea>
    <c:legend>
      <c:legendPos val="b"/>
      <c:layout/>
      <c:overlay val="0"/>
      <c:spPr>
        <a:noFill/>
        <a:ln>
          <a:noFill/>
        </a:ln>
        <a:effectLst/>
      </c:spPr>
      <c:txPr>
        <a:bodyPr rot="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legend>
    <c:plotVisOnly val="1"/>
    <c:dispBlanksAs val="gap"/>
    <c:showDLblsOverMax val="0"/>
  </c:chart>
  <c:spPr>
    <a:solidFill>
      <a:schemeClr val="bg1"/>
    </a:solidFill>
    <a:ln w="9525" cap="flat" cmpd="sng" algn="ctr">
      <a:noFill/>
      <a:round/>
    </a:ln>
    <a:effectLst/>
  </c:spPr>
  <c:txPr>
    <a:bodyPr/>
    <a:lstStyle/>
    <a:p>
      <a:pPr>
        <a:defRPr lang="zh-CN"/>
      </a:pPr>
    </a:p>
  </c:txPr>
  <c:externalData r:id="rId1">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lang="zh-CN" sz="1400" b="0" i="0" u="none" strike="noStrike" kern="1200" spc="0" baseline="0">
                <a:solidFill>
                  <a:schemeClr val="tx1">
                    <a:lumMod val="65000"/>
                    <a:lumOff val="35000"/>
                  </a:schemeClr>
                </a:solidFill>
                <a:latin typeface="Book Antiqua" panose="02040602050305030304" pitchFamily="1" charset="0"/>
                <a:ea typeface="+mn-ea"/>
                <a:cs typeface="+mn-cs"/>
              </a:defRPr>
            </a:pPr>
            <a:r>
              <a:rPr lang="en-US" altLang="zh-CN" sz="1200">
                <a:latin typeface="Book Antiqua" panose="02040602050305030304" pitchFamily="1" charset="0"/>
              </a:rPr>
              <a:t>By Region, 2018 Vs 2022 VS 2029</a:t>
            </a:r>
            <a:endParaRPr lang="zh-CN" altLang="en-US" sz="1200">
              <a:latin typeface="Book Antiqua" panose="02040602050305030304" pitchFamily="1" charset="0"/>
            </a:endParaRPr>
          </a:p>
        </c:rich>
      </c:tx>
      <c:layout/>
      <c:overlay val="0"/>
      <c:spPr>
        <a:noFill/>
        <a:ln>
          <a:noFill/>
        </a:ln>
        <a:effectLst/>
      </c:spPr>
    </c:title>
    <c:autoTitleDeleted val="0"/>
    <c:plotArea>
      <c:layout/>
      <c:barChart>
        <c:barDir val="col"/>
        <c:grouping val="clustered"/>
        <c:varyColors val="0"/>
        <c:ser>
          <c:idx val="0"/>
          <c:order val="0"/>
          <c:tx>
            <c:strRef>
              <c:f>'地区-消费'!$B$14</c:f>
              <c:strCache>
                <c:ptCount val="1"/>
                <c:pt idx="0">
                  <c:v>2018</c:v>
                </c:pt>
              </c:strCache>
            </c:strRef>
          </c:tx>
          <c:spPr>
            <a:solidFill>
              <a:srgbClr val="FFC000"/>
            </a:solidFill>
            <a:ln>
              <a:noFill/>
            </a:ln>
            <a:effectLst/>
          </c:spPr>
          <c:invertIfNegative val="0"/>
          <c:dLbls>
            <c:delete val="1"/>
          </c:dLbls>
          <c:cat>
            <c:strRef>
              <c:f>'地区-消费'!$A$15:$A$23</c:f>
              <c:strCache>
                <c:ptCount val="5"/>
                <c:pt idx="0">
                  <c:v>North America</c:v>
                </c:pt>
                <c:pt idx="1">
                  <c:v>Europe</c:v>
                </c:pt>
                <c:pt idx="2">
                  <c:v>Asia-Pacific</c:v>
                </c:pt>
                <c:pt idx="3">
                  <c:v>South America</c:v>
                </c:pt>
                <c:pt idx="4">
                  <c:v>Middle East and Africa</c:v>
                </c:pt>
              </c:strCache>
            </c:strRef>
          </c:cat>
          <c:val>
            <c:numRef>
              <c:f>'地区-消费'!$B$15:$B$23</c:f>
              <c:numCache>
                <c:formatCode>#,##0_);[Red]\(#,##0\)</c:formatCode>
                <c:ptCount val="5"/>
                <c:pt idx="0">
                  <c:v>15.6637172945922</c:v>
                </c:pt>
                <c:pt idx="1">
                  <c:v>6.98066829061662</c:v>
                </c:pt>
                <c:pt idx="2">
                  <c:v>27.3752847095552</c:v>
                </c:pt>
                <c:pt idx="3">
                  <c:v>4.47102707959221</c:v>
                </c:pt>
                <c:pt idx="4">
                  <c:v>4.35148389628365</c:v>
                </c:pt>
              </c:numCache>
            </c:numRef>
          </c:val>
        </c:ser>
        <c:ser>
          <c:idx val="1"/>
          <c:order val="1"/>
          <c:tx>
            <c:strRef>
              <c:f>'地区-消费'!$C$14</c:f>
              <c:strCache>
                <c:ptCount val="1"/>
                <c:pt idx="0">
                  <c:v>2022</c:v>
                </c:pt>
              </c:strCache>
            </c:strRef>
          </c:tx>
          <c:spPr>
            <a:solidFill>
              <a:schemeClr val="bg1">
                <a:lumMod val="50000"/>
              </a:schemeClr>
            </a:solidFill>
            <a:ln>
              <a:noFill/>
            </a:ln>
            <a:effectLst/>
          </c:spPr>
          <c:invertIfNegative val="0"/>
          <c:dLbls>
            <c:delete val="1"/>
          </c:dLbls>
          <c:cat>
            <c:strRef>
              <c:f>'地区-消费'!$A$15:$A$23</c:f>
              <c:strCache>
                <c:ptCount val="5"/>
                <c:pt idx="0">
                  <c:v>North America</c:v>
                </c:pt>
                <c:pt idx="1">
                  <c:v>Europe</c:v>
                </c:pt>
                <c:pt idx="2">
                  <c:v>Asia-Pacific</c:v>
                </c:pt>
                <c:pt idx="3">
                  <c:v>South America</c:v>
                </c:pt>
                <c:pt idx="4">
                  <c:v>Middle East and Africa</c:v>
                </c:pt>
              </c:strCache>
            </c:strRef>
          </c:cat>
          <c:val>
            <c:numRef>
              <c:f>'地区-消费'!$C$15:$C$23</c:f>
              <c:numCache>
                <c:formatCode>#,##0_);[Red]\(#,##0\)</c:formatCode>
                <c:ptCount val="5"/>
                <c:pt idx="0">
                  <c:v>103.505929935192</c:v>
                </c:pt>
                <c:pt idx="1">
                  <c:v>32.3350291127153</c:v>
                </c:pt>
                <c:pt idx="2">
                  <c:v>117.48584848173</c:v>
                </c:pt>
                <c:pt idx="3">
                  <c:v>33.3583858328803</c:v>
                </c:pt>
                <c:pt idx="4">
                  <c:v>69.1203760531381</c:v>
                </c:pt>
              </c:numCache>
            </c:numRef>
          </c:val>
        </c:ser>
        <c:ser>
          <c:idx val="2"/>
          <c:order val="2"/>
          <c:tx>
            <c:strRef>
              <c:f>'地区-消费'!$D$14</c:f>
              <c:strCache>
                <c:ptCount val="1"/>
                <c:pt idx="0">
                  <c:v>2029</c:v>
                </c:pt>
              </c:strCache>
            </c:strRef>
          </c:tx>
          <c:spPr>
            <a:solidFill>
              <a:srgbClr val="002060"/>
            </a:solidFill>
            <a:ln>
              <a:noFill/>
            </a:ln>
            <a:effectLst/>
          </c:spPr>
          <c:invertIfNegative val="0"/>
          <c:dLbls>
            <c:delete val="1"/>
          </c:dLbls>
          <c:cat>
            <c:strRef>
              <c:f>'地区-消费'!$A$15:$A$23</c:f>
              <c:strCache>
                <c:ptCount val="5"/>
                <c:pt idx="0">
                  <c:v>North America</c:v>
                </c:pt>
                <c:pt idx="1">
                  <c:v>Europe</c:v>
                </c:pt>
                <c:pt idx="2">
                  <c:v>Asia-Pacific</c:v>
                </c:pt>
                <c:pt idx="3">
                  <c:v>South America</c:v>
                </c:pt>
                <c:pt idx="4">
                  <c:v>Middle East and Africa</c:v>
                </c:pt>
              </c:strCache>
            </c:strRef>
          </c:cat>
          <c:val>
            <c:numRef>
              <c:f>'地区-消费'!$D$15:$D$23</c:f>
              <c:numCache>
                <c:formatCode>#,##0_);[Red]\(#,##0\)</c:formatCode>
                <c:ptCount val="5"/>
                <c:pt idx="0">
                  <c:v>788.560785206554</c:v>
                </c:pt>
                <c:pt idx="1">
                  <c:v>161.459534758633</c:v>
                </c:pt>
                <c:pt idx="2">
                  <c:v>536.855582255233</c:v>
                </c:pt>
                <c:pt idx="3">
                  <c:v>291.525213327676</c:v>
                </c:pt>
                <c:pt idx="4">
                  <c:v>628.580997120508</c:v>
                </c:pt>
              </c:numCache>
            </c:numRef>
          </c:val>
        </c:ser>
        <c:dLbls>
          <c:showLegendKey val="0"/>
          <c:showVal val="0"/>
          <c:showCatName val="0"/>
          <c:showSerName val="0"/>
          <c:showPercent val="0"/>
          <c:showBubbleSize val="0"/>
        </c:dLbls>
        <c:gapWidth val="75"/>
        <c:axId val="25844928"/>
        <c:axId val="1875643855"/>
      </c:barChart>
      <c:catAx>
        <c:axId val="25844928"/>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Book Antiqua" panose="02040602050305030304" pitchFamily="1" charset="0"/>
                <a:ea typeface="+mn-ea"/>
                <a:cs typeface="+mn-cs"/>
              </a:defRPr>
            </a:pPr>
          </a:p>
        </c:txPr>
        <c:crossAx val="1875643855"/>
        <c:crosses val="autoZero"/>
        <c:auto val="1"/>
        <c:lblAlgn val="ctr"/>
        <c:lblOffset val="100"/>
        <c:noMultiLvlLbl val="0"/>
      </c:catAx>
      <c:valAx>
        <c:axId val="1875643855"/>
        <c:scaling>
          <c:orientation val="minMax"/>
        </c:scaling>
        <c:delete val="0"/>
        <c:axPos val="l"/>
        <c:majorGridlines>
          <c:spPr>
            <a:ln w="9525" cap="flat" cmpd="sng" algn="ctr">
              <a:noFill/>
              <a:round/>
            </a:ln>
            <a:effectLst/>
          </c:spPr>
        </c:majorGridlines>
        <c:numFmt formatCode="#,##0_);[Red]\(#,##0\)" sourceLinked="1"/>
        <c:majorTickMark val="none"/>
        <c:minorTickMark val="none"/>
        <c:tickLblPos val="nextTo"/>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Book Antiqua" panose="02040602050305030304" pitchFamily="1" charset="0"/>
                <a:ea typeface="+mn-ea"/>
                <a:cs typeface="+mn-cs"/>
              </a:defRPr>
            </a:pPr>
          </a:p>
        </c:txPr>
        <c:crossAx val="25844928"/>
        <c:crosses val="autoZero"/>
        <c:crossBetween val="between"/>
      </c:valAx>
      <c:spPr>
        <a:noFill/>
        <a:ln>
          <a:noFill/>
        </a:ln>
        <a:effectLst/>
      </c:spPr>
    </c:plotArea>
    <c:legend>
      <c:legendPos val="b"/>
      <c:layout/>
      <c:overlay val="0"/>
      <c:spPr>
        <a:noFill/>
        <a:ln>
          <a:noFill/>
        </a:ln>
        <a:effectLst/>
      </c:spPr>
      <c:txPr>
        <a:bodyPr rot="0" spcFirstLastPara="1" vertOverflow="ellipsis" vert="horz" wrap="square" anchor="ctr" anchorCtr="1"/>
        <a:lstStyle/>
        <a:p>
          <a:pPr>
            <a:defRPr lang="zh-CN" sz="900" b="0" i="0" u="none" strike="noStrike" kern="1200" baseline="0">
              <a:solidFill>
                <a:schemeClr val="tx1">
                  <a:lumMod val="65000"/>
                  <a:lumOff val="35000"/>
                </a:schemeClr>
              </a:solidFill>
              <a:latin typeface="Book Antiqua" panose="02040602050305030304" pitchFamily="1" charset="0"/>
              <a:ea typeface="+mn-ea"/>
              <a:cs typeface="+mn-cs"/>
            </a:defRPr>
          </a:pPr>
        </a:p>
      </c:txPr>
    </c:legend>
    <c:plotVisOnly val="1"/>
    <c:dispBlanksAs val="gap"/>
    <c:showDLblsOverMax val="0"/>
  </c:chart>
  <c:spPr>
    <a:solidFill>
      <a:schemeClr val="bg1"/>
    </a:solidFill>
    <a:ln w="9525" cap="flat" cmpd="sng" algn="ctr">
      <a:noFill/>
      <a:round/>
    </a:ln>
    <a:effectLst/>
  </c:spPr>
  <c:txPr>
    <a:bodyPr/>
    <a:lstStyle/>
    <a:p>
      <a:pPr>
        <a:defRPr lang="zh-CN"/>
      </a:pPr>
    </a:p>
  </c:txPr>
  <c:externalData r:id="rId1">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percentStacked"/>
        <c:varyColors val="0"/>
        <c:ser>
          <c:idx val="0"/>
          <c:order val="0"/>
          <c:tx>
            <c:strRef>
              <c:f>'地区-消费'!$A$2</c:f>
              <c:strCache>
                <c:ptCount val="1"/>
                <c:pt idx="0">
                  <c:v>North America</c:v>
                </c:pt>
              </c:strCache>
            </c:strRef>
          </c:tx>
          <c:spPr>
            <a:solidFill>
              <a:srgbClr val="002060"/>
            </a:solidFill>
            <a:ln>
              <a:noFill/>
            </a:ln>
            <a:effectLst/>
          </c:spPr>
          <c:invertIfNegative val="0"/>
          <c:dLbls>
            <c:delete val="1"/>
          </c:dLbls>
          <c:cat>
            <c:numRef>
              <c:f>'地区-消费'!$B$1:$M$1</c:f>
              <c:numCache>
                <c:formatCode>General</c:formatCode>
                <c:ptCount val="12"/>
                <c:pt idx="0">
                  <c:v>2018</c:v>
                </c:pt>
                <c:pt idx="1">
                  <c:v>2019</c:v>
                </c:pt>
                <c:pt idx="2">
                  <c:v>2020</c:v>
                </c:pt>
                <c:pt idx="3">
                  <c:v>2021</c:v>
                </c:pt>
                <c:pt idx="4">
                  <c:v>2022</c:v>
                </c:pt>
                <c:pt idx="5">
                  <c:v>2023</c:v>
                </c:pt>
                <c:pt idx="6">
                  <c:v>2024</c:v>
                </c:pt>
                <c:pt idx="7">
                  <c:v>2025</c:v>
                </c:pt>
                <c:pt idx="8">
                  <c:v>2026</c:v>
                </c:pt>
                <c:pt idx="9">
                  <c:v>2027</c:v>
                </c:pt>
                <c:pt idx="10">
                  <c:v>2028</c:v>
                </c:pt>
                <c:pt idx="11">
                  <c:v>2029</c:v>
                </c:pt>
              </c:numCache>
            </c:numRef>
          </c:cat>
          <c:val>
            <c:numRef>
              <c:f>'地区-消费'!$B$2:$M$2</c:f>
              <c:numCache>
                <c:formatCode>#,##0_);[Red]\(#,##0\)</c:formatCode>
                <c:ptCount val="12"/>
                <c:pt idx="0">
                  <c:v>15.6637172945922</c:v>
                </c:pt>
                <c:pt idx="1">
                  <c:v>18.2571587948623</c:v>
                </c:pt>
                <c:pt idx="2">
                  <c:v>29.0559680911078</c:v>
                </c:pt>
                <c:pt idx="3">
                  <c:v>53.709861106089</c:v>
                </c:pt>
                <c:pt idx="4">
                  <c:v>103.505929935192</c:v>
                </c:pt>
                <c:pt idx="5">
                  <c:v>180.868639563525</c:v>
                </c:pt>
                <c:pt idx="6">
                  <c:v>284.387926948326</c:v>
                </c:pt>
                <c:pt idx="7">
                  <c:v>376.36087590897</c:v>
                </c:pt>
                <c:pt idx="8">
                  <c:v>469.21248319666</c:v>
                </c:pt>
                <c:pt idx="9">
                  <c:v>575.28849919243</c:v>
                </c:pt>
                <c:pt idx="10">
                  <c:v>684.146449496507</c:v>
                </c:pt>
                <c:pt idx="11">
                  <c:v>788.560785206554</c:v>
                </c:pt>
              </c:numCache>
            </c:numRef>
          </c:val>
        </c:ser>
        <c:ser>
          <c:idx val="1"/>
          <c:order val="1"/>
          <c:tx>
            <c:strRef>
              <c:f>'地区-消费'!$A$3</c:f>
              <c:strCache>
                <c:ptCount val="1"/>
                <c:pt idx="0">
                  <c:v>Europe</c:v>
                </c:pt>
              </c:strCache>
            </c:strRef>
          </c:tx>
          <c:spPr>
            <a:solidFill>
              <a:schemeClr val="bg1">
                <a:lumMod val="50000"/>
              </a:schemeClr>
            </a:solidFill>
            <a:ln>
              <a:noFill/>
            </a:ln>
            <a:effectLst/>
          </c:spPr>
          <c:invertIfNegative val="0"/>
          <c:dLbls>
            <c:delete val="1"/>
          </c:dLbls>
          <c:cat>
            <c:numRef>
              <c:f>'地区-消费'!$B$1:$M$1</c:f>
              <c:numCache>
                <c:formatCode>General</c:formatCode>
                <c:ptCount val="12"/>
                <c:pt idx="0">
                  <c:v>2018</c:v>
                </c:pt>
                <c:pt idx="1">
                  <c:v>2019</c:v>
                </c:pt>
                <c:pt idx="2">
                  <c:v>2020</c:v>
                </c:pt>
                <c:pt idx="3">
                  <c:v>2021</c:v>
                </c:pt>
                <c:pt idx="4">
                  <c:v>2022</c:v>
                </c:pt>
                <c:pt idx="5">
                  <c:v>2023</c:v>
                </c:pt>
                <c:pt idx="6">
                  <c:v>2024</c:v>
                </c:pt>
                <c:pt idx="7">
                  <c:v>2025</c:v>
                </c:pt>
                <c:pt idx="8">
                  <c:v>2026</c:v>
                </c:pt>
                <c:pt idx="9">
                  <c:v>2027</c:v>
                </c:pt>
                <c:pt idx="10">
                  <c:v>2028</c:v>
                </c:pt>
                <c:pt idx="11">
                  <c:v>2029</c:v>
                </c:pt>
              </c:numCache>
            </c:numRef>
          </c:cat>
          <c:val>
            <c:numRef>
              <c:f>'地区-消费'!$B$3:$M$3</c:f>
              <c:numCache>
                <c:formatCode>#,##0_);[Red]\(#,##0\)</c:formatCode>
                <c:ptCount val="12"/>
                <c:pt idx="0">
                  <c:v>6.98066829061662</c:v>
                </c:pt>
                <c:pt idx="1">
                  <c:v>7.85042938805125</c:v>
                </c:pt>
                <c:pt idx="2">
                  <c:v>11.3471628711458</c:v>
                </c:pt>
                <c:pt idx="3">
                  <c:v>18.8936112329535</c:v>
                </c:pt>
                <c:pt idx="4">
                  <c:v>32.3350291127153</c:v>
                </c:pt>
                <c:pt idx="5">
                  <c:v>50.7600592973083</c:v>
                </c:pt>
                <c:pt idx="6">
                  <c:v>73.0015886189534</c:v>
                </c:pt>
                <c:pt idx="7">
                  <c:v>91.0426021124497</c:v>
                </c:pt>
                <c:pt idx="8">
                  <c:v>108.044619390887</c:v>
                </c:pt>
                <c:pt idx="9">
                  <c:v>126.584814613685</c:v>
                </c:pt>
                <c:pt idx="10">
                  <c:v>144.710141254893</c:v>
                </c:pt>
                <c:pt idx="11">
                  <c:v>161.459534758633</c:v>
                </c:pt>
              </c:numCache>
            </c:numRef>
          </c:val>
        </c:ser>
        <c:ser>
          <c:idx val="2"/>
          <c:order val="2"/>
          <c:tx>
            <c:strRef>
              <c:f>'地区-消费'!$A$4</c:f>
              <c:strCache>
                <c:ptCount val="1"/>
                <c:pt idx="0">
                  <c:v>Asia-Pacific</c:v>
                </c:pt>
              </c:strCache>
            </c:strRef>
          </c:tx>
          <c:spPr>
            <a:solidFill>
              <a:srgbClr val="0070C0"/>
            </a:solidFill>
            <a:ln>
              <a:noFill/>
            </a:ln>
            <a:effectLst/>
          </c:spPr>
          <c:invertIfNegative val="0"/>
          <c:dLbls>
            <c:delete val="1"/>
          </c:dLbls>
          <c:cat>
            <c:numRef>
              <c:f>'地区-消费'!$B$1:$M$1</c:f>
              <c:numCache>
                <c:formatCode>General</c:formatCode>
                <c:ptCount val="12"/>
                <c:pt idx="0">
                  <c:v>2018</c:v>
                </c:pt>
                <c:pt idx="1">
                  <c:v>2019</c:v>
                </c:pt>
                <c:pt idx="2">
                  <c:v>2020</c:v>
                </c:pt>
                <c:pt idx="3">
                  <c:v>2021</c:v>
                </c:pt>
                <c:pt idx="4">
                  <c:v>2022</c:v>
                </c:pt>
                <c:pt idx="5">
                  <c:v>2023</c:v>
                </c:pt>
                <c:pt idx="6">
                  <c:v>2024</c:v>
                </c:pt>
                <c:pt idx="7">
                  <c:v>2025</c:v>
                </c:pt>
                <c:pt idx="8">
                  <c:v>2026</c:v>
                </c:pt>
                <c:pt idx="9">
                  <c:v>2027</c:v>
                </c:pt>
                <c:pt idx="10">
                  <c:v>2028</c:v>
                </c:pt>
                <c:pt idx="11">
                  <c:v>2029</c:v>
                </c:pt>
              </c:numCache>
            </c:numRef>
          </c:cat>
          <c:val>
            <c:numRef>
              <c:f>'地区-消费'!$B$4:$M$4</c:f>
              <c:numCache>
                <c:formatCode>#,##0_);[Red]\(#,##0\)</c:formatCode>
                <c:ptCount val="12"/>
                <c:pt idx="0">
                  <c:v>27.3752847095552</c:v>
                </c:pt>
                <c:pt idx="1">
                  <c:v>30.5772730898022</c:v>
                </c:pt>
                <c:pt idx="2">
                  <c:v>43.338202762923</c:v>
                </c:pt>
                <c:pt idx="3">
                  <c:v>70.4462429681307</c:v>
                </c:pt>
                <c:pt idx="4">
                  <c:v>117.48584848173</c:v>
                </c:pt>
                <c:pt idx="5">
                  <c:v>180.287150725809</c:v>
                </c:pt>
                <c:pt idx="6">
                  <c:v>254.435992791633</c:v>
                </c:pt>
                <c:pt idx="7">
                  <c:v>313.325075078125</c:v>
                </c:pt>
                <c:pt idx="8">
                  <c:v>368.038103304162</c:v>
                </c:pt>
                <c:pt idx="9">
                  <c:v>427.107677545972</c:v>
                </c:pt>
                <c:pt idx="10">
                  <c:v>484.417982704447</c:v>
                </c:pt>
                <c:pt idx="11">
                  <c:v>536.855582255233</c:v>
                </c:pt>
              </c:numCache>
            </c:numRef>
          </c:val>
        </c:ser>
        <c:ser>
          <c:idx val="3"/>
          <c:order val="3"/>
          <c:tx>
            <c:strRef>
              <c:f>'地区-消费'!$A$5</c:f>
              <c:strCache>
                <c:ptCount val="1"/>
                <c:pt idx="0">
                  <c:v>South America</c:v>
                </c:pt>
              </c:strCache>
            </c:strRef>
          </c:tx>
          <c:spPr>
            <a:solidFill>
              <a:srgbClr val="FFC000"/>
            </a:solidFill>
            <a:ln>
              <a:noFill/>
            </a:ln>
            <a:effectLst/>
          </c:spPr>
          <c:invertIfNegative val="0"/>
          <c:dLbls>
            <c:delete val="1"/>
          </c:dLbls>
          <c:cat>
            <c:numRef>
              <c:f>'地区-消费'!$B$1:$M$1</c:f>
              <c:numCache>
                <c:formatCode>General</c:formatCode>
                <c:ptCount val="12"/>
                <c:pt idx="0">
                  <c:v>2018</c:v>
                </c:pt>
                <c:pt idx="1">
                  <c:v>2019</c:v>
                </c:pt>
                <c:pt idx="2">
                  <c:v>2020</c:v>
                </c:pt>
                <c:pt idx="3">
                  <c:v>2021</c:v>
                </c:pt>
                <c:pt idx="4">
                  <c:v>2022</c:v>
                </c:pt>
                <c:pt idx="5">
                  <c:v>2023</c:v>
                </c:pt>
                <c:pt idx="6">
                  <c:v>2024</c:v>
                </c:pt>
                <c:pt idx="7">
                  <c:v>2025</c:v>
                </c:pt>
                <c:pt idx="8">
                  <c:v>2026</c:v>
                </c:pt>
                <c:pt idx="9">
                  <c:v>2027</c:v>
                </c:pt>
                <c:pt idx="10">
                  <c:v>2028</c:v>
                </c:pt>
                <c:pt idx="11">
                  <c:v>2029</c:v>
                </c:pt>
              </c:numCache>
            </c:numRef>
          </c:cat>
          <c:val>
            <c:numRef>
              <c:f>'地区-消费'!$B$5:$M$5</c:f>
              <c:numCache>
                <c:formatCode>#,##0_);[Red]\(#,##0\)</c:formatCode>
                <c:ptCount val="12"/>
                <c:pt idx="0">
                  <c:v>4.47102707959221</c:v>
                </c:pt>
                <c:pt idx="1">
                  <c:v>5.26995859483115</c:v>
                </c:pt>
                <c:pt idx="2">
                  <c:v>8.62862909941586</c:v>
                </c:pt>
                <c:pt idx="3">
                  <c:v>16.6352024917683</c:v>
                </c:pt>
                <c:pt idx="4">
                  <c:v>33.3583858328803</c:v>
                </c:pt>
                <c:pt idx="5">
                  <c:v>60.3282548441235</c:v>
                </c:pt>
                <c:pt idx="6">
                  <c:v>97.7492862906894</c:v>
                </c:pt>
                <c:pt idx="7">
                  <c:v>131.952913514243</c:v>
                </c:pt>
                <c:pt idx="8">
                  <c:v>167.084500734402</c:v>
                </c:pt>
                <c:pt idx="9">
                  <c:v>207.865307413685</c:v>
                </c:pt>
                <c:pt idx="10">
                  <c:v>250.32908945613</c:v>
                </c:pt>
                <c:pt idx="11">
                  <c:v>291.525213327676</c:v>
                </c:pt>
              </c:numCache>
            </c:numRef>
          </c:val>
        </c:ser>
        <c:ser>
          <c:idx val="4"/>
          <c:order val="4"/>
          <c:tx>
            <c:strRef>
              <c:f>'地区-消费'!$A$6</c:f>
              <c:strCache>
                <c:ptCount val="1"/>
                <c:pt idx="0">
                  <c:v/>
                </c:pt>
              </c:strCache>
            </c:strRef>
          </c:tx>
          <c:spPr>
            <a:solidFill>
              <a:schemeClr val="tx1">
                <a:lumMod val="65000"/>
                <a:lumOff val="35000"/>
              </a:schemeClr>
            </a:solidFill>
            <a:ln>
              <a:noFill/>
            </a:ln>
            <a:effectLst/>
          </c:spPr>
          <c:invertIfNegative val="0"/>
          <c:dLbls>
            <c:delete val="1"/>
          </c:dLbls>
          <c:cat>
            <c:numRef>
              <c:f>'地区-消费'!$B$1:$M$1</c:f>
              <c:numCache>
                <c:formatCode>General</c:formatCode>
                <c:ptCount val="12"/>
                <c:pt idx="0">
                  <c:v>2018</c:v>
                </c:pt>
                <c:pt idx="1">
                  <c:v>2019</c:v>
                </c:pt>
                <c:pt idx="2">
                  <c:v>2020</c:v>
                </c:pt>
                <c:pt idx="3">
                  <c:v>2021</c:v>
                </c:pt>
                <c:pt idx="4">
                  <c:v>2022</c:v>
                </c:pt>
                <c:pt idx="5">
                  <c:v>2023</c:v>
                </c:pt>
                <c:pt idx="6">
                  <c:v>2024</c:v>
                </c:pt>
                <c:pt idx="7">
                  <c:v>2025</c:v>
                </c:pt>
                <c:pt idx="8">
                  <c:v>2026</c:v>
                </c:pt>
                <c:pt idx="9">
                  <c:v>2027</c:v>
                </c:pt>
                <c:pt idx="10">
                  <c:v>2028</c:v>
                </c:pt>
                <c:pt idx="11">
                  <c:v>2029</c:v>
                </c:pt>
              </c:numCache>
            </c:numRef>
          </c:cat>
          <c:val>
            <c:numRef>
              <c:f>'地区-消费'!$B$6:$M$6</c:f>
              <c:numCache>
                <c:formatCode>General</c:formatCode>
                <c:ptCount val="12"/>
              </c:numCache>
            </c:numRef>
          </c:val>
        </c:ser>
        <c:ser>
          <c:idx val="5"/>
          <c:order val="5"/>
          <c:tx>
            <c:strRef>
              <c:f>'地区-消费'!$A$7</c:f>
              <c:strCache>
                <c:ptCount val="1"/>
                <c:pt idx="0">
                  <c:v/>
                </c:pt>
              </c:strCache>
            </c:strRef>
          </c:tx>
          <c:spPr>
            <a:solidFill>
              <a:srgbClr val="C00000"/>
            </a:solidFill>
            <a:ln>
              <a:noFill/>
            </a:ln>
            <a:effectLst/>
          </c:spPr>
          <c:invertIfNegative val="0"/>
          <c:dLbls>
            <c:delete val="1"/>
          </c:dLbls>
          <c:cat>
            <c:numRef>
              <c:f>'地区-消费'!$B$1:$M$1</c:f>
              <c:numCache>
                <c:formatCode>General</c:formatCode>
                <c:ptCount val="12"/>
                <c:pt idx="0">
                  <c:v>2018</c:v>
                </c:pt>
                <c:pt idx="1">
                  <c:v>2019</c:v>
                </c:pt>
                <c:pt idx="2">
                  <c:v>2020</c:v>
                </c:pt>
                <c:pt idx="3">
                  <c:v>2021</c:v>
                </c:pt>
                <c:pt idx="4">
                  <c:v>2022</c:v>
                </c:pt>
                <c:pt idx="5">
                  <c:v>2023</c:v>
                </c:pt>
                <c:pt idx="6">
                  <c:v>2024</c:v>
                </c:pt>
                <c:pt idx="7">
                  <c:v>2025</c:v>
                </c:pt>
                <c:pt idx="8">
                  <c:v>2026</c:v>
                </c:pt>
                <c:pt idx="9">
                  <c:v>2027</c:v>
                </c:pt>
                <c:pt idx="10">
                  <c:v>2028</c:v>
                </c:pt>
                <c:pt idx="11">
                  <c:v>2029</c:v>
                </c:pt>
              </c:numCache>
            </c:numRef>
          </c:cat>
          <c:val>
            <c:numRef>
              <c:f>'地区-消费'!$B$7:$M$7</c:f>
              <c:numCache>
                <c:formatCode>General</c:formatCode>
                <c:ptCount val="12"/>
              </c:numCache>
            </c:numRef>
          </c:val>
        </c:ser>
        <c:ser>
          <c:idx val="6"/>
          <c:order val="6"/>
          <c:tx>
            <c:strRef>
              <c:f>'地区-消费'!$A$8</c:f>
              <c:strCache>
                <c:ptCount val="1"/>
                <c:pt idx="0">
                  <c:v/>
                </c:pt>
              </c:strCache>
            </c:strRef>
          </c:tx>
          <c:spPr>
            <a:solidFill>
              <a:srgbClr val="7030A0"/>
            </a:solidFill>
            <a:ln>
              <a:noFill/>
            </a:ln>
            <a:effectLst/>
          </c:spPr>
          <c:invertIfNegative val="0"/>
          <c:dLbls>
            <c:delete val="1"/>
          </c:dLbls>
          <c:cat>
            <c:numRef>
              <c:f>'地区-消费'!$B$1:$M$1</c:f>
              <c:numCache>
                <c:formatCode>General</c:formatCode>
                <c:ptCount val="12"/>
                <c:pt idx="0">
                  <c:v>2018</c:v>
                </c:pt>
                <c:pt idx="1">
                  <c:v>2019</c:v>
                </c:pt>
                <c:pt idx="2">
                  <c:v>2020</c:v>
                </c:pt>
                <c:pt idx="3">
                  <c:v>2021</c:v>
                </c:pt>
                <c:pt idx="4">
                  <c:v>2022</c:v>
                </c:pt>
                <c:pt idx="5">
                  <c:v>2023</c:v>
                </c:pt>
                <c:pt idx="6">
                  <c:v>2024</c:v>
                </c:pt>
                <c:pt idx="7">
                  <c:v>2025</c:v>
                </c:pt>
                <c:pt idx="8">
                  <c:v>2026</c:v>
                </c:pt>
                <c:pt idx="9">
                  <c:v>2027</c:v>
                </c:pt>
                <c:pt idx="10">
                  <c:v>2028</c:v>
                </c:pt>
                <c:pt idx="11">
                  <c:v>2029</c:v>
                </c:pt>
              </c:numCache>
            </c:numRef>
          </c:cat>
          <c:val>
            <c:numRef>
              <c:f>'地区-消费'!$B$8:$M$8</c:f>
              <c:numCache>
                <c:formatCode>General</c:formatCode>
                <c:ptCount val="12"/>
              </c:numCache>
            </c:numRef>
          </c:val>
        </c:ser>
        <c:ser>
          <c:idx val="7"/>
          <c:order val="7"/>
          <c:tx>
            <c:strRef>
              <c:f>'地区-消费'!$A$9</c:f>
              <c:strCache>
                <c:ptCount val="1"/>
                <c:pt idx="0">
                  <c:v/>
                </c:pt>
              </c:strCache>
            </c:strRef>
          </c:tx>
          <c:spPr>
            <a:solidFill>
              <a:schemeClr val="tx2">
                <a:lumMod val="60000"/>
                <a:lumOff val="40000"/>
              </a:schemeClr>
            </a:solidFill>
            <a:ln>
              <a:noFill/>
            </a:ln>
            <a:effectLst/>
          </c:spPr>
          <c:invertIfNegative val="0"/>
          <c:dLbls>
            <c:delete val="1"/>
          </c:dLbls>
          <c:cat>
            <c:numRef>
              <c:f>'地区-消费'!$B$1:$M$1</c:f>
              <c:numCache>
                <c:formatCode>General</c:formatCode>
                <c:ptCount val="12"/>
                <c:pt idx="0">
                  <c:v>2018</c:v>
                </c:pt>
                <c:pt idx="1">
                  <c:v>2019</c:v>
                </c:pt>
                <c:pt idx="2">
                  <c:v>2020</c:v>
                </c:pt>
                <c:pt idx="3">
                  <c:v>2021</c:v>
                </c:pt>
                <c:pt idx="4">
                  <c:v>2022</c:v>
                </c:pt>
                <c:pt idx="5">
                  <c:v>2023</c:v>
                </c:pt>
                <c:pt idx="6">
                  <c:v>2024</c:v>
                </c:pt>
                <c:pt idx="7">
                  <c:v>2025</c:v>
                </c:pt>
                <c:pt idx="8">
                  <c:v>2026</c:v>
                </c:pt>
                <c:pt idx="9">
                  <c:v>2027</c:v>
                </c:pt>
                <c:pt idx="10">
                  <c:v>2028</c:v>
                </c:pt>
                <c:pt idx="11">
                  <c:v>2029</c:v>
                </c:pt>
              </c:numCache>
            </c:numRef>
          </c:cat>
          <c:val>
            <c:numRef>
              <c:f>'地区-消费'!$B$9:$M$9</c:f>
              <c:numCache>
                <c:formatCode>General</c:formatCode>
                <c:ptCount val="12"/>
              </c:numCache>
            </c:numRef>
          </c:val>
        </c:ser>
        <c:ser>
          <c:idx val="8"/>
          <c:order val="8"/>
          <c:tx>
            <c:strRef>
              <c:f>'地区-消费'!$A$10</c:f>
              <c:strCache>
                <c:ptCount val="1"/>
                <c:pt idx="0">
                  <c:v>Middle East and Africa</c:v>
                </c:pt>
              </c:strCache>
            </c:strRef>
          </c:tx>
          <c:spPr>
            <a:solidFill>
              <a:schemeClr val="accent6">
                <a:lumMod val="75000"/>
              </a:schemeClr>
            </a:solidFill>
            <a:ln>
              <a:noFill/>
            </a:ln>
            <a:effectLst/>
          </c:spPr>
          <c:invertIfNegative val="0"/>
          <c:dLbls>
            <c:delete val="1"/>
          </c:dLbls>
          <c:cat>
            <c:numRef>
              <c:f>'地区-消费'!$B$1:$M$1</c:f>
              <c:numCache>
                <c:formatCode>General</c:formatCode>
                <c:ptCount val="12"/>
                <c:pt idx="0">
                  <c:v>2018</c:v>
                </c:pt>
                <c:pt idx="1">
                  <c:v>2019</c:v>
                </c:pt>
                <c:pt idx="2">
                  <c:v>2020</c:v>
                </c:pt>
                <c:pt idx="3">
                  <c:v>2021</c:v>
                </c:pt>
                <c:pt idx="4">
                  <c:v>2022</c:v>
                </c:pt>
                <c:pt idx="5">
                  <c:v>2023</c:v>
                </c:pt>
                <c:pt idx="6">
                  <c:v>2024</c:v>
                </c:pt>
                <c:pt idx="7">
                  <c:v>2025</c:v>
                </c:pt>
                <c:pt idx="8">
                  <c:v>2026</c:v>
                </c:pt>
                <c:pt idx="9">
                  <c:v>2027</c:v>
                </c:pt>
                <c:pt idx="10">
                  <c:v>2028</c:v>
                </c:pt>
                <c:pt idx="11">
                  <c:v>2029</c:v>
                </c:pt>
              </c:numCache>
            </c:numRef>
          </c:cat>
          <c:val>
            <c:numRef>
              <c:f>'地区-消费'!$B$10:$M$10</c:f>
              <c:numCache>
                <c:formatCode>#,##0_);[Red]\(#,##0\)</c:formatCode>
                <c:ptCount val="12"/>
                <c:pt idx="0">
                  <c:v>4.35148389628365</c:v>
                </c:pt>
                <c:pt idx="1">
                  <c:v>5.82065696921784</c:v>
                </c:pt>
                <c:pt idx="2">
                  <c:v>12.7915859293932</c:v>
                </c:pt>
                <c:pt idx="3">
                  <c:v>30.267328468106</c:v>
                </c:pt>
                <c:pt idx="4">
                  <c:v>69.1203760531381</c:v>
                </c:pt>
                <c:pt idx="5">
                  <c:v>133.023193941774</c:v>
                </c:pt>
                <c:pt idx="6">
                  <c:v>220.676549070474</c:v>
                </c:pt>
                <c:pt idx="7">
                  <c:v>298.142569209899</c:v>
                </c:pt>
                <c:pt idx="8">
                  <c:v>374.954471781357</c:v>
                </c:pt>
                <c:pt idx="9">
                  <c:v>461.539980120013</c:v>
                </c:pt>
                <c:pt idx="10">
                  <c:v>548.016250304034</c:v>
                </c:pt>
                <c:pt idx="11">
                  <c:v>628.580997120508</c:v>
                </c:pt>
              </c:numCache>
            </c:numRef>
          </c:val>
        </c:ser>
        <c:dLbls>
          <c:showLegendKey val="0"/>
          <c:showVal val="0"/>
          <c:showCatName val="0"/>
          <c:showSerName val="0"/>
          <c:showPercent val="0"/>
          <c:showBubbleSize val="0"/>
        </c:dLbls>
        <c:gapWidth val="45"/>
        <c:overlap val="100"/>
        <c:axId val="1897692240"/>
        <c:axId val="1897707216"/>
      </c:barChart>
      <c:catAx>
        <c:axId val="1897692240"/>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crossAx val="1897707216"/>
        <c:crosses val="autoZero"/>
        <c:auto val="1"/>
        <c:lblAlgn val="ctr"/>
        <c:lblOffset val="100"/>
        <c:noMultiLvlLbl val="0"/>
      </c:catAx>
      <c:valAx>
        <c:axId val="1897707216"/>
        <c:scaling>
          <c:orientation val="minMax"/>
        </c:scaling>
        <c:delete val="0"/>
        <c:axPos val="l"/>
        <c:majorGridlines>
          <c:spPr>
            <a:ln w="9525" cap="flat" cmpd="sng" algn="ctr">
              <a:noFill/>
              <a:round/>
            </a:ln>
            <a:effectLst/>
          </c:spPr>
        </c:majorGridlines>
        <c:numFmt formatCode="0%" sourceLinked="1"/>
        <c:majorTickMark val="none"/>
        <c:minorTickMark val="none"/>
        <c:tickLblPos val="nextTo"/>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crossAx val="1897692240"/>
        <c:crosses val="autoZero"/>
        <c:crossBetween val="between"/>
      </c:valAx>
      <c:spPr>
        <a:noFill/>
        <a:ln>
          <a:noFill/>
        </a:ln>
        <a:effectLst/>
      </c:spPr>
    </c:plotArea>
    <c:legend>
      <c:legendPos val="b"/>
      <c:layout/>
      <c:overlay val="0"/>
      <c:spPr>
        <a:noFill/>
        <a:ln>
          <a:noFill/>
        </a:ln>
        <a:effectLst/>
      </c:spPr>
      <c:txPr>
        <a:bodyPr rot="0" spcFirstLastPara="1" vertOverflow="ellipsis" vert="horz" wrap="square" anchor="ctr" anchorCtr="1"/>
        <a:lstStyle/>
        <a:p>
          <a:pPr>
            <a:defRPr lang="zh-CN" sz="900" b="0" i="0" u="none" strike="noStrike" kern="1200" baseline="0">
              <a:solidFill>
                <a:schemeClr val="tx1">
                  <a:lumMod val="65000"/>
                  <a:lumOff val="35000"/>
                </a:schemeClr>
              </a:solidFill>
              <a:latin typeface="Times New Roman" panose="02020603050405020304" charset="0"/>
              <a:ea typeface="+mn-ea"/>
              <a:cs typeface="Times New Roman" panose="02020603050405020304" charset="0"/>
            </a:defRPr>
          </a:pPr>
        </a:p>
      </c:txPr>
    </c:legend>
    <c:plotVisOnly val="1"/>
    <c:dispBlanksAs val="gap"/>
    <c:showDLblsOverMax val="0"/>
  </c:chart>
  <c:spPr>
    <a:solidFill>
      <a:schemeClr val="bg1"/>
    </a:solidFill>
    <a:ln w="9525" cap="flat" cmpd="sng" algn="ctr">
      <a:noFill/>
      <a:round/>
    </a:ln>
    <a:effectLst/>
  </c:spPr>
  <c:txPr>
    <a:bodyPr/>
    <a:lstStyle/>
    <a:p>
      <a:pPr>
        <a:defRPr lang="zh-CN"/>
      </a:pPr>
    </a:p>
  </c:txPr>
  <c:externalData r:id="rId1">
    <c:autoUpdate val="0"/>
  </c:externalData>
</c:chartSpace>
</file>

<file path=word/charts/chart8.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lang="zh-CN" sz="1400" b="0" i="0" u="none" strike="noStrike" kern="1200" spc="0" baseline="0">
                <a:solidFill>
                  <a:schemeClr val="tx1">
                    <a:lumMod val="65000"/>
                    <a:lumOff val="35000"/>
                  </a:schemeClr>
                </a:solidFill>
                <a:latin typeface="Book Antiqua" panose="02040602050305030304" pitchFamily="1" charset="0"/>
                <a:ea typeface="+mn-ea"/>
                <a:cs typeface="+mn-cs"/>
              </a:defRPr>
            </a:pPr>
            <a:r>
              <a:rPr lang="en-US" altLang="zh-CN" sz="1200">
                <a:latin typeface="Book Antiqua" panose="02040602050305030304" pitchFamily="1" charset="0"/>
              </a:rPr>
              <a:t>By Region, 2018 Vs 2022 VS 2029</a:t>
            </a:r>
            <a:endParaRPr lang="zh-CN" altLang="en-US" sz="1200">
              <a:latin typeface="Book Antiqua" panose="02040602050305030304" pitchFamily="1" charset="0"/>
            </a:endParaRPr>
          </a:p>
        </c:rich>
      </c:tx>
      <c:layout/>
      <c:overlay val="0"/>
      <c:spPr>
        <a:noFill/>
        <a:ln>
          <a:noFill/>
        </a:ln>
        <a:effectLst/>
      </c:spPr>
    </c:title>
    <c:autoTitleDeleted val="0"/>
    <c:plotArea>
      <c:layout/>
      <c:barChart>
        <c:barDir val="col"/>
        <c:grouping val="clustered"/>
        <c:varyColors val="0"/>
        <c:ser>
          <c:idx val="0"/>
          <c:order val="0"/>
          <c:tx>
            <c:strRef>
              <c:f>'地区-消费'!$B$14</c:f>
              <c:strCache>
                <c:ptCount val="1"/>
                <c:pt idx="0">
                  <c:v>2018</c:v>
                </c:pt>
              </c:strCache>
            </c:strRef>
          </c:tx>
          <c:spPr>
            <a:solidFill>
              <a:srgbClr val="FFC000"/>
            </a:solidFill>
            <a:ln>
              <a:noFill/>
            </a:ln>
            <a:effectLst/>
          </c:spPr>
          <c:invertIfNegative val="0"/>
          <c:dLbls>
            <c:delete val="1"/>
          </c:dLbls>
          <c:cat>
            <c:strRef>
              <c:f>'地区-消费'!$A$15:$A$23</c:f>
              <c:strCache>
                <c:ptCount val="5"/>
                <c:pt idx="0">
                  <c:v>North America</c:v>
                </c:pt>
                <c:pt idx="1">
                  <c:v>Europe</c:v>
                </c:pt>
                <c:pt idx="2">
                  <c:v>Asia-Pacific</c:v>
                </c:pt>
                <c:pt idx="3">
                  <c:v>South America</c:v>
                </c:pt>
                <c:pt idx="4">
                  <c:v>Middle East and Africa</c:v>
                </c:pt>
              </c:strCache>
            </c:strRef>
          </c:cat>
          <c:val>
            <c:numRef>
              <c:f>'地区-消费'!$B$15:$B$23</c:f>
              <c:numCache>
                <c:formatCode>#,##0_);[Red]\(#,##0\)</c:formatCode>
                <c:ptCount val="5"/>
                <c:pt idx="0">
                  <c:v>15.6637172945922</c:v>
                </c:pt>
                <c:pt idx="1">
                  <c:v>6.98066829061662</c:v>
                </c:pt>
                <c:pt idx="2">
                  <c:v>27.3752847095552</c:v>
                </c:pt>
                <c:pt idx="3">
                  <c:v>4.47102707959221</c:v>
                </c:pt>
                <c:pt idx="4">
                  <c:v>4.35148389628365</c:v>
                </c:pt>
              </c:numCache>
            </c:numRef>
          </c:val>
        </c:ser>
        <c:ser>
          <c:idx val="1"/>
          <c:order val="1"/>
          <c:tx>
            <c:strRef>
              <c:f>'地区-消费'!$C$14</c:f>
              <c:strCache>
                <c:ptCount val="1"/>
                <c:pt idx="0">
                  <c:v>2022</c:v>
                </c:pt>
              </c:strCache>
            </c:strRef>
          </c:tx>
          <c:spPr>
            <a:solidFill>
              <a:schemeClr val="bg1">
                <a:lumMod val="50000"/>
              </a:schemeClr>
            </a:solidFill>
            <a:ln>
              <a:noFill/>
            </a:ln>
            <a:effectLst/>
          </c:spPr>
          <c:invertIfNegative val="0"/>
          <c:dLbls>
            <c:delete val="1"/>
          </c:dLbls>
          <c:cat>
            <c:strRef>
              <c:f>'地区-消费'!$A$15:$A$23</c:f>
              <c:strCache>
                <c:ptCount val="5"/>
                <c:pt idx="0">
                  <c:v>North America</c:v>
                </c:pt>
                <c:pt idx="1">
                  <c:v>Europe</c:v>
                </c:pt>
                <c:pt idx="2">
                  <c:v>Asia-Pacific</c:v>
                </c:pt>
                <c:pt idx="3">
                  <c:v>South America</c:v>
                </c:pt>
                <c:pt idx="4">
                  <c:v>Middle East and Africa</c:v>
                </c:pt>
              </c:strCache>
            </c:strRef>
          </c:cat>
          <c:val>
            <c:numRef>
              <c:f>'地区-消费'!$C$15:$C$23</c:f>
              <c:numCache>
                <c:formatCode>#,##0_);[Red]\(#,##0\)</c:formatCode>
                <c:ptCount val="5"/>
                <c:pt idx="0">
                  <c:v>103.505929935192</c:v>
                </c:pt>
                <c:pt idx="1">
                  <c:v>32.3350291127153</c:v>
                </c:pt>
                <c:pt idx="2">
                  <c:v>117.48584848173</c:v>
                </c:pt>
                <c:pt idx="3">
                  <c:v>33.3583858328803</c:v>
                </c:pt>
                <c:pt idx="4">
                  <c:v>69.1203760531381</c:v>
                </c:pt>
              </c:numCache>
            </c:numRef>
          </c:val>
        </c:ser>
        <c:ser>
          <c:idx val="2"/>
          <c:order val="2"/>
          <c:tx>
            <c:strRef>
              <c:f>'地区-消费'!$D$14</c:f>
              <c:strCache>
                <c:ptCount val="1"/>
                <c:pt idx="0">
                  <c:v>2029</c:v>
                </c:pt>
              </c:strCache>
            </c:strRef>
          </c:tx>
          <c:spPr>
            <a:solidFill>
              <a:srgbClr val="002060"/>
            </a:solidFill>
            <a:ln>
              <a:noFill/>
            </a:ln>
            <a:effectLst/>
          </c:spPr>
          <c:invertIfNegative val="0"/>
          <c:dLbls>
            <c:delete val="1"/>
          </c:dLbls>
          <c:cat>
            <c:strRef>
              <c:f>'地区-消费'!$A$15:$A$23</c:f>
              <c:strCache>
                <c:ptCount val="5"/>
                <c:pt idx="0">
                  <c:v>North America</c:v>
                </c:pt>
                <c:pt idx="1">
                  <c:v>Europe</c:v>
                </c:pt>
                <c:pt idx="2">
                  <c:v>Asia-Pacific</c:v>
                </c:pt>
                <c:pt idx="3">
                  <c:v>South America</c:v>
                </c:pt>
                <c:pt idx="4">
                  <c:v>Middle East and Africa</c:v>
                </c:pt>
              </c:strCache>
            </c:strRef>
          </c:cat>
          <c:val>
            <c:numRef>
              <c:f>'地区-消费'!$D$15:$D$23</c:f>
              <c:numCache>
                <c:formatCode>#,##0_);[Red]\(#,##0\)</c:formatCode>
                <c:ptCount val="5"/>
                <c:pt idx="0">
                  <c:v>788.560785206554</c:v>
                </c:pt>
                <c:pt idx="1">
                  <c:v>161.459534758633</c:v>
                </c:pt>
                <c:pt idx="2">
                  <c:v>536.855582255233</c:v>
                </c:pt>
                <c:pt idx="3">
                  <c:v>291.525213327676</c:v>
                </c:pt>
                <c:pt idx="4">
                  <c:v>628.580997120508</c:v>
                </c:pt>
              </c:numCache>
            </c:numRef>
          </c:val>
        </c:ser>
        <c:dLbls>
          <c:showLegendKey val="0"/>
          <c:showVal val="0"/>
          <c:showCatName val="0"/>
          <c:showSerName val="0"/>
          <c:showPercent val="0"/>
          <c:showBubbleSize val="0"/>
        </c:dLbls>
        <c:gapWidth val="75"/>
        <c:axId val="25844928"/>
        <c:axId val="1875643855"/>
      </c:barChart>
      <c:catAx>
        <c:axId val="25844928"/>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Book Antiqua" panose="02040602050305030304" pitchFamily="1" charset="0"/>
                <a:ea typeface="+mn-ea"/>
                <a:cs typeface="+mn-cs"/>
              </a:defRPr>
            </a:pPr>
          </a:p>
        </c:txPr>
        <c:crossAx val="1875643855"/>
        <c:crosses val="autoZero"/>
        <c:auto val="1"/>
        <c:lblAlgn val="ctr"/>
        <c:lblOffset val="100"/>
        <c:noMultiLvlLbl val="0"/>
      </c:catAx>
      <c:valAx>
        <c:axId val="1875643855"/>
        <c:scaling>
          <c:orientation val="minMax"/>
        </c:scaling>
        <c:delete val="0"/>
        <c:axPos val="l"/>
        <c:majorGridlines>
          <c:spPr>
            <a:ln w="9525" cap="flat" cmpd="sng" algn="ctr">
              <a:noFill/>
              <a:round/>
            </a:ln>
            <a:effectLst/>
          </c:spPr>
        </c:majorGridlines>
        <c:numFmt formatCode="#,##0_);[Red]\(#,##0\)" sourceLinked="1"/>
        <c:majorTickMark val="none"/>
        <c:minorTickMark val="none"/>
        <c:tickLblPos val="nextTo"/>
        <c:spPr>
          <a:noFill/>
          <a:ln>
            <a:noFill/>
          </a:ln>
          <a:effectLst/>
        </c:spPr>
        <c:txPr>
          <a:bodyPr rot="-60000000" spcFirstLastPara="1" vertOverflow="ellipsis" vert="horz" wrap="square" anchor="ctr" anchorCtr="1"/>
          <a:lstStyle/>
          <a:p>
            <a:pPr>
              <a:defRPr lang="zh-CN" sz="900" b="0" i="0" u="none" strike="noStrike" kern="1200" baseline="0">
                <a:solidFill>
                  <a:schemeClr val="tx1">
                    <a:lumMod val="65000"/>
                    <a:lumOff val="35000"/>
                  </a:schemeClr>
                </a:solidFill>
                <a:latin typeface="Book Antiqua" panose="02040602050305030304" pitchFamily="1" charset="0"/>
                <a:ea typeface="+mn-ea"/>
                <a:cs typeface="+mn-cs"/>
              </a:defRPr>
            </a:pPr>
          </a:p>
        </c:txPr>
        <c:crossAx val="25844928"/>
        <c:crosses val="autoZero"/>
        <c:crossBetween val="between"/>
      </c:valAx>
      <c:spPr>
        <a:noFill/>
        <a:ln>
          <a:noFill/>
        </a:ln>
        <a:effectLst/>
      </c:spPr>
    </c:plotArea>
    <c:legend>
      <c:legendPos val="b"/>
      <c:layout/>
      <c:overlay val="0"/>
      <c:spPr>
        <a:noFill/>
        <a:ln>
          <a:noFill/>
        </a:ln>
        <a:effectLst/>
      </c:spPr>
      <c:txPr>
        <a:bodyPr rot="0" spcFirstLastPara="1" vertOverflow="ellipsis" vert="horz" wrap="square" anchor="ctr" anchorCtr="1"/>
        <a:lstStyle/>
        <a:p>
          <a:pPr>
            <a:defRPr lang="zh-CN" sz="900" b="0" i="0" u="none" strike="noStrike" kern="1200" baseline="0">
              <a:solidFill>
                <a:schemeClr val="tx1">
                  <a:lumMod val="65000"/>
                  <a:lumOff val="35000"/>
                </a:schemeClr>
              </a:solidFill>
              <a:latin typeface="Book Antiqua" panose="02040602050305030304" pitchFamily="1" charset="0"/>
              <a:ea typeface="+mn-ea"/>
              <a:cs typeface="+mn-cs"/>
            </a:defRPr>
          </a:pPr>
        </a:p>
      </c:txPr>
    </c:legend>
    <c:plotVisOnly val="1"/>
    <c:dispBlanksAs val="gap"/>
    <c:showDLblsOverMax val="0"/>
  </c:chart>
  <c:spPr>
    <a:solidFill>
      <a:schemeClr val="bg1"/>
    </a:solidFill>
    <a:ln w="9525" cap="flat" cmpd="sng" algn="ctr">
      <a:noFill/>
      <a:round/>
    </a:ln>
    <a:effectLst/>
  </c:spPr>
  <c:txPr>
    <a:bodyPr/>
    <a:lstStyle/>
    <a:p>
      <a:pPr>
        <a:defRPr lang="zh-CN"/>
      </a:pPr>
    </a:p>
  </c:txPr>
  <c:externalData r:id="rId1">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5.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6.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7.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8.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3.xml><?xml version="1.0" encoding="utf-8"?>
<cs:chartStyle xmlns:cs="http://schemas.microsoft.com/office/drawing/2012/chartStyle" xmlns:a="http://schemas.openxmlformats.org/drawingml/2006/main" id="216">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4.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5.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6.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7.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8.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drawings/drawing1.xml><?xml version="1.0" encoding="utf-8"?>
<c:userShapes xmlns:c="http://schemas.openxmlformats.org/drawingml/2006/chart">
  <cdr:relSizeAnchor xmlns:cdr="http://schemas.openxmlformats.org/drawingml/2006/chartDrawing">
    <cdr:from>
      <cdr:x>0.30777</cdr:x>
      <cdr:y>0.14847</cdr:y>
    </cdr:from>
    <cdr:to>
      <cdr:x>0.66484</cdr:x>
      <cdr:y>0.33706</cdr:y>
    </cdr:to>
    <cdr:grpSp>
      <cdr:nvGrpSpPr>
        <cdr:cNvPr id="2" name="组合 1"/>
        <cdr:cNvGrpSpPr/>
      </cdr:nvGrpSpPr>
      <cdr:grpSpPr xmlns:a="http://schemas.openxmlformats.org/drawingml/2006/main">
        <a:xfrm rot="439955">
          <a:off x="1904699" y="436604"/>
          <a:ext cx="2209803" cy="554584"/>
          <a:chOff x="2235203" y="665417"/>
          <a:chExt cx="1530009" cy="566702"/>
        </a:xfrm>
      </cdr:grpSpPr>
      <cdr:cxnSp>
        <cdr:nvCxnSpPr>
          <cdr:cNvPr id="3" name="直接箭头连接符 2"/>
          <cdr:cNvCxnSpPr/>
        </cdr:nvCxnSpPr>
        <cdr:spPr xmlns:a="http://schemas.openxmlformats.org/drawingml/2006/main">
          <a:xfrm xmlns:a="http://schemas.openxmlformats.org/drawingml/2006/main" rot="21160045" flipV="1">
            <a:off x="2235203" y="813592"/>
            <a:ext cx="1530009" cy="418527"/>
          </a:xfrm>
          <a:prstGeom xmlns:a="http://schemas.openxmlformats.org/drawingml/2006/main" prst="straightConnector1">
            <a:avLst/>
          </a:prstGeom>
          <a:ln w="15875">
            <a:solidFill>
              <a:srgbClr val="002060"/>
            </a:solidFill>
            <a:tailEnd type="triangle"/>
          </a:ln>
        </cdr:spPr>
        <cdr:style>
          <a:lnRef xmlns:a="http://schemas.openxmlformats.org/drawingml/2006/main" idx="1">
            <a:schemeClr val="accent1"/>
          </a:lnRef>
          <a:fillRef xmlns:a="http://schemas.openxmlformats.org/drawingml/2006/main" idx="0">
            <a:schemeClr val="accent1"/>
          </a:fillRef>
          <a:effectRef xmlns:a="http://schemas.openxmlformats.org/drawingml/2006/main" idx="0">
            <a:schemeClr val="accent1"/>
          </a:effectRef>
          <a:fontRef xmlns:a="http://schemas.openxmlformats.org/drawingml/2006/main" idx="minor">
            <a:schemeClr val="tx1"/>
          </a:fontRef>
        </cdr:style>
      </cdr:cxnSp>
      <cdr:sp>
        <cdr:nvSpPr>
          <cdr:cNvPr id="4" name="椭圆 3"/>
          <cdr:cNvSpPr/>
        </cdr:nvSpPr>
        <cdr:spPr xmlns:a="http://schemas.openxmlformats.org/drawingml/2006/main">
          <a:xfrm xmlns:a="http://schemas.openxmlformats.org/drawingml/2006/main" rot="20406717">
            <a:off x="2562064" y="665417"/>
            <a:ext cx="618769" cy="376547"/>
          </a:xfrm>
          <a:prstGeom xmlns:a="http://schemas.openxmlformats.org/drawingml/2006/main" prst="ellipse">
            <a:avLst/>
          </a:prstGeom>
          <a:solidFill>
            <a:srgbClr val="FFC000"/>
          </a:solidFill>
          <a:ln w="12700">
            <a:noFill/>
          </a:ln>
        </cdr:spPr>
        <cdr:style>
          <a:lnRef xmlns:a="http://schemas.openxmlformats.org/drawingml/2006/main" idx="2">
            <a:schemeClr val="accent1">
              <a:shade val="15000"/>
            </a:schemeClr>
          </a:lnRef>
          <a:fillRef xmlns:a="http://schemas.openxmlformats.org/drawingml/2006/main" idx="1">
            <a:schemeClr val="accent1"/>
          </a:fillRef>
          <a:effectRef xmlns:a="http://schemas.openxmlformats.org/drawingml/2006/main" idx="0">
            <a:schemeClr val="accent1"/>
          </a:effectRef>
          <a:fontRef xmlns:a="http://schemas.openxmlformats.org/drawingml/2006/main" idx="minor">
            <a:schemeClr val="lt1"/>
          </a:fontRef>
        </cdr:style>
        <cdr:txBody xmlns:a="http://schemas.openxmlformats.org/drawingml/2006/main">
          <a:bodyPr vertOverflow="clip" vert="horz" wrap="none" lIns="45720" tIns="45720" rIns="45720" bIns="45720" anchor="ctr" anchorCtr="0">
            <a:normAutofit/>
          </a:bodyPr>
          <a:lstStyle/>
          <a:p>
            <a:pPr algn="ctr"/>
            <a:r>
              <a:rPr lang="en-US" altLang="zh-CN" baseline="0">
                <a:latin typeface="Book Antiqua" panose="02040602050305030304" pitchFamily="1" charset="0"/>
                <a:ea typeface="宋体" panose="02010600030101010101" charset="-122"/>
              </a:rPr>
              <a:t>3.55%</a:t>
            </a:r>
            <a:endParaRPr lang="zh-CN" baseline="0">
              <a:latin typeface="Book Antiqua" panose="02040602050305030304" pitchFamily="1" charset="0"/>
              <a:ea typeface="宋体" panose="02010600030101010101" charset="-122"/>
            </a:endParaRPr>
          </a:p>
        </cdr:txBody>
      </cdr:sp>
    </cdr:grpSp>
  </cdr:relSizeAnchor>
</c:userShape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word/theme/themeOverride1.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2.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3.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4.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2056"/>
    <customShpInfo spid="_x0000_s2055"/>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F91CD544-EA0C-472D-A74A-212D312A1FDD}">
  <ds:schemaRefs/>
</ds:datastoreItem>
</file>

<file path=docProps/app.xml><?xml version="1.0" encoding="utf-8"?>
<Properties xmlns="http://schemas.openxmlformats.org/officeDocument/2006/extended-properties" xmlns:vt="http://schemas.openxmlformats.org/officeDocument/2006/docPropsVTypes">
  <Template>Normal</Template>
  <Pages>1</Pages>
  <Words>339</Words>
  <Characters>1937</Characters>
  <Lines>16</Lines>
  <Paragraphs>4</Paragraphs>
  <TotalTime>851</TotalTime>
  <ScaleCrop>false</ScaleCrop>
  <LinksUpToDate>false</LinksUpToDate>
  <CharactersWithSpaces>2272</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2021-11-11T07:47:00Z</dcterms:created>
  <dc:creator>yangj</dc:creator>
  <cp:lastModifiedBy>QYResearch创始人</cp:lastModifiedBy>
  <dcterms:modified xsi:type="dcterms:W3CDTF">2024-02-06T08:40:08Z</dcterms:modified>
  <cp:revision>821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C152B1A29A7842FE88202DD101BE2845_13</vt:lpwstr>
  </property>
</Properties>
</file>