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14:paraId="25B761CD">
      <w:pPr>
        <w:rPr>
          <w:rFonts w:ascii="Times New Roman" w:eastAsia="等线" w:hAnsi="Times New Roman" w:cs="Times New Roman"/>
          <w:b/>
          <w:bCs/>
          <w:sz w:val="28"/>
          <w:szCs w:val="28"/>
          <w:lang w:eastAsia="zh-CN"/>
        </w:rPr>
      </w:pPr>
      <w:r>
        <w:rPr>
          <w:rFonts w:ascii="Times New Roman" w:eastAsia="等线" w:hAnsi="Times New Roman" w:cs="Times New Roman"/>
          <w:b/>
          <w:bCs/>
          <w:sz w:val="28"/>
          <w:szCs w:val="28"/>
          <w:lang w:eastAsia="zh-CN"/>
        </w:rPr>
        <w:t>European RF Mixer Market Projected to Reach €579.3 Million by 2031 with 3.2</w:t>
      </w:r>
      <w:r>
        <w:rPr>
          <w:rFonts w:ascii="Times New Roman" w:eastAsia="等线" w:hAnsi="Times New Roman" w:cs="Times New Roman" w:hint="eastAsia"/>
          <w:b/>
          <w:bCs/>
          <w:sz w:val="28"/>
          <w:szCs w:val="28"/>
          <w:lang w:eastAsia="zh-CN"/>
        </w:rPr>
        <w:t>%</w:t>
      </w:r>
      <w:r>
        <w:rPr>
          <w:rFonts w:ascii="Times New Roman" w:eastAsia="等线" w:hAnsi="Times New Roman" w:cs="Times New Roman"/>
          <w:b/>
          <w:bCs/>
          <w:sz w:val="28"/>
          <w:szCs w:val="28"/>
          <w:lang w:eastAsia="zh-CN"/>
        </w:rPr>
        <w:t xml:space="preserve"> CAGR</w:t>
      </w:r>
    </w:p>
    <w:p w14:paraId="072FAC2D">
      <w:pPr>
        <w:rPr>
          <w:rFonts w:eastAsia="等线"/>
          <w:lang w:eastAsia="zh-CN"/>
        </w:rPr>
      </w:pPr>
    </w:p>
    <w:p w14:paraId="4AECDE63">
      <w:pPr>
        <w:rPr>
          <w:rFonts w:ascii="Times New Roman" w:eastAsia="等线" w:hAnsi="Times New Roman" w:cs="Times New Roman"/>
          <w:b/>
          <w:bCs/>
          <w:i/>
          <w:iCs/>
          <w:lang w:eastAsia="zh-CN"/>
        </w:rPr>
      </w:pPr>
      <w:r>
        <w:rPr>
          <w:rFonts w:ascii="Times New Roman" w:eastAsia="等线" w:hAnsi="Times New Roman" w:cs="Times New Roman"/>
          <w:b/>
          <w:bCs/>
          <w:i/>
          <w:iCs/>
          <w:lang w:eastAsia="zh-CN"/>
        </w:rPr>
        <w:t>Porto, Portugal—</w:t>
      </w:r>
      <w:r>
        <w:rPr>
          <w:rFonts w:ascii="Times New Roman" w:eastAsia="等线" w:hAnsi="Times New Roman" w:cs="Times New Roman" w:hint="eastAsia"/>
          <w:b/>
          <w:bCs/>
          <w:i/>
          <w:iCs/>
          <w:lang w:eastAsia="zh-CN"/>
        </w:rPr>
        <w:t>January 7, 2025</w:t>
      </w:r>
    </w:p>
    <w:p w14:paraId="7C1C63F6">
      <w:pPr>
        <w:rPr>
          <w:rFonts w:ascii="Times New Roman" w:eastAsia="等线" w:hAnsi="Times New Roman" w:cs="Times New Roman"/>
          <w:b/>
          <w:bCs/>
          <w:i/>
          <w:iCs/>
          <w:lang w:eastAsia="zh-CN"/>
        </w:rPr>
      </w:pPr>
    </w:p>
    <w:p w14:paraId="6833D910">
      <w:pPr>
        <w:rPr>
          <w:rFonts w:ascii="宋体" w:eastAsia="宋体" w:hAnsi="宋体" w:cs="宋体"/>
          <w:szCs w:val="24"/>
        </w:rPr>
      </w:pPr>
      <w:r>
        <w:rPr>
          <w:rFonts w:ascii="宋体" w:eastAsia="宋体" w:hAnsi="宋体" w:cs="宋体"/>
          <w:szCs w:val="24"/>
        </w:rPr>
        <w:drawing>
          <wp:inline distT="0" distB="0" distL="114300" distR="114300">
            <wp:extent cx="5234305" cy="2842260"/>
            <wp:effectExtent l="0" t="0" r="10795" b="254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xmlns:r="http://schemas.openxmlformats.org/officeDocument/2006/relationships" r:embed="rId5"/>
                    <a:srcRect t="22393" b="23307"/>
                    <a:stretch>
                      <a:fillRect/>
                    </a:stretch>
                  </pic:blipFill>
                  <pic:spPr>
                    <a:xfrm>
                      <a:off x="0" y="0"/>
                      <a:ext cx="5234305" cy="2842260"/>
                    </a:xfrm>
                    <a:prstGeom prst="rect">
                      <a:avLst/>
                    </a:prstGeom>
                    <a:noFill/>
                    <a:ln w="9525">
                      <a:noFill/>
                    </a:ln>
                  </pic:spPr>
                </pic:pic>
              </a:graphicData>
            </a:graphic>
          </wp:inline>
        </w:drawing>
      </w:r>
    </w:p>
    <w:p w14:paraId="281B2F07">
      <w:pPr>
        <w:rPr>
          <w:rFonts w:ascii="Times New Roman" w:eastAsia="等线" w:hAnsi="Times New Roman" w:cs="Times New Roman"/>
          <w:lang w:eastAsia="zh-CN"/>
        </w:rPr>
      </w:pPr>
    </w:p>
    <w:p w14:paraId="35E7EED1">
      <w:pPr>
        <w:rPr>
          <w:rFonts w:ascii="宋体" w:eastAsia="宋体" w:hAnsi="宋体" w:cs="宋体"/>
          <w:szCs w:val="24"/>
          <w:lang w:eastAsia="zh-CN"/>
        </w:rPr>
      </w:pPr>
    </w:p>
    <w:p w14:paraId="1DC1A883">
      <w:pPr>
        <w:pStyle w:val="ListParagraph"/>
        <w:numPr>
          <w:ilvl w:val="0"/>
          <w:numId w:val="1"/>
        </w:numPr>
        <w:ind w:leftChars="0"/>
        <w:rPr>
          <w:rFonts w:eastAsia="等线"/>
          <w:b/>
          <w:bCs/>
          <w:lang w:eastAsia="zh-CN"/>
        </w:rPr>
      </w:pPr>
      <w:r>
        <w:rPr>
          <w:rFonts w:eastAsia="等线" w:hint="eastAsia"/>
          <w:b/>
          <w:bCs/>
          <w:lang w:eastAsia="zh-CN"/>
        </w:rPr>
        <w:t>European</w:t>
      </w:r>
      <w:r>
        <w:rPr>
          <w:rFonts w:eastAsia="等线"/>
          <w:b/>
          <w:bCs/>
          <w:lang w:eastAsia="zh-CN"/>
        </w:rPr>
        <w:t xml:space="preserve"> </w:t>
      </w:r>
      <w:r>
        <w:rPr>
          <w:rFonts w:eastAsia="等线" w:hint="eastAsia"/>
          <w:b/>
          <w:bCs/>
          <w:lang w:eastAsia="zh-CN"/>
        </w:rPr>
        <w:t>RF Mixer</w:t>
      </w:r>
      <w:r>
        <w:rPr>
          <w:rFonts w:eastAsia="等线"/>
          <w:b/>
          <w:bCs/>
          <w:lang w:eastAsia="zh-CN"/>
        </w:rPr>
        <w:t xml:space="preserve"> Market </w:t>
      </w:r>
    </w:p>
    <w:p w14:paraId="296A623D">
      <w:pPr>
        <w:pStyle w:val="NormalWeb"/>
        <w:widowControl/>
      </w:pPr>
      <w:r>
        <w:t>According to a recent QY Research report, NXP Semiconductors continues to solidify its position in the European RF Mixer market through strategic collaborations and advancements in radar technology. In December 2024, NXP announced a partnership with South Korean startup bitsensing to develop cutting-edge radar systems for automotive applications. This collaboration integrates NXP's radar chips with bitsensing's hardware and software solutions, enhancing the safety and performance features of modern vehicles. This move reflects NXP's commitment to leveraging its expertise in semiconductors to meet the growing demand for advanced automotive safety technologies in Europe and beyond.</w:t>
      </w:r>
    </w:p>
    <w:p w14:paraId="71477DEC">
      <w:pPr>
        <w:pStyle w:val="NormalWeb"/>
        <w:widowControl/>
        <w:rPr>
          <w:rFonts w:eastAsia="等线"/>
        </w:rPr>
      </w:pPr>
      <w:r>
        <w:t xml:space="preserve">United Monolithic Semiconductors (UMS) has also been making significant strides in the European RF Mixer market, focusing on expanding access to its high-performance technologies. In July 2023, UMS collaborated with Fraunhofer IIS to broaden the reach of its Gallium Nitride (GaN) and Gallium Arsenide (GaAs) technologies through the EUROPRACTICE platform. This initiative allows EUROPRACTICE customers to utilize UMS's advanced RF and microwave Monolithic Microwave Integrated Circuit (MMIC) processes, fostering innovation in RF and </w:t>
      </w:r>
      <w:r>
        <w:drawing>
          <wp:anchor distT="0" distB="0" distL="114300" distR="114300" simplePos="0" relativeHeight="251658240" behindDoc="0" locked="0" layoutInCell="1" allowOverlap="1">
            <wp:simplePos x="0" y="0"/>
            <wp:positionH relativeFrom="column">
              <wp:posOffset>1082675</wp:posOffset>
            </wp:positionH>
            <wp:positionV relativeFrom="paragraph">
              <wp:posOffset>815975</wp:posOffset>
            </wp:positionV>
            <wp:extent cx="4539615" cy="361442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xmlns:r="http://schemas.openxmlformats.org/officeDocument/2006/relationships" r:embed="rId6"/>
                    <a:srcRect l="2196" t="7541" r="-2196" b="8950"/>
                    <a:stretch>
                      <a:fillRect/>
                    </a:stretch>
                  </pic:blipFill>
                  <pic:spPr>
                    <a:xfrm>
                      <a:off x="0" y="0"/>
                      <a:ext cx="4539615" cy="3614420"/>
                    </a:xfrm>
                    <a:prstGeom prst="rect">
                      <a:avLst/>
                    </a:prstGeom>
                  </pic:spPr>
                </pic:pic>
              </a:graphicData>
            </a:graphic>
          </wp:anchor>
        </w:drawing>
      </w:r>
      <w:r>
        <w:t>microwave applications. The partnership highlights UMS's role in supporting European technological development and maintaining competitiveness in the global RF market.</w:t>
      </w:r>
    </w:p>
    <w:p w14:paraId="5EB6B6AD">
      <w:pPr>
        <w:rPr>
          <w:rFonts w:eastAsia="等线"/>
          <w:lang w:eastAsia="zh-CN"/>
        </w:rPr>
      </w:pPr>
      <w:r>
        <mc:AlternateContent>
          <mc:Choice Requires="wps">
            <w:drawing>
              <wp:anchor distT="0" distB="0" distL="114300" distR="114300" simplePos="0" relativeHeight="251659264" behindDoc="0" locked="0" layoutInCell="1" allowOverlap="1">
                <wp:simplePos x="0" y="0"/>
                <wp:positionH relativeFrom="column">
                  <wp:posOffset>2000250</wp:posOffset>
                </wp:positionH>
                <wp:positionV relativeFrom="paragraph">
                  <wp:posOffset>3620770</wp:posOffset>
                </wp:positionV>
                <wp:extent cx="2941320" cy="635"/>
                <wp:effectExtent l="0" t="0" r="0" b="0"/>
                <wp:wrapSquare wrapText="bothSides"/>
                <wp:docPr id="1101237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941320" cy="635"/>
                        </a:xfrm>
                        <a:prstGeom prst="rect">
                          <a:avLst/>
                        </a:prstGeom>
                        <a:solidFill>
                          <a:prstClr val="white"/>
                        </a:solidFill>
                        <a:ln>
                          <a:noFill/>
                        </a:ln>
                      </wps:spPr>
                      <wps:txbx>
                        <w:txbxContent>
                          <w:p>
                            <w:pPr>
                              <w:pStyle w:val="Caption"/>
                              <w:rPr>
                                <w:rFonts w:cs="Times New Roman"/>
                                <w:kern w:val="0"/>
                                <w:lang w:eastAsia="zh-CN"/>
                              </w:rPr>
                            </w:pPr>
                            <w:r>
                              <w:t>European RF Mixer Market Size (€ Million), 2025-2031</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5" type="#_x0000_t202" style="width:231.6pt;height:0.05pt;margin-top:285.1pt;margin-left:157.5pt;mso-height-relative:page;mso-width-relative:page;mso-wrap-distance-bottom:0;mso-wrap-distance-left:9pt;mso-wrap-distance-right:9pt;mso-wrap-distance-top:0;position:absolute;z-index:251660288" coordsize="21600,21600" filled="t" fillcolor="white" stroked="f">
                <o:lock v:ext="edit" aspectratio="f"/>
                <v:textbox style="mso-fit-shape-to-text:t" inset="0,0,0,0">
                  <w:txbxContent>
                    <w:p w14:paraId="3C092814">
                      <w:pPr>
                        <w:pStyle w:val="Caption"/>
                        <w:rPr>
                          <w:rFonts w:cs="Times New Roman"/>
                          <w:kern w:val="0"/>
                          <w:lang w:eastAsia="zh-CN"/>
                        </w:rPr>
                      </w:pPr>
                      <w:r>
                        <w:t>European RF Mixer Market Size (€ Million), 2025-2031</w:t>
                      </w:r>
                    </w:p>
                  </w:txbxContent>
                </v:textbox>
                <w10:wrap type="square"/>
              </v:shape>
            </w:pict>
          </mc:Fallback>
        </mc:AlternateContent>
      </w:r>
      <w:r>
        <w:rPr>
          <w:rFonts w:eastAsia="等线"/>
          <w:lang w:eastAsia="zh-CN"/>
        </w:rPr>
        <w:t xml:space="preserve">The </w:t>
      </w:r>
      <w:r>
        <w:rPr>
          <w:rFonts w:eastAsia="等线" w:hint="eastAsia"/>
          <w:lang w:eastAsia="zh-CN"/>
        </w:rPr>
        <w:t>European</w:t>
      </w:r>
      <w:r>
        <w:rPr>
          <w:rFonts w:eastAsia="等线"/>
          <w:lang w:eastAsia="zh-CN"/>
        </w:rPr>
        <w:t xml:space="preserve"> market for RF Mixer was estimated to be worth </w:t>
      </w:r>
      <w:r>
        <w:rPr>
          <w:rFonts w:eastAsia="等线" w:hint="eastAsia"/>
          <w:lang w:eastAsia="zh-CN"/>
        </w:rPr>
        <w:t>€46</w:t>
      </w:r>
      <w:r>
        <w:rPr>
          <w:rFonts w:eastAsia="等线"/>
          <w:lang w:eastAsia="zh-CN"/>
        </w:rPr>
        <w:t>4</w:t>
      </w:r>
      <w:r>
        <w:rPr>
          <w:rFonts w:eastAsia="等线" w:hint="eastAsia"/>
          <w:lang w:eastAsia="zh-CN"/>
        </w:rPr>
        <w:t>.7</w:t>
      </w:r>
      <w:r>
        <w:rPr>
          <w:rFonts w:eastAsia="等线"/>
          <w:lang w:eastAsia="zh-CN"/>
        </w:rPr>
        <w:t xml:space="preserve"> million in 2024 and is forecast to a readjusted size of </w:t>
      </w:r>
      <w:r>
        <w:rPr>
          <w:rFonts w:eastAsia="等线" w:hint="eastAsia"/>
          <w:lang w:eastAsia="zh-CN"/>
        </w:rPr>
        <w:t>€579.3</w:t>
      </w:r>
      <w:r>
        <w:rPr>
          <w:rFonts w:eastAsia="等线"/>
          <w:lang w:eastAsia="zh-CN"/>
        </w:rPr>
        <w:t xml:space="preserve"> million by 2031 with a CAGR of 3.2% during the forecast period 2025-2031.</w:t>
      </w:r>
    </w:p>
    <w:p w14:paraId="228AF313">
      <w:pPr>
        <w:rPr>
          <w:rFonts w:ascii="Times New Roman" w:eastAsia="等线" w:hAnsi="Times New Roman" w:cs="Times New Roman"/>
          <w:lang w:eastAsia="zh-CN"/>
        </w:rPr>
      </w:pPr>
    </w:p>
    <w:p w14:paraId="479BECC7">
      <w:pPr>
        <w:rPr>
          <w:rFonts w:ascii="Times New Roman" w:eastAsia="等线" w:hAnsi="Times New Roman" w:cs="Times New Roman"/>
          <w:lang w:eastAsia="zh-CN"/>
        </w:rPr>
      </w:pPr>
    </w:p>
    <w:p w14:paraId="43D77612">
      <w:pPr>
        <w:pStyle w:val="ListParagraph"/>
        <w:ind w:left="0" w:leftChars="0"/>
        <w:rPr>
          <w:rFonts w:eastAsia="等线"/>
          <w:lang w:eastAsia="zh-CN"/>
        </w:rPr>
      </w:pPr>
    </w:p>
    <w:p w14:paraId="3BD959F8">
      <w:pPr>
        <w:pStyle w:val="ListParagraph"/>
        <w:numPr>
          <w:ilvl w:val="0"/>
          <w:numId w:val="1"/>
        </w:numPr>
        <w:ind w:leftChars="0"/>
        <w:rPr>
          <w:rFonts w:eastAsia="等线"/>
          <w:b/>
          <w:bCs/>
          <w:lang w:eastAsia="zh-CN"/>
        </w:rPr>
      </w:pPr>
      <w:r>
        <w:rPr>
          <w:rFonts w:eastAsia="等线" w:hint="eastAsia"/>
          <w:b/>
          <w:bCs/>
          <w:lang w:eastAsia="zh-CN"/>
        </w:rPr>
        <w:t>European</w:t>
      </w:r>
      <w:r>
        <w:rPr>
          <w:rFonts w:eastAsia="等线"/>
          <w:b/>
          <w:bCs/>
          <w:lang w:eastAsia="zh-CN"/>
        </w:rPr>
        <w:t xml:space="preserve"> </w:t>
      </w:r>
      <w:r>
        <w:rPr>
          <w:rFonts w:eastAsia="等线" w:hint="eastAsia"/>
          <w:b/>
          <w:bCs/>
          <w:lang w:eastAsia="zh-CN"/>
        </w:rPr>
        <w:t xml:space="preserve">RF Mixer </w:t>
      </w:r>
      <w:r>
        <w:rPr>
          <w:rFonts w:eastAsia="等线"/>
          <w:b/>
          <w:bCs/>
          <w:lang w:eastAsia="zh-CN"/>
        </w:rPr>
        <w:t>Top 2</w:t>
      </w:r>
      <w:r>
        <w:rPr>
          <w:rFonts w:eastAsia="等线" w:hint="eastAsia"/>
          <w:b/>
          <w:bCs/>
          <w:lang w:eastAsia="zh-CN"/>
        </w:rPr>
        <w:t>0</w:t>
      </w:r>
      <w:r>
        <w:rPr>
          <w:rFonts w:eastAsia="等线"/>
          <w:b/>
          <w:bCs/>
          <w:lang w:eastAsia="zh-CN"/>
        </w:rPr>
        <w:t xml:space="preserve"> Players Ranking and Market Share (Ranking is based on the revenue of 202</w:t>
      </w:r>
      <w:r>
        <w:rPr>
          <w:rFonts w:eastAsia="等线" w:hint="eastAsia"/>
          <w:b/>
          <w:bCs/>
          <w:lang w:eastAsia="zh-CN"/>
        </w:rPr>
        <w:t>4</w:t>
      </w:r>
      <w:r>
        <w:rPr>
          <w:rFonts w:eastAsia="等线"/>
          <w:b/>
          <w:bCs/>
          <w:lang w:eastAsia="zh-CN"/>
        </w:rPr>
        <w:t>, continually updated)</w:t>
      </w:r>
    </w:p>
    <w:p w14:paraId="1C5D593C">
      <w:pPr>
        <w:widowControl/>
      </w:pPr>
      <w:r>
        <w:rPr>
          <w:rFonts w:ascii="Symbol" w:eastAsia="Symbol" w:hAnsi="Symbol" w:cs="Symbol"/>
        </w:rPr>
        <w:t>·</w:t>
      </w:r>
      <w:r>
        <w:rPr>
          <w:rFonts w:ascii="宋体" w:eastAsia="宋体" w:hAnsi="宋体" w:cs="宋体" w:hint="eastAsia"/>
        </w:rPr>
        <w:t xml:space="preserve">  </w:t>
      </w:r>
      <w:r>
        <w:rPr>
          <w:rStyle w:val="Strong"/>
        </w:rPr>
        <w:t>Mini Circuits</w:t>
      </w:r>
      <w:r>
        <w:t xml:space="preserve"> (United States)</w:t>
      </w:r>
    </w:p>
    <w:p w14:paraId="443519FB">
      <w:pPr>
        <w:widowControl/>
      </w:pPr>
      <w:r>
        <w:rPr>
          <w:rFonts w:ascii="Symbol" w:eastAsia="Symbol" w:hAnsi="Symbol" w:cs="Symbol"/>
        </w:rPr>
        <w:t>·</w:t>
      </w:r>
      <w:r>
        <w:rPr>
          <w:rFonts w:ascii="宋体" w:eastAsia="宋体" w:hAnsi="宋体" w:cs="宋体" w:hint="eastAsia"/>
        </w:rPr>
        <w:t xml:space="preserve">  </w:t>
      </w:r>
      <w:r>
        <w:rPr>
          <w:rStyle w:val="Strong"/>
        </w:rPr>
        <w:t>Qorvo</w:t>
      </w:r>
      <w:r>
        <w:t xml:space="preserve"> (United States)</w:t>
      </w:r>
    </w:p>
    <w:p w14:paraId="44327B17">
      <w:pPr>
        <w:widowControl/>
      </w:pPr>
      <w:r>
        <w:rPr>
          <w:rFonts w:ascii="Symbol" w:eastAsia="Symbol" w:hAnsi="Symbol" w:cs="Symbol"/>
        </w:rPr>
        <w:t>·</w:t>
      </w:r>
      <w:r>
        <w:rPr>
          <w:rFonts w:ascii="宋体" w:eastAsia="宋体" w:hAnsi="宋体" w:cs="宋体" w:hint="eastAsia"/>
        </w:rPr>
        <w:t xml:space="preserve">  </w:t>
      </w:r>
      <w:r>
        <w:rPr>
          <w:rStyle w:val="Strong"/>
        </w:rPr>
        <w:t>Analog Devices</w:t>
      </w:r>
      <w:r>
        <w:t xml:space="preserve"> (United States)</w:t>
      </w:r>
    </w:p>
    <w:p w14:paraId="5FA8F114">
      <w:pPr>
        <w:widowControl/>
      </w:pPr>
      <w:r>
        <w:rPr>
          <w:rFonts w:ascii="Symbol" w:eastAsia="Symbol" w:hAnsi="Symbol" w:cs="Symbol"/>
        </w:rPr>
        <w:t>·</w:t>
      </w:r>
      <w:r>
        <w:rPr>
          <w:rFonts w:ascii="宋体" w:eastAsia="宋体" w:hAnsi="宋体" w:cs="宋体" w:hint="eastAsia"/>
        </w:rPr>
        <w:t xml:space="preserve">  </w:t>
      </w:r>
      <w:r>
        <w:rPr>
          <w:rStyle w:val="Strong"/>
        </w:rPr>
        <w:t>Marki Microwave</w:t>
      </w:r>
      <w:r>
        <w:t xml:space="preserve"> (United States)</w:t>
      </w:r>
    </w:p>
    <w:p w14:paraId="6F35704B">
      <w:pPr>
        <w:widowControl/>
      </w:pPr>
      <w:r>
        <w:rPr>
          <w:rFonts w:ascii="Symbol" w:eastAsia="Symbol" w:hAnsi="Symbol" w:cs="Symbol"/>
        </w:rPr>
        <w:t>·</w:t>
      </w:r>
      <w:r>
        <w:rPr>
          <w:rFonts w:ascii="宋体" w:eastAsia="宋体" w:hAnsi="宋体" w:cs="宋体" w:hint="eastAsia"/>
        </w:rPr>
        <w:t xml:space="preserve">  </w:t>
      </w:r>
      <w:r>
        <w:rPr>
          <w:rStyle w:val="Strong"/>
        </w:rPr>
        <w:t>Skyworks Solutions</w:t>
      </w:r>
      <w:r>
        <w:t xml:space="preserve"> (United States)</w:t>
      </w:r>
    </w:p>
    <w:p w14:paraId="7021D9E4">
      <w:pPr>
        <w:widowControl/>
      </w:pPr>
      <w:r>
        <w:rPr>
          <w:rFonts w:ascii="Symbol" w:eastAsia="Symbol" w:hAnsi="Symbol" w:cs="Symbol"/>
        </w:rPr>
        <w:t>·</w:t>
      </w:r>
      <w:r>
        <w:rPr>
          <w:rFonts w:ascii="宋体" w:eastAsia="宋体" w:hAnsi="宋体" w:cs="宋体" w:hint="eastAsia"/>
        </w:rPr>
        <w:t xml:space="preserve">  </w:t>
      </w:r>
      <w:r>
        <w:rPr>
          <w:rStyle w:val="Strong"/>
        </w:rPr>
        <w:t>NXP Semiconductors</w:t>
      </w:r>
      <w:r>
        <w:t xml:space="preserve"> (Netherlands)</w:t>
      </w:r>
    </w:p>
    <w:p w14:paraId="5DB0E85A">
      <w:pPr>
        <w:widowControl/>
      </w:pPr>
      <w:r>
        <w:rPr>
          <w:rFonts w:ascii="Symbol" w:eastAsia="Symbol" w:hAnsi="Symbol" w:cs="Symbol"/>
        </w:rPr>
        <w:t>·</w:t>
      </w:r>
      <w:r>
        <w:rPr>
          <w:rFonts w:ascii="宋体" w:eastAsia="宋体" w:hAnsi="宋体" w:cs="宋体" w:hint="eastAsia"/>
        </w:rPr>
        <w:t xml:space="preserve">  </w:t>
      </w:r>
      <w:r>
        <w:rPr>
          <w:rStyle w:val="Strong"/>
        </w:rPr>
        <w:t>Texas Instruments</w:t>
      </w:r>
      <w:r>
        <w:t xml:space="preserve"> (United States)</w:t>
      </w:r>
    </w:p>
    <w:p w14:paraId="66CEAD85">
      <w:pPr>
        <w:widowControl/>
      </w:pPr>
      <w:r>
        <w:rPr>
          <w:rFonts w:ascii="Symbol" w:eastAsia="Symbol" w:hAnsi="Symbol" w:cs="Symbol"/>
        </w:rPr>
        <w:t>·</w:t>
      </w:r>
      <w:r>
        <w:rPr>
          <w:rFonts w:ascii="宋体" w:eastAsia="宋体" w:hAnsi="宋体" w:cs="宋体" w:hint="eastAsia"/>
        </w:rPr>
        <w:t xml:space="preserve">  </w:t>
      </w:r>
      <w:r>
        <w:rPr>
          <w:rStyle w:val="Strong"/>
        </w:rPr>
        <w:t>Mercury Systems</w:t>
      </w:r>
      <w:r>
        <w:t xml:space="preserve"> (United States)</w:t>
      </w:r>
    </w:p>
    <w:p w14:paraId="21E3A594">
      <w:pPr>
        <w:widowControl/>
      </w:pPr>
      <w:r>
        <w:rPr>
          <w:rFonts w:ascii="Symbol" w:eastAsia="Symbol" w:hAnsi="Symbol" w:cs="Symbol"/>
        </w:rPr>
        <w:t>·</w:t>
      </w:r>
      <w:r>
        <w:rPr>
          <w:rFonts w:ascii="宋体" w:eastAsia="宋体" w:hAnsi="宋体" w:cs="宋体" w:hint="eastAsia"/>
        </w:rPr>
        <w:t xml:space="preserve">  </w:t>
      </w:r>
      <w:r>
        <w:rPr>
          <w:rStyle w:val="Strong"/>
        </w:rPr>
        <w:t>Peregrine Semiconductor</w:t>
      </w:r>
      <w:r>
        <w:t xml:space="preserve"> (United States)</w:t>
      </w:r>
    </w:p>
    <w:p w14:paraId="3553E593">
      <w:pPr>
        <w:widowControl/>
      </w:pPr>
      <w:r>
        <w:rPr>
          <w:rFonts w:ascii="Symbol" w:eastAsia="Symbol" w:hAnsi="Symbol" w:cs="Symbol"/>
        </w:rPr>
        <w:t>·</w:t>
      </w:r>
      <w:r>
        <w:rPr>
          <w:rFonts w:ascii="宋体" w:eastAsia="宋体" w:hAnsi="宋体" w:cs="宋体" w:hint="eastAsia"/>
        </w:rPr>
        <w:t xml:space="preserve">  </w:t>
      </w:r>
      <w:r>
        <w:rPr>
          <w:rStyle w:val="Strong"/>
        </w:rPr>
        <w:t>L3 Narda-MITEQ</w:t>
      </w:r>
      <w:r>
        <w:t xml:space="preserve"> (United States)</w:t>
      </w:r>
    </w:p>
    <w:p w14:paraId="6E9B04D4">
      <w:pPr>
        <w:widowControl/>
      </w:pPr>
      <w:r>
        <w:rPr>
          <w:rFonts w:ascii="Symbol" w:eastAsia="Symbol" w:hAnsi="Symbol" w:cs="Symbol"/>
        </w:rPr>
        <w:t>·</w:t>
      </w:r>
      <w:r>
        <w:rPr>
          <w:rFonts w:ascii="宋体" w:eastAsia="宋体" w:hAnsi="宋体" w:cs="宋体" w:hint="eastAsia"/>
        </w:rPr>
        <w:t xml:space="preserve">  </w:t>
      </w:r>
      <w:r>
        <w:rPr>
          <w:rStyle w:val="Strong"/>
        </w:rPr>
        <w:t>Maxim Integrated</w:t>
      </w:r>
      <w:r>
        <w:t xml:space="preserve"> (United States)</w:t>
      </w:r>
    </w:p>
    <w:p w14:paraId="4C151D58">
      <w:pPr>
        <w:widowControl/>
      </w:pPr>
      <w:r>
        <w:rPr>
          <w:rFonts w:ascii="Symbol" w:eastAsia="Symbol" w:hAnsi="Symbol" w:cs="Symbol"/>
        </w:rPr>
        <w:t>·</w:t>
      </w:r>
      <w:r>
        <w:rPr>
          <w:rFonts w:ascii="宋体" w:eastAsia="宋体" w:hAnsi="宋体" w:cs="宋体" w:hint="eastAsia"/>
        </w:rPr>
        <w:t xml:space="preserve">  </w:t>
      </w:r>
      <w:r>
        <w:rPr>
          <w:rStyle w:val="Strong"/>
        </w:rPr>
        <w:t>Anaren</w:t>
      </w:r>
      <w:r>
        <w:t xml:space="preserve"> (United States)</w:t>
      </w:r>
    </w:p>
    <w:p w14:paraId="61139B33">
      <w:pPr>
        <w:widowControl/>
      </w:pPr>
      <w:r>
        <w:rPr>
          <w:rFonts w:ascii="Symbol" w:eastAsia="Symbol" w:hAnsi="Symbol" w:cs="Symbol"/>
        </w:rPr>
        <w:t>·</w:t>
      </w:r>
      <w:r>
        <w:rPr>
          <w:rFonts w:ascii="宋体" w:eastAsia="宋体" w:hAnsi="宋体" w:cs="宋体" w:hint="eastAsia"/>
        </w:rPr>
        <w:t xml:space="preserve">  </w:t>
      </w:r>
      <w:r>
        <w:rPr>
          <w:rStyle w:val="Strong"/>
        </w:rPr>
        <w:t>UMS (United Monolithic Semiconductors)</w:t>
      </w:r>
      <w:r>
        <w:t xml:space="preserve"> (France)</w:t>
      </w:r>
    </w:p>
    <w:p w14:paraId="4835D263">
      <w:pPr>
        <w:widowControl/>
      </w:pPr>
      <w:r>
        <w:rPr>
          <w:rFonts w:ascii="Symbol" w:eastAsia="Symbol" w:hAnsi="Symbol" w:cs="Symbol"/>
        </w:rPr>
        <w:t>·</w:t>
      </w:r>
      <w:r>
        <w:rPr>
          <w:rFonts w:ascii="宋体" w:eastAsia="宋体" w:hAnsi="宋体" w:cs="宋体" w:hint="eastAsia"/>
        </w:rPr>
        <w:t xml:space="preserve">  </w:t>
      </w:r>
      <w:r>
        <w:rPr>
          <w:rStyle w:val="Strong"/>
        </w:rPr>
        <w:t>MACOM Technology Solutions</w:t>
      </w:r>
      <w:r>
        <w:t xml:space="preserve"> (United States)</w:t>
      </w:r>
    </w:p>
    <w:p w14:paraId="53D4F828">
      <w:pPr>
        <w:widowControl/>
      </w:pPr>
      <w:r>
        <w:rPr>
          <w:rFonts w:ascii="Symbol" w:eastAsia="Symbol" w:hAnsi="Symbol" w:cs="Symbol"/>
        </w:rPr>
        <w:t>·</w:t>
      </w:r>
      <w:r>
        <w:rPr>
          <w:rFonts w:ascii="宋体" w:eastAsia="宋体" w:hAnsi="宋体" w:cs="宋体" w:hint="eastAsia"/>
        </w:rPr>
        <w:t xml:space="preserve">  </w:t>
      </w:r>
      <w:r>
        <w:rPr>
          <w:rStyle w:val="Strong"/>
        </w:rPr>
        <w:t>Renesas Electronics Corporation</w:t>
      </w:r>
      <w:r>
        <w:t xml:space="preserve"> (Japan)</w:t>
      </w:r>
    </w:p>
    <w:p w14:paraId="2C40E85B">
      <w:pPr>
        <w:rPr>
          <w:rFonts w:eastAsia="等线"/>
          <w:lang w:eastAsia="zh-CN"/>
        </w:rPr>
      </w:pPr>
      <w:r>
        <w:drawing>
          <wp:inline distT="0" distB="0" distL="114300" distR="114300">
            <wp:extent cx="5238115" cy="3311525"/>
            <wp:effectExtent l="0" t="0" r="6985"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xmlns:r="http://schemas.openxmlformats.org/officeDocument/2006/relationships" r:embed="rId7"/>
                    <a:srcRect l="7486" t="10850" r="10523" b="14599"/>
                    <a:stretch>
                      <a:fillRect/>
                    </a:stretch>
                  </pic:blipFill>
                  <pic:spPr>
                    <a:xfrm>
                      <a:off x="0" y="0"/>
                      <a:ext cx="5238115" cy="3311525"/>
                    </a:xfrm>
                    <a:prstGeom prst="rect">
                      <a:avLst/>
                    </a:prstGeom>
                  </pic:spPr>
                </pic:pic>
              </a:graphicData>
            </a:graphic>
          </wp:inline>
        </w:drawing>
      </w:r>
    </w:p>
    <w:p w14:paraId="511EAC05">
      <w:pPr>
        <w:rPr>
          <w:rFonts w:eastAsia="等线"/>
          <w:lang w:eastAsia="zh-CN"/>
        </w:rPr>
      </w:pPr>
      <w:hyperlink r:id="rId8" w:history="1"/>
    </w:p>
    <w:p w14:paraId="20BA282A">
      <w:pPr>
        <w:rPr>
          <w:rFonts w:eastAsia="等线"/>
          <w:lang w:eastAsia="zh-CN"/>
        </w:rPr>
      </w:pPr>
    </w:p>
    <w:p w14:paraId="20A39FC3">
      <w:pPr>
        <w:rPr>
          <w:rFonts w:eastAsia="等线"/>
          <w:b/>
          <w:bCs/>
          <w:lang w:eastAsia="zh-CN"/>
        </w:rPr>
      </w:pPr>
      <w:r>
        <w:rPr>
          <w:rFonts w:eastAsia="等线" w:hint="eastAsia"/>
          <w:b/>
          <w:bCs/>
          <w:lang w:eastAsia="zh-CN"/>
        </w:rPr>
        <w:t>3.</w:t>
      </w:r>
      <w:r>
        <w:rPr>
          <w:b/>
          <w:bCs/>
        </w:rPr>
        <w:t xml:space="preserve"> </w:t>
      </w:r>
      <w:r>
        <w:rPr>
          <w:rFonts w:eastAsia="等线" w:hint="eastAsia"/>
          <w:b/>
          <w:bCs/>
          <w:lang w:eastAsia="zh-CN"/>
        </w:rPr>
        <w:t xml:space="preserve">  RF Mixer</w:t>
      </w:r>
      <w:r>
        <w:rPr>
          <w:rFonts w:eastAsia="等线"/>
          <w:b/>
          <w:bCs/>
          <w:lang w:eastAsia="zh-CN"/>
        </w:rPr>
        <w:t xml:space="preserve">, </w:t>
      </w:r>
      <w:r>
        <w:rPr>
          <w:rFonts w:eastAsia="等线" w:hint="eastAsia"/>
          <w:b/>
          <w:bCs/>
          <w:lang w:eastAsia="zh-CN"/>
        </w:rPr>
        <w:t>European</w:t>
      </w:r>
      <w:r>
        <w:rPr>
          <w:rFonts w:eastAsia="等线"/>
          <w:b/>
          <w:bCs/>
          <w:lang w:eastAsia="zh-CN"/>
        </w:rPr>
        <w:t xml:space="preserve"> Market Size, Split by Region</w:t>
      </w:r>
    </w:p>
    <w:p w14:paraId="4034C0C6">
      <w:pPr>
        <w:rPr>
          <w:rFonts w:eastAsia="等线"/>
          <w:lang w:eastAsia="zh-CN"/>
        </w:rPr>
      </w:pPr>
      <w:r>
        <w:drawing>
          <wp:inline distT="0" distB="0" distL="114300" distR="114300">
            <wp:extent cx="4375785" cy="4138295"/>
            <wp:effectExtent l="0" t="0" r="0" b="1905"/>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pic:cNvPicPr>
                  </pic:nvPicPr>
                  <pic:blipFill>
                    <a:blip xmlns:r="http://schemas.openxmlformats.org/officeDocument/2006/relationships" r:embed="rId9"/>
                    <a:srcRect t="9336" b="8061"/>
                    <a:stretch>
                      <a:fillRect/>
                    </a:stretch>
                  </pic:blipFill>
                  <pic:spPr>
                    <a:xfrm>
                      <a:off x="0" y="0"/>
                      <a:ext cx="4375785" cy="4138295"/>
                    </a:xfrm>
                    <a:prstGeom prst="rect">
                      <a:avLst/>
                    </a:prstGeom>
                  </pic:spPr>
                </pic:pic>
              </a:graphicData>
            </a:graphic>
          </wp:inline>
        </w:drawing>
      </w:r>
    </w:p>
    <w:p w14:paraId="42D449F7">
      <w:pPr>
        <w:pStyle w:val="ListParagraph"/>
        <w:numPr>
          <w:ilvl w:val="0"/>
          <w:numId w:val="2"/>
        </w:numPr>
        <w:ind w:leftChars="0"/>
        <w:rPr>
          <w:rFonts w:eastAsia="等线"/>
          <w:b/>
          <w:bCs/>
          <w:lang w:eastAsia="zh-CN"/>
        </w:rPr>
      </w:pPr>
      <w:r>
        <w:rPr>
          <w:rFonts w:eastAsia="等线" w:hint="eastAsia"/>
          <w:b/>
          <w:bCs/>
          <w:lang w:eastAsia="zh-CN"/>
        </w:rPr>
        <w:t>RF Mixer</w:t>
      </w:r>
      <w:r>
        <w:rPr>
          <w:rFonts w:eastAsia="等线"/>
          <w:b/>
          <w:bCs/>
          <w:lang w:eastAsia="zh-CN"/>
        </w:rPr>
        <w:t>,</w:t>
      </w:r>
      <w:r>
        <w:rPr>
          <w:rFonts w:eastAsia="等线" w:hint="eastAsia"/>
          <w:b/>
          <w:bCs/>
          <w:lang w:eastAsia="zh-CN"/>
        </w:rPr>
        <w:t xml:space="preserve"> European</w:t>
      </w:r>
      <w:r>
        <w:rPr>
          <w:rFonts w:eastAsia="等线"/>
          <w:b/>
          <w:bCs/>
          <w:lang w:eastAsia="zh-CN"/>
        </w:rPr>
        <w:t xml:space="preserve"> Market Size, Split by Product Segment</w:t>
      </w:r>
    </w:p>
    <w:p w14:paraId="652660FE">
      <w:pPr>
        <w:rPr>
          <w:rFonts w:eastAsia="等线"/>
          <w:lang w:eastAsia="zh-CN"/>
        </w:rPr>
      </w:pPr>
      <w:r>
        <w:drawing>
          <wp:inline distT="0" distB="0" distL="114300" distR="114300">
            <wp:extent cx="3935730" cy="3469005"/>
            <wp:effectExtent l="0" t="0" r="0" b="10795"/>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pic:cNvPicPr>
                  </pic:nvPicPr>
                  <pic:blipFill>
                    <a:blip xmlns:r="http://schemas.openxmlformats.org/officeDocument/2006/relationships" r:embed="rId10"/>
                    <a:srcRect l="-812" t="10215" r="812" b="8143"/>
                    <a:stretch>
                      <a:fillRect/>
                    </a:stretch>
                  </pic:blipFill>
                  <pic:spPr>
                    <a:xfrm>
                      <a:off x="0" y="0"/>
                      <a:ext cx="3935730" cy="3469005"/>
                    </a:xfrm>
                    <a:prstGeom prst="rect">
                      <a:avLst/>
                    </a:prstGeom>
                  </pic:spPr>
                </pic:pic>
              </a:graphicData>
            </a:graphic>
          </wp:inline>
        </w:drawing>
      </w:r>
    </w:p>
    <w:p w14:paraId="0C63EF6E">
      <w:pPr>
        <w:rPr>
          <w:rFonts w:eastAsia="等线"/>
          <w:lang w:eastAsia="zh-CN"/>
        </w:rPr>
      </w:pPr>
      <w:hyperlink r:id="rId8" w:history="1"/>
    </w:p>
    <w:p w14:paraId="70E50BCD">
      <w:pPr>
        <w:rPr>
          <w:rFonts w:eastAsia="等线"/>
          <w:lang w:eastAsia="zh-CN"/>
        </w:rPr>
      </w:pPr>
    </w:p>
    <w:p w14:paraId="1E02A432">
      <w:pPr>
        <w:rPr>
          <w:rFonts w:eastAsia="等线"/>
          <w:b/>
          <w:bCs/>
          <w:lang w:eastAsia="zh-CN"/>
        </w:rPr>
      </w:pPr>
      <w:r>
        <w:rPr>
          <w:rFonts w:eastAsia="等线" w:hint="eastAsia"/>
          <w:b/>
          <w:bCs/>
          <w:lang w:eastAsia="zh-CN"/>
        </w:rPr>
        <w:t>5.</w:t>
      </w:r>
      <w:r>
        <w:rPr>
          <w:b/>
          <w:bCs/>
        </w:rPr>
        <w:t xml:space="preserve"> </w:t>
      </w:r>
      <w:r>
        <w:rPr>
          <w:rFonts w:eastAsia="等线" w:hint="eastAsia"/>
          <w:b/>
          <w:bCs/>
          <w:lang w:eastAsia="zh-CN"/>
        </w:rPr>
        <w:t xml:space="preserve">  RF Mixer</w:t>
      </w:r>
      <w:r>
        <w:rPr>
          <w:rFonts w:eastAsia="等线"/>
          <w:b/>
          <w:bCs/>
          <w:lang w:eastAsia="zh-CN"/>
        </w:rPr>
        <w:t xml:space="preserve">, </w:t>
      </w:r>
      <w:r>
        <w:rPr>
          <w:rFonts w:eastAsia="等线" w:hint="eastAsia"/>
          <w:b/>
          <w:bCs/>
          <w:lang w:eastAsia="zh-CN"/>
        </w:rPr>
        <w:t>European</w:t>
      </w:r>
      <w:r>
        <w:rPr>
          <w:rFonts w:eastAsia="等线"/>
          <w:b/>
          <w:bCs/>
          <w:lang w:eastAsia="zh-CN"/>
        </w:rPr>
        <w:t xml:space="preserve"> Market Size, Split by Application Segment</w:t>
      </w:r>
    </w:p>
    <w:p w14:paraId="6661DB38">
      <w:pPr>
        <w:rPr>
          <w:rFonts w:eastAsia="等线"/>
          <w:lang w:eastAsia="zh-CN"/>
        </w:rPr>
      </w:pPr>
      <w:r>
        <w:drawing>
          <wp:inline distT="0" distB="0" distL="114300" distR="114300">
            <wp:extent cx="4107180" cy="4129405"/>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pic:cNvPicPr>
                  </pic:nvPicPr>
                  <pic:blipFill>
                    <a:blip xmlns:r="http://schemas.openxmlformats.org/officeDocument/2006/relationships" r:embed="rId11"/>
                    <a:srcRect t="9316" b="7484"/>
                    <a:stretch>
                      <a:fillRect/>
                    </a:stretch>
                  </pic:blipFill>
                  <pic:spPr>
                    <a:xfrm>
                      <a:off x="0" y="0"/>
                      <a:ext cx="4107180" cy="4129405"/>
                    </a:xfrm>
                    <a:prstGeom prst="rect">
                      <a:avLst/>
                    </a:prstGeom>
                  </pic:spPr>
                </pic:pic>
              </a:graphicData>
            </a:graphic>
          </wp:inline>
        </w:drawing>
      </w:r>
    </w:p>
    <w:p w14:paraId="5323D101">
      <w:pPr>
        <w:rPr>
          <w:rFonts w:eastAsia="等线"/>
          <w:lang w:eastAsia="zh-CN"/>
        </w:rPr>
      </w:pPr>
    </w:p>
    <w:p w14:paraId="2015EF27">
      <w:pPr>
        <w:rPr>
          <w:rFonts w:eastAsia="等线"/>
          <w:lang w:eastAsia="zh-CN"/>
        </w:rPr>
      </w:pPr>
    </w:p>
    <w:p w14:paraId="04847234">
      <w:pPr>
        <w:rPr>
          <w:rFonts w:eastAsia="等线"/>
          <w:b/>
          <w:bCs/>
          <w:i/>
          <w:iCs/>
          <w:lang w:eastAsia="zh-CN"/>
        </w:rPr>
      </w:pPr>
      <w:r>
        <w:rPr>
          <w:rFonts w:eastAsia="等线"/>
          <w:b/>
          <w:bCs/>
          <w:i/>
          <w:iCs/>
          <w:lang w:eastAsia="zh-CN"/>
        </w:rPr>
        <w:t>Based on or includes research from QYResearch: Global</w:t>
      </w:r>
      <w:r>
        <w:rPr>
          <w:rFonts w:eastAsia="等线" w:hint="eastAsia"/>
          <w:b/>
          <w:bCs/>
          <w:i/>
          <w:iCs/>
          <w:lang w:eastAsia="zh-CN"/>
        </w:rPr>
        <w:t xml:space="preserve"> and European</w:t>
      </w:r>
      <w:r>
        <w:rPr>
          <w:rFonts w:eastAsia="等线"/>
          <w:b/>
          <w:bCs/>
          <w:i/>
          <w:iCs/>
          <w:lang w:eastAsia="zh-CN"/>
        </w:rPr>
        <w:t xml:space="preserve"> </w:t>
      </w:r>
      <w:r>
        <w:rPr>
          <w:rFonts w:eastAsia="等线" w:hint="eastAsia"/>
          <w:b/>
          <w:bCs/>
          <w:i/>
          <w:iCs/>
          <w:lang w:eastAsia="zh-CN"/>
        </w:rPr>
        <w:t>RF Mixer</w:t>
      </w:r>
      <w:r>
        <w:rPr>
          <w:rFonts w:eastAsia="等线"/>
          <w:b/>
          <w:bCs/>
          <w:i/>
          <w:iCs/>
          <w:lang w:eastAsia="zh-CN"/>
        </w:rPr>
        <w:t xml:space="preserve"> Market Report 2025-2031</w:t>
      </w:r>
    </w:p>
    <w:p w14:paraId="681DEFDB">
      <w:pPr>
        <w:rPr>
          <w:rFonts w:eastAsia="等线"/>
          <w:i/>
          <w:iCs/>
          <w:lang w:eastAsia="zh-CN"/>
        </w:rPr>
      </w:pPr>
    </w:p>
    <w:p w14:paraId="5F87A2E3">
      <w:pPr>
        <w:rPr>
          <w:rFonts w:eastAsia="等线"/>
          <w:i/>
          <w:iCs/>
          <w:lang w:eastAsia="zh-CN"/>
        </w:rPr>
      </w:pPr>
    </w:p>
    <w:p w14:paraId="7180C1BE">
      <w:pPr>
        <w:jc w:val="both"/>
        <w:rPr>
          <w:rFonts w:eastAsia="等线"/>
          <w:b/>
          <w:bCs/>
          <w:u w:val="single"/>
          <w:lang w:eastAsia="zh-CN"/>
        </w:rPr>
      </w:pPr>
      <w:r>
        <w:rPr>
          <w:rFonts w:eastAsia="等线" w:hint="eastAsia"/>
          <w:b/>
          <w:bCs/>
          <w:u w:val="single"/>
          <w:lang w:eastAsia="zh-CN"/>
        </w:rPr>
        <w:t>Related Market Reports From QY Research</w:t>
      </w:r>
    </w:p>
    <w:p w14:paraId="739589B6">
      <w:pPr>
        <w:jc w:val="both"/>
        <w:rPr>
          <w:lang w:eastAsia="zh-CN"/>
        </w:rPr>
      </w:pPr>
    </w:p>
    <w:p w14:paraId="4AD0F657">
      <w:pPr>
        <w:jc w:val="both"/>
        <w:rPr>
          <w:lang w:eastAsia="zh-CN"/>
        </w:rPr>
      </w:pPr>
      <w:r>
        <w:rPr>
          <w:rFonts w:eastAsia="等线"/>
          <w:lang w:eastAsia="zh-CN"/>
        </w:rPr>
        <w:t xml:space="preserve">QY Research Releases Comprehensive Market Reports on the </w:t>
      </w:r>
      <w:r>
        <w:rPr>
          <w:rFonts w:eastAsia="等线" w:hint="eastAsia"/>
          <w:lang w:eastAsia="zh-CN"/>
        </w:rPr>
        <w:t>RF Mixer</w:t>
      </w:r>
      <w:r>
        <w:rPr>
          <w:rFonts w:eastAsia="等线"/>
          <w:lang w:eastAsia="zh-CN"/>
        </w:rPr>
        <w:t xml:space="preserve"> Market, as shown in the links below.</w:t>
      </w:r>
      <w:r>
        <w:rPr>
          <w:rFonts w:eastAsia="等线" w:hint="eastAsia"/>
          <w:lang w:eastAsia="zh-CN"/>
        </w:rPr>
        <w:t xml:space="preserve"> </w:t>
      </w:r>
      <w:r>
        <w:rPr>
          <w:rFonts w:eastAsia="等线"/>
          <w:lang w:eastAsia="zh-CN"/>
        </w:rPr>
        <w:t>These reports provide an in-depth analysis of the current market landscape, key trends, and future growth opportunities.</w:t>
      </w:r>
    </w:p>
    <w:p w14:paraId="4D873EBF">
      <w:pPr>
        <w:rPr>
          <w:rFonts w:eastAsia="等线"/>
          <w:lang w:eastAsia="zh-CN"/>
        </w:rPr>
      </w:pPr>
    </w:p>
    <w:p w14:paraId="587F08BE">
      <w:pPr>
        <w:rPr>
          <w:rFonts w:eastAsia="等线"/>
          <w:lang w:eastAsia="zh-CN"/>
        </w:rPr>
      </w:pPr>
      <w:r>
        <w:rPr>
          <w:rFonts w:eastAsia="等线"/>
          <w:lang w:eastAsia="zh-CN"/>
        </w:rPr>
        <w:t>RF Mixer- Global Market Share and Ranking, Overall Sales and Demand Forecast 2025-2031</w:t>
      </w:r>
    </w:p>
    <w:p w14:paraId="1C7F3552">
      <w:pPr>
        <w:rPr>
          <w:rFonts w:eastAsia="等线"/>
          <w:lang w:eastAsia="zh-CN"/>
        </w:rPr>
      </w:pPr>
      <w:hyperlink r:id="rId12" w:history="1">
        <w:r>
          <w:rPr>
            <w:rStyle w:val="Hyperlink"/>
            <w:rFonts w:eastAsia="等线"/>
            <w:lang w:eastAsia="zh-CN"/>
          </w:rPr>
          <w:t>reports/3474841/rf-mixer</w:t>
        </w:r>
      </w:hyperlink>
    </w:p>
    <w:p w14:paraId="572D4B87">
      <w:pPr>
        <w:rPr>
          <w:rFonts w:eastAsia="等线"/>
          <w:lang w:eastAsia="zh-CN"/>
        </w:rPr>
      </w:pPr>
      <w:r>
        <w:rPr>
          <w:rFonts w:eastAsia="等线"/>
          <w:lang w:eastAsia="zh-CN"/>
        </w:rPr>
        <w:t>Global RF Mixer Market Research Report 2025</w:t>
      </w:r>
    </w:p>
    <w:p w14:paraId="55520467">
      <w:pPr>
        <w:rPr>
          <w:rFonts w:eastAsia="等线"/>
          <w:i/>
          <w:iCs/>
          <w:lang w:eastAsia="zh-CN"/>
        </w:rPr>
      </w:pPr>
      <w:hyperlink r:id="rId13" w:history="1">
        <w:r>
          <w:rPr>
            <w:rStyle w:val="Hyperlink"/>
            <w:rFonts w:eastAsia="等线"/>
            <w:lang w:eastAsia="zh-CN"/>
          </w:rPr>
          <w:t>reports/3467043/rf-mixer</w:t>
        </w:r>
      </w:hyperlink>
      <w:bookmarkStart w:id="0" w:name="_GoBack"/>
      <w:bookmarkEnd w:id="0"/>
    </w:p>
    <w:sectPr>
      <w:footerReference w:type="even" r:id="rId14"/>
      <w:pgSz w:w="11906" w:h="16838"/>
      <w:pgMar w:top="1440" w:right="1800" w:bottom="1440" w:left="1800" w:header="851" w:footer="992" w:gutter="0"/>
      <w:cols w:num="1" w:space="425"/>
      <w:titlePg/>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Segoe Print"/>
    <w:panose1 w:val="00000000000000000000"/>
    <w:charset w:val="88"/>
    <w:family w:val="roman"/>
    <w:pitch w:val="default"/>
    <w:sig w:usb0="00000000" w:usb1="00000000" w:usb2="00000000" w:usb3="00000000" w:csb0="00100000"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1AC2A77"/>
    <w:multiLevelType w:val="multilevel"/>
    <w:tmpl w:val="11AC2A77"/>
    <w:lvl w:ilvl="0">
      <w:start w:val="4"/>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nsid w:val="5C97631A"/>
    <w:multiLevelType w:val="multilevel"/>
    <w:tmpl w:val="5C97631A"/>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evenAndOddHeaders/>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6DC"/>
    <w:rsid w:val="000360AC"/>
    <w:rsid w:val="00052613"/>
    <w:rsid w:val="000A5693"/>
    <w:rsid w:val="000C567E"/>
    <w:rsid w:val="000C787E"/>
    <w:rsid w:val="000F36B5"/>
    <w:rsid w:val="0011222E"/>
    <w:rsid w:val="0015167B"/>
    <w:rsid w:val="001735AF"/>
    <w:rsid w:val="001B49AF"/>
    <w:rsid w:val="001D58C4"/>
    <w:rsid w:val="002201C7"/>
    <w:rsid w:val="00294059"/>
    <w:rsid w:val="002C2E75"/>
    <w:rsid w:val="002E4950"/>
    <w:rsid w:val="003134CA"/>
    <w:rsid w:val="00325B69"/>
    <w:rsid w:val="00344335"/>
    <w:rsid w:val="00357248"/>
    <w:rsid w:val="00422EB1"/>
    <w:rsid w:val="00441DB4"/>
    <w:rsid w:val="004C38DA"/>
    <w:rsid w:val="00500387"/>
    <w:rsid w:val="005A1459"/>
    <w:rsid w:val="005B5813"/>
    <w:rsid w:val="005B6ED1"/>
    <w:rsid w:val="005D64F5"/>
    <w:rsid w:val="005E370D"/>
    <w:rsid w:val="006033D2"/>
    <w:rsid w:val="00630E29"/>
    <w:rsid w:val="00657732"/>
    <w:rsid w:val="00664665"/>
    <w:rsid w:val="00666EC4"/>
    <w:rsid w:val="00706E5A"/>
    <w:rsid w:val="00735AE6"/>
    <w:rsid w:val="00754E99"/>
    <w:rsid w:val="007612D0"/>
    <w:rsid w:val="00796E24"/>
    <w:rsid w:val="007C5154"/>
    <w:rsid w:val="007C7B01"/>
    <w:rsid w:val="007D34A1"/>
    <w:rsid w:val="007D603E"/>
    <w:rsid w:val="00802028"/>
    <w:rsid w:val="008753E6"/>
    <w:rsid w:val="008B0B22"/>
    <w:rsid w:val="008D1CDE"/>
    <w:rsid w:val="008E19E8"/>
    <w:rsid w:val="00904A17"/>
    <w:rsid w:val="009216FE"/>
    <w:rsid w:val="00964F53"/>
    <w:rsid w:val="00974EB8"/>
    <w:rsid w:val="009A291E"/>
    <w:rsid w:val="00A10C98"/>
    <w:rsid w:val="00A15462"/>
    <w:rsid w:val="00A765E6"/>
    <w:rsid w:val="00A86B2F"/>
    <w:rsid w:val="00AD63CA"/>
    <w:rsid w:val="00AE1C14"/>
    <w:rsid w:val="00B21570"/>
    <w:rsid w:val="00B90B21"/>
    <w:rsid w:val="00BB77BE"/>
    <w:rsid w:val="00BC1F08"/>
    <w:rsid w:val="00BC6DD7"/>
    <w:rsid w:val="00BD29C6"/>
    <w:rsid w:val="00C377BE"/>
    <w:rsid w:val="00C37844"/>
    <w:rsid w:val="00C45483"/>
    <w:rsid w:val="00C75D8F"/>
    <w:rsid w:val="00C91A8D"/>
    <w:rsid w:val="00CB632C"/>
    <w:rsid w:val="00DA2B65"/>
    <w:rsid w:val="00DA7755"/>
    <w:rsid w:val="00DD6427"/>
    <w:rsid w:val="00DE76F6"/>
    <w:rsid w:val="00E047EB"/>
    <w:rsid w:val="00E23494"/>
    <w:rsid w:val="00E5470C"/>
    <w:rsid w:val="00E84D6A"/>
    <w:rsid w:val="00E916DC"/>
    <w:rsid w:val="00EB6ABF"/>
    <w:rsid w:val="00ED6638"/>
    <w:rsid w:val="00EF45CB"/>
    <w:rsid w:val="00EF5404"/>
    <w:rsid w:val="00F151D4"/>
    <w:rsid w:val="00FD5365"/>
    <w:rsid w:val="0370019B"/>
    <w:rsid w:val="231B23CF"/>
    <w:rsid w:val="24B91EA0"/>
    <w:rsid w:val="58311772"/>
    <w:rsid w:val="67B32B72"/>
    <w:rsid w:val="70BB69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pPr>
    <w:rPr>
      <w:rFonts w:asciiTheme="minorHAnsi" w:eastAsiaTheme="minorEastAsia" w:hAnsiTheme="minorHAnsi" w:cstheme="minorBidi"/>
      <w:kern w:val="2"/>
      <w:sz w:val="24"/>
      <w:szCs w:val="22"/>
      <w:lang w:val="en-US" w:eastAsia="zh-TW" w:bidi="ar-SA"/>
      <w14:ligatures w14:val="standardContextual"/>
    </w:rPr>
  </w:style>
  <w:style w:type="paragraph" w:styleId="Heading1">
    <w:name w:val="heading 1"/>
    <w:basedOn w:val="Normal"/>
    <w:next w:val="Normal"/>
    <w:link w:val="1"/>
    <w:uiPriority w:val="9"/>
    <w:qFormat/>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Heading2">
    <w:name w:val="heading 2"/>
    <w:basedOn w:val="Normal"/>
    <w:link w:val="2"/>
    <w:uiPriority w:val="9"/>
    <w:qFormat/>
    <w:pPr>
      <w:widowControl/>
      <w:spacing w:before="100" w:beforeAutospacing="1" w:after="100" w:afterAutospacing="1"/>
      <w:outlineLvl w:val="1"/>
    </w:pPr>
    <w:rPr>
      <w:rFonts w:ascii="PMingLiU" w:eastAsia="PMingLiU" w:hAnsi="PMingLiU" w:cs="PMingLiU"/>
      <w:b/>
      <w:bCs/>
      <w:kern w:val="0"/>
      <w:sz w:val="36"/>
      <w:szCs w:val="36"/>
    </w:rPr>
  </w:style>
  <w:style w:type="paragraph" w:styleId="Heading3">
    <w:name w:val="heading 3"/>
    <w:basedOn w:val="Normal"/>
    <w:next w:val="Normal"/>
    <w:link w:val="3"/>
    <w:uiPriority w:val="9"/>
    <w:semiHidden/>
    <w:unhideWhenUsed/>
    <w:qFormat/>
    <w:pPr>
      <w:keepNext/>
      <w:spacing w:line="720" w:lineRule="auto"/>
      <w:outlineLvl w:val="2"/>
    </w:pPr>
    <w:rPr>
      <w:rFonts w:asciiTheme="majorHAnsi" w:eastAsiaTheme="majorEastAsia" w:hAnsiTheme="majorHAnsi" w:cstheme="majorBid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aption">
    <w:name w:val="caption"/>
    <w:basedOn w:val="Normal"/>
    <w:next w:val="Normal"/>
    <w:uiPriority w:val="35"/>
    <w:unhideWhenUsed/>
    <w:qFormat/>
    <w:rPr>
      <w:sz w:val="20"/>
      <w:szCs w:val="20"/>
    </w:rPr>
  </w:style>
  <w:style w:type="paragraph" w:styleId="Footer">
    <w:name w:val="footer"/>
    <w:basedOn w:val="Normal"/>
    <w:link w:val="a0"/>
    <w:uiPriority w:val="99"/>
    <w:unhideWhenUsed/>
    <w:pPr>
      <w:tabs>
        <w:tab w:val="center" w:pos="4153"/>
        <w:tab w:val="right" w:pos="8306"/>
      </w:tabs>
      <w:snapToGrid w:val="0"/>
    </w:pPr>
    <w:rPr>
      <w:sz w:val="20"/>
      <w:szCs w:val="20"/>
    </w:rPr>
  </w:style>
  <w:style w:type="paragraph" w:styleId="Header">
    <w:name w:val="header"/>
    <w:basedOn w:val="Normal"/>
    <w:link w:val="a"/>
    <w:uiPriority w:val="99"/>
    <w:unhideWhenUsed/>
    <w:qFormat/>
    <w:pPr>
      <w:tabs>
        <w:tab w:val="center" w:pos="4153"/>
        <w:tab w:val="right" w:pos="8306"/>
      </w:tabs>
      <w:snapToGrid w:val="0"/>
    </w:pPr>
    <w:rPr>
      <w:sz w:val="20"/>
      <w:szCs w:val="20"/>
    </w:rPr>
  </w:style>
  <w:style w:type="paragraph" w:styleId="NormalWeb">
    <w:name w:val="Normal (Web)"/>
    <w:basedOn w:val="Normal"/>
    <w:uiPriority w:val="99"/>
    <w:semiHidden/>
    <w:unhideWhenUsed/>
    <w:pPr>
      <w:spacing w:beforeAutospacing="1" w:afterAutospacing="1"/>
    </w:pPr>
    <w:rPr>
      <w:rFonts w:cs="Times New Roman"/>
      <w:kern w:val="0"/>
      <w:lang w:eastAsia="zh-CN"/>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customStyle="1" w:styleId="1">
    <w:name w:val="标题 1 字符"/>
    <w:basedOn w:val="DefaultParagraphFont"/>
    <w:link w:val="Heading1"/>
    <w:uiPriority w:val="9"/>
    <w:qFormat/>
    <w:rPr>
      <w:rFonts w:asciiTheme="majorHAnsi" w:eastAsiaTheme="majorEastAsia" w:hAnsiTheme="majorHAnsi" w:cstheme="majorBidi"/>
      <w:b/>
      <w:bCs/>
      <w:kern w:val="52"/>
      <w:sz w:val="52"/>
      <w:szCs w:val="52"/>
    </w:rPr>
  </w:style>
  <w:style w:type="character" w:customStyle="1" w:styleId="2">
    <w:name w:val="标题 2 字符"/>
    <w:basedOn w:val="DefaultParagraphFont"/>
    <w:link w:val="Heading2"/>
    <w:uiPriority w:val="9"/>
    <w:qFormat/>
    <w:rPr>
      <w:rFonts w:ascii="PMingLiU" w:eastAsia="PMingLiU" w:hAnsi="PMingLiU" w:cs="PMingLiU"/>
      <w:b/>
      <w:bCs/>
      <w:kern w:val="0"/>
      <w:sz w:val="36"/>
      <w:szCs w:val="36"/>
    </w:rPr>
  </w:style>
  <w:style w:type="character" w:customStyle="1" w:styleId="3">
    <w:name w:val="标题 3 字符"/>
    <w:basedOn w:val="DefaultParagraphFont"/>
    <w:link w:val="Heading3"/>
    <w:uiPriority w:val="9"/>
    <w:semiHidden/>
    <w:qFormat/>
    <w:rPr>
      <w:rFonts w:asciiTheme="majorHAnsi" w:eastAsiaTheme="majorEastAsia" w:hAnsiTheme="majorHAnsi" w:cstheme="majorBidi"/>
      <w:b/>
      <w:bCs/>
      <w:sz w:val="36"/>
      <w:szCs w:val="36"/>
    </w:rPr>
  </w:style>
  <w:style w:type="paragraph" w:styleId="ListParagraph">
    <w:name w:val="List Paragraph"/>
    <w:basedOn w:val="Normal"/>
    <w:uiPriority w:val="34"/>
    <w:qFormat/>
    <w:pPr>
      <w:ind w:left="480" w:leftChars="200"/>
    </w:pPr>
  </w:style>
  <w:style w:type="character" w:customStyle="1" w:styleId="a">
    <w:name w:val="页眉 字符"/>
    <w:basedOn w:val="DefaultParagraphFont"/>
    <w:link w:val="Header"/>
    <w:uiPriority w:val="99"/>
    <w:qFormat/>
    <w:rPr>
      <w:sz w:val="20"/>
      <w:szCs w:val="20"/>
    </w:rPr>
  </w:style>
  <w:style w:type="character" w:customStyle="1" w:styleId="a0">
    <w:name w:val="页脚 字符"/>
    <w:basedOn w:val="DefaultParagraphFont"/>
    <w:link w:val="Footer"/>
    <w:uiPriority w:val="99"/>
    <w:qFormat/>
    <w:rPr>
      <w:sz w:val="20"/>
      <w:szCs w:val="20"/>
    </w:rPr>
  </w:style>
  <w:style w:type="character" w:customStyle="1" w:styleId="10">
    <w:name w:val="未处理的提及1"/>
    <w:basedOn w:val="DefaultParagraphFont"/>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hyperlink" Target="https://www.qyresearch.com/reports/3474841/rf-mixer" TargetMode="External" /><Relationship Id="rId13" Type="http://schemas.openxmlformats.org/officeDocument/2006/relationships/hyperlink" Target="https://www.qyresearch.com/reports/3467043/rf-mixer" TargetMode="External" /><Relationship Id="rId14" Type="http://schemas.openxmlformats.org/officeDocument/2006/relationships/footer" Target="footer1.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yperlink" Target="https://www.qyresearch.com/" TargetMode="External"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470</Words>
  <Characters>2943</Characters>
  <Application>Microsoft Office Word</Application>
  <DocSecurity>0</DocSecurity>
  <Lines>26</Lines>
  <Paragraphs>7</Paragraphs>
  <ScaleCrop>false</ScaleCrop>
  <Company/>
  <LinksUpToDate>false</LinksUpToDate>
  <CharactersWithSpaces>3389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Kira</dc:creator>
  <cp:lastModifiedBy>*星*空夜@话</cp:lastModifiedBy>
  <cp:revision>30</cp:revision>
  <dcterms:created xsi:type="dcterms:W3CDTF">2024-10-31T20:17:00Z</dcterms:created>
  <dcterms:modified xsi:type="dcterms:W3CDTF">2025-01-10T05:45:34Z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FAFB0DEC9227449988750A37679FBE8B_12</vt:lpwstr>
  </property>
  <property fmtid="{D5CDD505-2E9C-101B-9397-08002B2CF9AE}" pid="3" name="KSOProductBuildVer">
    <vt:lpwstr>2052-12.1.0.19302</vt:lpwstr>
  </property>
  <property fmtid="{D5CDD505-2E9C-101B-9397-08002B2CF9AE}" pid="4" name="KSOTemplateDocerSaveRecord">
    <vt:lpwstr>eyJoZGlkIjoiMDYzNTE3ZmJhYmZjY2ZiNzUxNTI1ZTRkNzNkYTA1OTIiLCJ1c2VySWQiOiIyMzk0NzU0OTUifQ==</vt:lpwstr>
  </property>
</Properties>
</file>