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F3232">
      <w:pPr>
        <w:pStyle w:val="167"/>
        <w:rPr>
          <w:lang w:eastAsia="zh-CN"/>
        </w:rPr>
      </w:pPr>
      <w:bookmarkStart w:id="0" w:name="_Toc438987549"/>
      <w:bookmarkStart w:id="1" w:name="_Toc517262917"/>
      <w:bookmarkStart w:id="2" w:name="_Toc453597319"/>
      <w:bookmarkStart w:id="3" w:name="_Toc481801204"/>
      <w:bookmarkStart w:id="4" w:name="OLE_LINK15"/>
      <w:bookmarkStart w:id="5" w:name="_Toc415818939"/>
      <w:bookmarkStart w:id="6" w:name="OLE_LINK13"/>
      <w:bookmarkStart w:id="7" w:name="_Toc418070112"/>
      <w:bookmarkStart w:id="8" w:name="_Toc415143481"/>
      <w:bookmarkStart w:id="9" w:name="_Toc415142861"/>
      <w:bookmarkStart w:id="10" w:name="OLE_LINK40"/>
      <w:bookmarkStart w:id="11" w:name="OLE_LINK24"/>
      <w:bookmarkStart w:id="12" w:name="OLE_LINK39"/>
      <w:r>
        <w:rPr>
          <w:rFonts w:hint="eastAsia"/>
          <w:lang w:eastAsia="zh-CN"/>
        </w:rPr>
        <w:t>二氧化碳捕集与利用（CCUS）产品概述</w:t>
      </w:r>
    </w:p>
    <w:p w14:paraId="6124EF07">
      <w:pPr>
        <w:pStyle w:val="145"/>
        <w:rPr>
          <w:rFonts w:cs="Calibri"/>
          <w:lang w:val="en-US" w:eastAsia="zh-CN"/>
        </w:rPr>
      </w:pPr>
      <w:bookmarkStart w:id="13" w:name="OLE_LINK2"/>
      <w:r>
        <w:rPr>
          <w:rFonts w:cs="Calibri"/>
          <w:lang w:val="en-US" w:eastAsia="zh-CN"/>
        </w:rPr>
        <w:t>二氧化碳捕集、利用与封存（CCUS）是一类系统化的低碳技术解决方案，包括从工业排放源或环境中捕集二氧化碳（CO2）、将其净化与压缩并进行后续利用或永久封存的全过程。捕集阶段通常采用化学吸收、物理吸附、膜分离等技术从烟气、废气或大气中分离出高纯度 CO2；利用阶段将 CO2 用于生产化学品、燃料、矿物材料等，实现资源化增值；封存阶段则通过地质注入、矿化固碳等方式将 CO2 长期隔离于大气之外，以实现行业减排目标。CCUS覆盖电力、化工、钢铁、水泥等主要排放领域，是难减排行业实现深度减排的重要技术体系之一。</w:t>
      </w:r>
      <w:bookmarkStart w:id="14" w:name="_GoBack"/>
      <w:bookmarkEnd w:id="14"/>
    </w:p>
    <w:p w14:paraId="1346AA24">
      <w:pPr>
        <w:pStyle w:val="145"/>
        <w:rPr>
          <w:rFonts w:hint="eastAsia" w:cs="Calibri"/>
          <w:lang w:val="en-US" w:eastAsia="zh-CN"/>
        </w:rPr>
      </w:pPr>
      <w:r>
        <w:rPr>
          <w:rFonts w:cs="Calibri"/>
          <w:lang w:val="en-US" w:eastAsia="zh-CN"/>
        </w:rPr>
        <w:t>市场与盈利结构上，CCUS的可变现收入通常主要来自利用端及一体化交付，捕集环节更多体现为项目成本与能耗投入。在工程交付口径下，EPC总包、工艺包授权与运维服务等可形成持续性收入，毛利率通常约为15%至30%。</w:t>
      </w:r>
    </w:p>
    <w:bookmarkEnd w:id="13"/>
    <w:p w14:paraId="2B02D344">
      <w:pPr>
        <w:pStyle w:val="148"/>
        <w:widowControl/>
        <w:pBdr>
          <w:bottom w:val="none" w:color="auto" w:sz="0" w:space="0"/>
        </w:pBdr>
        <w:spacing w:before="120" w:after="240" w:line="312" w:lineRule="auto"/>
        <w:jc w:val="both"/>
        <w:rPr>
          <w:lang w:eastAsia="zh-CN"/>
        </w:rPr>
      </w:pPr>
      <w:r>
        <w:rPr>
          <w:rFonts w:hint="eastAsia"/>
          <w:lang w:eastAsia="zh-CN"/>
        </w:rPr>
        <w:t>二氧化碳捕集与利用（CCUS）产品图片</w:t>
      </w:r>
    </w:p>
    <w:p w14:paraId="0F8C9D42">
      <w:pPr>
        <w:rPr>
          <w:rFonts w:cs="Calibri"/>
        </w:rPr>
      </w:pPr>
      <w:r>
        <w:drawing>
          <wp:inline distT="0" distB="0" distL="0" distR="0">
            <wp:extent cx="2926080" cy="1948815"/>
            <wp:effectExtent l="0" t="0" r="7620" b="0"/>
            <wp:docPr id="395206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06123" name="图片 1"/>
                    <pic:cNvPicPr>
                      <a:picLocks noChangeAspect="1"/>
                    </pic:cNvPicPr>
                  </pic:nvPicPr>
                  <pic:blipFill>
                    <a:blip r:embed="rId9"/>
                    <a:stretch>
                      <a:fillRect/>
                    </a:stretch>
                  </pic:blipFill>
                  <pic:spPr>
                    <a:xfrm>
                      <a:off x="0" y="0"/>
                      <a:ext cx="2934715" cy="1955172"/>
                    </a:xfrm>
                    <a:prstGeom prst="rect">
                      <a:avLst/>
                    </a:prstGeom>
                  </pic:spPr>
                </pic:pic>
              </a:graphicData>
            </a:graphic>
          </wp:inline>
        </w:drawing>
      </w:r>
    </w:p>
    <w:p w14:paraId="5873931A">
      <w:pPr>
        <w:pStyle w:val="143"/>
        <w:rPr>
          <w:lang w:eastAsia="zh-CN"/>
        </w:rPr>
      </w:pPr>
      <w:r>
        <w:rPr>
          <w:rFonts w:hint="eastAsia"/>
          <w:lang w:eastAsia="zh-CN"/>
        </w:rPr>
        <w:t>资料来源：二手资料和 QYResearch，2025 年</w:t>
      </w:r>
    </w:p>
    <w:p w14:paraId="3BA57076">
      <w:pPr>
        <w:pStyle w:val="145"/>
        <w:rPr>
          <w:lang w:eastAsia="zh-CN"/>
        </w:rPr>
      </w:pPr>
      <w:r>
        <w:rPr>
          <w:rFonts w:hint="eastAsia"/>
          <w:lang w:eastAsia="zh-CN"/>
        </w:rPr>
        <w:t>根据QYResearch最新调研报告显示，预计2</w:t>
      </w:r>
      <w:r>
        <w:rPr>
          <w:lang w:eastAsia="zh-CN"/>
        </w:rPr>
        <w:t>03</w:t>
      </w:r>
      <w:r>
        <w:rPr>
          <w:rFonts w:hint="eastAsia"/>
          <w:lang w:eastAsia="zh-CN"/>
        </w:rPr>
        <w:t>1年全球</w:t>
      </w:r>
      <w:r>
        <w:rPr>
          <w:lang w:eastAsia="zh-CN"/>
        </w:rPr>
        <w:t>二氧化碳捕集与利用（CCUS）</w:t>
      </w:r>
      <w:r>
        <w:rPr>
          <w:rFonts w:hint="eastAsia"/>
          <w:lang w:eastAsia="zh-CN"/>
        </w:rPr>
        <w:t>市场规模将达到135.11亿美元，未来几年年复合增长率CAGR为13.7</w:t>
      </w:r>
      <w:r>
        <w:rPr>
          <w:lang w:eastAsia="zh-CN"/>
        </w:rPr>
        <w:t>%</w:t>
      </w:r>
      <w:r>
        <w:rPr>
          <w:rFonts w:hint="eastAsia"/>
          <w:lang w:eastAsia="zh-CN"/>
        </w:rPr>
        <w:t>。</w:t>
      </w:r>
    </w:p>
    <w:p w14:paraId="0EE225B7">
      <w:pPr>
        <w:pStyle w:val="148"/>
        <w:widowControl/>
        <w:pBdr>
          <w:bottom w:val="none" w:color="auto" w:sz="0" w:space="0"/>
        </w:pBdr>
        <w:spacing w:before="120" w:after="240" w:line="312" w:lineRule="auto"/>
        <w:jc w:val="both"/>
        <w:rPr>
          <w:lang w:eastAsia="zh-CN"/>
        </w:rPr>
      </w:pPr>
      <w:r>
        <w:rPr>
          <w:rFonts w:hint="eastAsia"/>
          <w:lang w:eastAsia="zh-CN"/>
        </w:rPr>
        <w:t>二氧化碳捕集与利用（CCUS）</w:t>
      </w:r>
      <w:r>
        <w:rPr>
          <w:lang w:eastAsia="zh-CN"/>
        </w:rPr>
        <w:t>，全球市场总体规模</w:t>
      </w:r>
    </w:p>
    <w:p w14:paraId="14CD9E5F">
      <w:pPr>
        <w:pStyle w:val="145"/>
        <w:rPr>
          <w:lang w:val="en-US"/>
        </w:rPr>
      </w:pPr>
      <w:r>
        <w:rPr>
          <w:lang w:val="en-US"/>
        </w:rPr>
        <w:drawing>
          <wp:inline distT="0" distB="0" distL="0" distR="0">
            <wp:extent cx="4198620" cy="2472055"/>
            <wp:effectExtent l="0" t="0" r="0" b="4445"/>
            <wp:docPr id="15342453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245314"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206652" cy="2476867"/>
                    </a:xfrm>
                    <a:prstGeom prst="rect">
                      <a:avLst/>
                    </a:prstGeom>
                    <a:noFill/>
                    <a:ln>
                      <a:noFill/>
                    </a:ln>
                  </pic:spPr>
                </pic:pic>
              </a:graphicData>
            </a:graphic>
          </wp:inline>
        </w:drawing>
      </w:r>
    </w:p>
    <w:p w14:paraId="2F416187">
      <w:pPr>
        <w:pStyle w:val="143"/>
        <w:rPr>
          <w:rFonts w:hint="eastAsia"/>
          <w:lang w:eastAsia="zh-CN"/>
        </w:rPr>
      </w:pPr>
      <w:r>
        <w:rPr>
          <w:rFonts w:hint="eastAsia"/>
          <w:lang w:eastAsia="zh-CN"/>
        </w:rPr>
        <w:t>资料来源：二手资料和 QYResearch，2025 年</w:t>
      </w:r>
    </w:p>
    <w:p w14:paraId="76BE2021">
      <w:pPr>
        <w:pStyle w:val="145"/>
        <w:rPr>
          <w:rFonts w:hint="eastAsia"/>
          <w:lang w:val="en-US" w:eastAsia="zh-CN"/>
        </w:rPr>
      </w:pPr>
    </w:p>
    <w:p w14:paraId="6F775FD3">
      <w:pPr>
        <w:pStyle w:val="148"/>
        <w:widowControl/>
        <w:pBdr>
          <w:bottom w:val="none" w:color="auto" w:sz="0" w:space="0"/>
        </w:pBdr>
        <w:spacing w:before="120" w:after="240" w:line="312" w:lineRule="auto"/>
        <w:jc w:val="both"/>
        <w:rPr>
          <w:lang w:eastAsia="zh-CN"/>
        </w:rPr>
      </w:pPr>
      <w:r>
        <w:rPr>
          <w:lang w:eastAsia="zh-CN"/>
        </w:rPr>
        <w:t>二氧化碳捕集与利用（CCUS）流程示意图</w:t>
      </w:r>
    </w:p>
    <w:p w14:paraId="51A40C6D">
      <w:pPr>
        <w:pStyle w:val="145"/>
        <w:rPr>
          <w:lang w:val="en-US"/>
        </w:rPr>
      </w:pPr>
      <w:r>
        <w:rPr>
          <w:lang w:val="en-US"/>
        </w:rPr>
        <w:drawing>
          <wp:inline distT="0" distB="0" distL="0" distR="0">
            <wp:extent cx="6188710" cy="1486535"/>
            <wp:effectExtent l="0" t="0" r="0" b="0"/>
            <wp:docPr id="2224556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455613"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188710" cy="1486535"/>
                    </a:xfrm>
                    <a:prstGeom prst="rect">
                      <a:avLst/>
                    </a:prstGeom>
                    <a:noFill/>
                    <a:ln>
                      <a:noFill/>
                    </a:ln>
                  </pic:spPr>
                </pic:pic>
              </a:graphicData>
            </a:graphic>
          </wp:inline>
        </w:drawing>
      </w:r>
    </w:p>
    <w:p w14:paraId="1D7D854C">
      <w:pPr>
        <w:pStyle w:val="143"/>
        <w:rPr>
          <w:lang w:eastAsia="zh-CN"/>
        </w:rPr>
      </w:pPr>
      <w:r>
        <w:rPr>
          <w:lang w:eastAsia="zh-CN"/>
        </w:rPr>
        <w:t>资料来源：公开资料整理</w:t>
      </w:r>
    </w:p>
    <w:p w14:paraId="576B624C">
      <w:pPr>
        <w:pStyle w:val="143"/>
        <w:rPr>
          <w:lang w:val="en-US" w:eastAsia="zh-CN"/>
        </w:rPr>
      </w:pPr>
    </w:p>
    <w:p w14:paraId="2928F563">
      <w:pPr>
        <w:pStyle w:val="148"/>
        <w:widowControl/>
        <w:pBdr>
          <w:bottom w:val="none" w:color="auto" w:sz="0" w:space="0"/>
        </w:pBdr>
        <w:spacing w:before="120" w:after="240" w:line="312" w:lineRule="auto"/>
        <w:jc w:val="both"/>
        <w:rPr>
          <w:lang w:eastAsia="zh-CN"/>
        </w:rPr>
      </w:pPr>
      <w:r>
        <w:rPr>
          <w:rFonts w:hint="eastAsia"/>
          <w:lang w:eastAsia="zh-CN"/>
        </w:rPr>
        <w:t>全球项目管线捕集能力趋势（2010–2025，Mtpa）</w:t>
      </w:r>
    </w:p>
    <w:p w14:paraId="34C7B6CB">
      <w:pPr>
        <w:pStyle w:val="143"/>
        <w:rPr>
          <w:lang w:val="en-US" w:eastAsia="zh-CN"/>
        </w:rPr>
      </w:pPr>
      <w:r>
        <w:rPr>
          <w:lang w:val="en-US"/>
        </w:rPr>
        <w:drawing>
          <wp:inline distT="0" distB="0" distL="0" distR="0">
            <wp:extent cx="5943600" cy="3169920"/>
            <wp:effectExtent l="0" t="0" r="0" b="0"/>
            <wp:docPr id="98802327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023270" name="图片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943600" cy="3169920"/>
                    </a:xfrm>
                    <a:prstGeom prst="rect">
                      <a:avLst/>
                    </a:prstGeom>
                    <a:noFill/>
                    <a:ln>
                      <a:noFill/>
                    </a:ln>
                  </pic:spPr>
                </pic:pic>
              </a:graphicData>
            </a:graphic>
          </wp:inline>
        </w:drawing>
      </w:r>
    </w:p>
    <w:p w14:paraId="679FB321">
      <w:pPr>
        <w:pStyle w:val="143"/>
        <w:rPr>
          <w:rFonts w:hint="eastAsia"/>
          <w:lang w:val="en-US" w:eastAsia="zh-CN"/>
        </w:rPr>
      </w:pPr>
      <w:r>
        <w:rPr>
          <w:rFonts w:hint="eastAsia"/>
          <w:lang w:val="en-US"/>
        </w:rPr>
        <w:t>数据来源：Global CCS Institute（2025 Executive Summary）</w:t>
      </w:r>
    </w:p>
    <w:p w14:paraId="0EEB6712">
      <w:pPr>
        <w:pStyle w:val="143"/>
        <w:rPr>
          <w:rFonts w:hint="eastAsia"/>
          <w:lang w:val="en-US" w:eastAsia="zh-CN"/>
        </w:rPr>
      </w:pPr>
    </w:p>
    <w:p w14:paraId="6D04A411">
      <w:pPr>
        <w:pStyle w:val="167"/>
        <w:rPr>
          <w:rFonts w:hint="eastAsia"/>
          <w:lang w:eastAsia="zh-CN"/>
        </w:rPr>
      </w:pPr>
      <w:r>
        <w:rPr>
          <w:lang w:eastAsia="zh-CN"/>
        </w:rPr>
        <w:t>CCUS 产业链关键参与者</w:t>
      </w:r>
    </w:p>
    <w:tbl>
      <w:tblPr>
        <w:tblStyle w:val="34"/>
        <w:tblW w:w="0" w:type="auto"/>
        <w:jc w:val="center"/>
        <w:tblLayout w:type="autofit"/>
        <w:tblCellMar>
          <w:top w:w="0" w:type="dxa"/>
          <w:left w:w="108" w:type="dxa"/>
          <w:bottom w:w="0" w:type="dxa"/>
          <w:right w:w="108" w:type="dxa"/>
        </w:tblCellMar>
      </w:tblPr>
      <w:tblGrid>
        <w:gridCol w:w="4873"/>
        <w:gridCol w:w="4873"/>
      </w:tblGrid>
      <w:tr w14:paraId="1A56B0CD">
        <w:tblPrEx>
          <w:tblCellMar>
            <w:top w:w="0" w:type="dxa"/>
            <w:left w:w="108" w:type="dxa"/>
            <w:bottom w:w="0" w:type="dxa"/>
            <w:right w:w="108" w:type="dxa"/>
          </w:tblCellMar>
        </w:tblPrEx>
        <w:trPr>
          <w:jc w:val="center"/>
        </w:trPr>
        <w:tc>
          <w:tcPr>
            <w:tcW w:w="4873" w:type="dxa"/>
            <w:vAlign w:val="center"/>
          </w:tcPr>
          <w:p w14:paraId="66171FDA">
            <w:pPr>
              <w:pStyle w:val="145"/>
              <w:rPr>
                <w:rFonts w:hint="eastAsia"/>
                <w:lang w:val="en-US" w:eastAsia="zh-CN"/>
              </w:rPr>
            </w:pPr>
          </w:p>
        </w:tc>
        <w:tc>
          <w:tcPr>
            <w:tcW w:w="4873" w:type="dxa"/>
            <w:vAlign w:val="center"/>
          </w:tcPr>
          <w:p w14:paraId="202DDBD1">
            <w:pPr>
              <w:pStyle w:val="145"/>
              <w:rPr>
                <w:rFonts w:hint="eastAsia"/>
                <w:lang w:val="en-US" w:eastAsia="zh-CN"/>
              </w:rPr>
            </w:pPr>
          </w:p>
        </w:tc>
      </w:tr>
      <w:tr w14:paraId="431C18A6">
        <w:tblPrEx>
          <w:tblCellMar>
            <w:top w:w="0" w:type="dxa"/>
            <w:left w:w="108" w:type="dxa"/>
            <w:bottom w:w="0" w:type="dxa"/>
            <w:right w:w="108" w:type="dxa"/>
          </w:tblCellMar>
        </w:tblPrEx>
        <w:trPr>
          <w:jc w:val="center"/>
        </w:trPr>
        <w:tc>
          <w:tcPr>
            <w:tcW w:w="4873" w:type="dxa"/>
          </w:tcPr>
          <w:p w14:paraId="727356E9">
            <w:pPr>
              <w:pStyle w:val="145"/>
              <w:rPr>
                <w:lang w:val="en-US" w:eastAsia="zh-CN"/>
              </w:rPr>
            </w:pPr>
            <w:r>
              <w:rPr>
                <w:rFonts w:hint="eastAsia"/>
                <w:lang w:val="en-US" w:eastAsia="zh-CN"/>
              </w:rPr>
              <w:t>国外</w:t>
            </w:r>
            <w:r>
              <w:rPr>
                <w:lang w:val="en-US" w:eastAsia="zh-CN"/>
              </w:rPr>
              <w:t>典型参与方</w:t>
            </w:r>
          </w:p>
        </w:tc>
        <w:tc>
          <w:tcPr>
            <w:tcW w:w="4873" w:type="dxa"/>
          </w:tcPr>
          <w:p w14:paraId="4DDA19C9">
            <w:pPr>
              <w:pStyle w:val="145"/>
              <w:rPr>
                <w:lang w:val="en-US"/>
              </w:rPr>
            </w:pPr>
            <w:r>
              <w:rPr>
                <w:lang w:val="en-US"/>
              </w:rPr>
              <w:t>Climeworks</w:t>
            </w:r>
            <w:r>
              <w:rPr>
                <w:rFonts w:hint="eastAsia"/>
                <w:lang w:val="en-US" w:eastAsia="zh-CN"/>
              </w:rPr>
              <w:t xml:space="preserve">, </w:t>
            </w:r>
            <w:r>
              <w:rPr>
                <w:lang w:val="en-US"/>
              </w:rPr>
              <w:t>Avnos</w:t>
            </w:r>
            <w:r>
              <w:rPr>
                <w:rFonts w:hint="eastAsia"/>
                <w:lang w:val="en-US" w:eastAsia="zh-CN"/>
              </w:rPr>
              <w:t xml:space="preserve">, </w:t>
            </w:r>
            <w:r>
              <w:rPr>
                <w:lang w:val="en-US"/>
              </w:rPr>
              <w:t>Compact Membrane Systems</w:t>
            </w:r>
            <w:r>
              <w:rPr>
                <w:rFonts w:hint="eastAsia"/>
                <w:lang w:val="en-US" w:eastAsia="zh-CN"/>
              </w:rPr>
              <w:t xml:space="preserve">, </w:t>
            </w:r>
            <w:r>
              <w:rPr>
                <w:lang w:val="en-US"/>
              </w:rPr>
              <w:t>Global Thermostat</w:t>
            </w:r>
            <w:r>
              <w:rPr>
                <w:rFonts w:hint="eastAsia"/>
                <w:lang w:val="en-US" w:eastAsia="zh-CN"/>
              </w:rPr>
              <w:t xml:space="preserve">, </w:t>
            </w:r>
            <w:r>
              <w:rPr>
                <w:lang w:val="en-US"/>
              </w:rPr>
              <w:t>Novomer</w:t>
            </w:r>
            <w:r>
              <w:rPr>
                <w:rFonts w:hint="eastAsia"/>
                <w:lang w:val="en-US" w:eastAsia="zh-CN"/>
              </w:rPr>
              <w:t xml:space="preserve">, </w:t>
            </w:r>
            <w:r>
              <w:rPr>
                <w:lang w:val="en-US"/>
              </w:rPr>
              <w:t>OXY</w:t>
            </w:r>
            <w:r>
              <w:rPr>
                <w:rFonts w:hint="eastAsia"/>
                <w:lang w:val="en-US" w:eastAsia="zh-CN"/>
              </w:rPr>
              <w:t xml:space="preserve">, </w:t>
            </w:r>
            <w:r>
              <w:rPr>
                <w:lang w:val="en-US"/>
              </w:rPr>
              <w:t>Petrobras</w:t>
            </w:r>
            <w:r>
              <w:rPr>
                <w:rFonts w:hint="eastAsia"/>
                <w:lang w:val="en-US" w:eastAsia="zh-CN"/>
              </w:rPr>
              <w:t xml:space="preserve">, </w:t>
            </w:r>
            <w:r>
              <w:rPr>
                <w:lang w:val="en-US"/>
              </w:rPr>
              <w:t>Chevron Corporation</w:t>
            </w:r>
            <w:r>
              <w:rPr>
                <w:rFonts w:hint="eastAsia"/>
                <w:lang w:val="en-US" w:eastAsia="zh-CN"/>
              </w:rPr>
              <w:t xml:space="preserve">, </w:t>
            </w:r>
            <w:r>
              <w:rPr>
                <w:lang w:val="en-US"/>
              </w:rPr>
              <w:t>Carbfix</w:t>
            </w:r>
            <w:r>
              <w:rPr>
                <w:rFonts w:hint="eastAsia"/>
                <w:lang w:val="en-US" w:eastAsia="zh-CN"/>
              </w:rPr>
              <w:t xml:space="preserve">, </w:t>
            </w:r>
            <w:r>
              <w:rPr>
                <w:lang w:val="en-US"/>
              </w:rPr>
              <w:t>SLB Capturi</w:t>
            </w:r>
            <w:r>
              <w:rPr>
                <w:rFonts w:hint="eastAsia"/>
                <w:lang w:val="en-US" w:eastAsia="zh-CN"/>
              </w:rPr>
              <w:t xml:space="preserve">, </w:t>
            </w:r>
            <w:r>
              <w:rPr>
                <w:lang w:val="en-US"/>
              </w:rPr>
              <w:t>Exxon Mobil</w:t>
            </w:r>
            <w:r>
              <w:rPr>
                <w:rFonts w:hint="eastAsia"/>
                <w:lang w:val="en-US" w:eastAsia="zh-CN"/>
              </w:rPr>
              <w:t xml:space="preserve">, </w:t>
            </w:r>
            <w:r>
              <w:rPr>
                <w:lang w:val="en-US"/>
              </w:rPr>
              <w:t>Honeywell</w:t>
            </w:r>
            <w:r>
              <w:rPr>
                <w:rFonts w:hint="eastAsia"/>
                <w:lang w:val="en-US" w:eastAsia="zh-CN"/>
              </w:rPr>
              <w:t xml:space="preserve">, </w:t>
            </w:r>
            <w:r>
              <w:rPr>
                <w:lang w:val="en-US"/>
              </w:rPr>
              <w:t>Aker Solutions</w:t>
            </w:r>
            <w:r>
              <w:rPr>
                <w:rFonts w:hint="eastAsia"/>
                <w:lang w:val="en-US" w:eastAsia="zh-CN"/>
              </w:rPr>
              <w:t xml:space="preserve">, </w:t>
            </w:r>
            <w:r>
              <w:rPr>
                <w:lang w:val="en-US"/>
              </w:rPr>
              <w:t>Carbon clean</w:t>
            </w:r>
            <w:r>
              <w:rPr>
                <w:rFonts w:hint="eastAsia"/>
                <w:lang w:val="en-US" w:eastAsia="zh-CN"/>
              </w:rPr>
              <w:t xml:space="preserve">, </w:t>
            </w:r>
            <w:r>
              <w:rPr>
                <w:lang w:val="en-US"/>
              </w:rPr>
              <w:t>Linde</w:t>
            </w:r>
            <w:r>
              <w:rPr>
                <w:rFonts w:hint="eastAsia"/>
                <w:lang w:val="en-US" w:eastAsia="zh-CN"/>
              </w:rPr>
              <w:t xml:space="preserve">, </w:t>
            </w:r>
            <w:r>
              <w:rPr>
                <w:lang w:val="en-US"/>
              </w:rPr>
              <w:t>BASF</w:t>
            </w:r>
            <w:r>
              <w:rPr>
                <w:rFonts w:hint="eastAsia"/>
                <w:lang w:val="en-US" w:eastAsia="zh-CN"/>
              </w:rPr>
              <w:t xml:space="preserve">, </w:t>
            </w:r>
            <w:r>
              <w:rPr>
                <w:lang w:val="en-US"/>
              </w:rPr>
              <w:t>Mitsubishi Heavy Industries</w:t>
            </w:r>
            <w:r>
              <w:rPr>
                <w:rFonts w:hint="eastAsia"/>
                <w:lang w:val="en-US" w:eastAsia="zh-CN"/>
              </w:rPr>
              <w:t xml:space="preserve">, </w:t>
            </w:r>
            <w:r>
              <w:rPr>
                <w:lang w:val="en-US"/>
              </w:rPr>
              <w:t>Fluor Corporation</w:t>
            </w:r>
            <w:r>
              <w:rPr>
                <w:rFonts w:hint="eastAsia"/>
                <w:lang w:val="en-US" w:eastAsia="zh-CN"/>
              </w:rPr>
              <w:t xml:space="preserve">, </w:t>
            </w:r>
            <w:r>
              <w:rPr>
                <w:lang w:val="en-US"/>
              </w:rPr>
              <w:t>Baker Hughes</w:t>
            </w:r>
            <w:r>
              <w:rPr>
                <w:rFonts w:hint="eastAsia"/>
                <w:lang w:val="en-US" w:eastAsia="zh-CN"/>
              </w:rPr>
              <w:t xml:space="preserve">, </w:t>
            </w:r>
            <w:r>
              <w:rPr>
                <w:lang w:val="en-US"/>
              </w:rPr>
              <w:t>Shell CANSOLV</w:t>
            </w:r>
            <w:r>
              <w:rPr>
                <w:rFonts w:hint="eastAsia"/>
                <w:lang w:val="en-US" w:eastAsia="zh-CN"/>
              </w:rPr>
              <w:t xml:space="preserve">, </w:t>
            </w:r>
            <w:r>
              <w:rPr>
                <w:lang w:val="en-US"/>
              </w:rPr>
              <w:t>Siemens Energy</w:t>
            </w:r>
          </w:p>
        </w:tc>
      </w:tr>
      <w:tr w14:paraId="27CE7E19">
        <w:tblPrEx>
          <w:tblCellMar>
            <w:top w:w="0" w:type="dxa"/>
            <w:left w:w="108" w:type="dxa"/>
            <w:bottom w:w="0" w:type="dxa"/>
            <w:right w:w="108" w:type="dxa"/>
          </w:tblCellMar>
        </w:tblPrEx>
        <w:trPr>
          <w:jc w:val="center"/>
        </w:trPr>
        <w:tc>
          <w:tcPr>
            <w:tcW w:w="4873" w:type="dxa"/>
          </w:tcPr>
          <w:p w14:paraId="27EA6FF9">
            <w:pPr>
              <w:pStyle w:val="145"/>
              <w:rPr>
                <w:lang w:val="en-US"/>
              </w:rPr>
            </w:pPr>
            <w:r>
              <w:rPr>
                <w:lang w:val="en-US"/>
              </w:rPr>
              <w:t>中国典型参与方</w:t>
            </w:r>
          </w:p>
        </w:tc>
        <w:tc>
          <w:tcPr>
            <w:tcW w:w="4873" w:type="dxa"/>
          </w:tcPr>
          <w:p w14:paraId="67D66ADD">
            <w:pPr>
              <w:pStyle w:val="145"/>
              <w:rPr>
                <w:rFonts w:hint="eastAsia"/>
                <w:lang w:val="en-US" w:eastAsia="zh-CN"/>
              </w:rPr>
            </w:pPr>
            <w:r>
              <w:rPr>
                <w:lang w:val="en-US" w:eastAsia="zh-CN"/>
              </w:rPr>
              <w:t>华能集团</w:t>
            </w:r>
            <w:r>
              <w:rPr>
                <w:rFonts w:hint="eastAsia"/>
                <w:lang w:val="en-US" w:eastAsia="zh-CN"/>
              </w:rPr>
              <w:t>，</w:t>
            </w:r>
            <w:r>
              <w:rPr>
                <w:lang w:val="en-US" w:eastAsia="zh-CN"/>
              </w:rPr>
              <w:t>国家能源集团</w:t>
            </w:r>
            <w:r>
              <w:rPr>
                <w:rFonts w:hint="eastAsia"/>
                <w:lang w:val="en-US" w:eastAsia="zh-CN"/>
              </w:rPr>
              <w:t>，</w:t>
            </w:r>
            <w:r>
              <w:rPr>
                <w:lang w:val="en-US" w:eastAsia="zh-CN"/>
              </w:rPr>
              <w:t>中国石化</w:t>
            </w:r>
            <w:r>
              <w:rPr>
                <w:rFonts w:hint="eastAsia"/>
                <w:lang w:val="en-US" w:eastAsia="zh-CN"/>
              </w:rPr>
              <w:t>，</w:t>
            </w:r>
            <w:r>
              <w:rPr>
                <w:lang w:val="en-US" w:eastAsia="zh-CN"/>
              </w:rPr>
              <w:t>中国石油</w:t>
            </w:r>
            <w:r>
              <w:rPr>
                <w:rFonts w:hint="eastAsia"/>
                <w:lang w:val="en-US" w:eastAsia="zh-CN"/>
              </w:rPr>
              <w:t>，</w:t>
            </w:r>
            <w:r>
              <w:rPr>
                <w:lang w:val="en-US" w:eastAsia="zh-CN"/>
              </w:rPr>
              <w:t>上海电气集团</w:t>
            </w:r>
            <w:r>
              <w:rPr>
                <w:rFonts w:hint="eastAsia"/>
                <w:lang w:val="en-US" w:eastAsia="zh-CN"/>
              </w:rPr>
              <w:t>，</w:t>
            </w:r>
            <w:r>
              <w:rPr>
                <w:lang w:val="en-US" w:eastAsia="zh-CN"/>
              </w:rPr>
              <w:t>中国能建</w:t>
            </w:r>
            <w:r>
              <w:rPr>
                <w:rFonts w:hint="eastAsia"/>
                <w:lang w:val="en-US" w:eastAsia="zh-CN"/>
              </w:rPr>
              <w:t>，北京能源集团有限责任公司，上海电气集团，广汇能源股份有限公司，中国中煤能源集团有限公司，华润集团，广东省能源集团有限公司，瀜矿科技(上海)有限公司，河钢，霖和气候科技，江苏绿碳纳米科技有限公司，中科翎碳，北京首钢朗泽科技股份有限公司，原初科技（北京）有限公司，碳能科技，安徽伏碳科技有限公司，中科汇智，清捕零碳，费曼动力，碳达新材</w:t>
            </w:r>
          </w:p>
        </w:tc>
      </w:tr>
    </w:tbl>
    <w:p w14:paraId="688196A8">
      <w:pPr>
        <w:pStyle w:val="167"/>
        <w:rPr>
          <w:lang w:eastAsia="zh-CN"/>
        </w:rPr>
      </w:pPr>
    </w:p>
    <w:p w14:paraId="5B138C2D">
      <w:pPr>
        <w:pStyle w:val="167"/>
        <w:rPr>
          <w:rFonts w:hint="eastAsia"/>
          <w:lang w:eastAsia="zh-CN"/>
        </w:rPr>
      </w:pPr>
    </w:p>
    <w:p w14:paraId="70618303">
      <w:pPr>
        <w:pStyle w:val="167"/>
        <w:rPr>
          <w:rFonts w:hint="eastAsia"/>
          <w:lang w:eastAsia="zh-CN"/>
        </w:rPr>
      </w:pPr>
      <w:r>
        <w:rPr>
          <w:rFonts w:hint="eastAsia"/>
          <w:lang w:eastAsia="zh-CN"/>
        </w:rPr>
        <w:t>主要技术/法规/安全标准</w:t>
      </w:r>
    </w:p>
    <w:p w14:paraId="102DFFA6">
      <w:pPr>
        <w:pStyle w:val="143"/>
        <w:rPr>
          <w:i w:val="0"/>
          <w:sz w:val="21"/>
          <w:lang w:eastAsia="zh-CN"/>
        </w:rPr>
      </w:pPr>
      <w:r>
        <w:rPr>
          <w:rFonts w:hint="eastAsia"/>
          <w:i w:val="0"/>
          <w:sz w:val="21"/>
          <w:lang w:eastAsia="zh-CN"/>
        </w:rPr>
        <w:t>国际｜ISO 27914:2017：二氧化碳地质封存要求与建议（选址、设计、运行、关闭、风险与利益相关方管理等），强调安全、长期封存与环境健康风险最小化。</w:t>
      </w:r>
    </w:p>
    <w:p w14:paraId="701EA54E">
      <w:pPr>
        <w:pStyle w:val="143"/>
        <w:rPr>
          <w:rFonts w:hint="eastAsia"/>
          <w:i w:val="0"/>
          <w:sz w:val="21"/>
          <w:lang w:eastAsia="zh-CN"/>
        </w:rPr>
      </w:pPr>
      <w:r>
        <w:rPr>
          <w:rFonts w:hint="eastAsia"/>
          <w:i w:val="0"/>
          <w:sz w:val="21"/>
          <w:lang w:eastAsia="zh-CN"/>
        </w:rPr>
        <w:t>国际｜</w:t>
      </w:r>
      <w:r>
        <w:rPr>
          <w:i w:val="0"/>
          <w:sz w:val="21"/>
          <w:lang w:eastAsia="zh-CN"/>
        </w:rPr>
        <w:t>ISO 27913:2024</w:t>
      </w:r>
      <w:r>
        <w:rPr>
          <w:rFonts w:hint="eastAsia"/>
          <w:i w:val="0"/>
          <w:sz w:val="21"/>
          <w:lang w:eastAsia="zh-CN"/>
        </w:rPr>
        <w:t>：</w:t>
      </w:r>
      <w:r>
        <w:rPr>
          <w:i w:val="0"/>
          <w:sz w:val="21"/>
          <w:lang w:eastAsia="zh-CN"/>
        </w:rPr>
        <w:t>CO₂</w:t>
      </w:r>
      <w:r>
        <w:rPr>
          <w:rFonts w:hint="eastAsia"/>
          <w:i w:val="0"/>
          <w:sz w:val="21"/>
          <w:lang w:eastAsia="zh-CN"/>
        </w:rPr>
        <w:t>流体管道输送系统要求（从捕集端到封存</w:t>
      </w:r>
      <w:r>
        <w:rPr>
          <w:i w:val="0"/>
          <w:sz w:val="21"/>
          <w:lang w:eastAsia="zh-CN"/>
        </w:rPr>
        <w:t>/</w:t>
      </w:r>
      <w:r>
        <w:rPr>
          <w:rFonts w:hint="eastAsia"/>
          <w:i w:val="0"/>
          <w:sz w:val="21"/>
          <w:lang w:eastAsia="zh-CN"/>
        </w:rPr>
        <w:t>利用端的安全可靠输送）。</w:t>
      </w:r>
    </w:p>
    <w:p w14:paraId="62B89C24">
      <w:pPr>
        <w:pStyle w:val="143"/>
        <w:rPr>
          <w:i w:val="0"/>
          <w:sz w:val="21"/>
          <w:lang w:eastAsia="zh-CN"/>
        </w:rPr>
      </w:pPr>
      <w:r>
        <w:rPr>
          <w:rFonts w:hint="eastAsia"/>
          <w:i w:val="0"/>
          <w:sz w:val="21"/>
          <w:lang w:eastAsia="zh-CN"/>
        </w:rPr>
        <w:t>国际｜</w:t>
      </w:r>
      <w:r>
        <w:rPr>
          <w:i w:val="0"/>
          <w:sz w:val="21"/>
          <w:lang w:eastAsia="zh-CN"/>
        </w:rPr>
        <w:t>ISO 27916:2019</w:t>
      </w:r>
      <w:r>
        <w:rPr>
          <w:rFonts w:hint="eastAsia"/>
          <w:i w:val="0"/>
          <w:sz w:val="21"/>
          <w:lang w:eastAsia="zh-CN"/>
        </w:rPr>
        <w:t>：</w:t>
      </w:r>
      <w:r>
        <w:rPr>
          <w:i w:val="0"/>
          <w:sz w:val="21"/>
          <w:lang w:eastAsia="zh-CN"/>
        </w:rPr>
        <w:t>CO₂</w:t>
      </w:r>
      <w:r>
        <w:rPr>
          <w:rFonts w:hint="eastAsia"/>
          <w:i w:val="0"/>
          <w:sz w:val="21"/>
          <w:lang w:eastAsia="zh-CN"/>
        </w:rPr>
        <w:t>驱油（</w:t>
      </w:r>
      <w:r>
        <w:rPr>
          <w:i w:val="0"/>
          <w:sz w:val="21"/>
          <w:lang w:eastAsia="zh-CN"/>
        </w:rPr>
        <w:t>CO₂-EOR</w:t>
      </w:r>
      <w:r>
        <w:rPr>
          <w:rFonts w:hint="eastAsia"/>
          <w:i w:val="0"/>
          <w:sz w:val="21"/>
          <w:lang w:eastAsia="zh-CN"/>
        </w:rPr>
        <w:t>）过程中的“伴随地质封存量”核算与方法学框架。</w:t>
      </w:r>
    </w:p>
    <w:p w14:paraId="5894DFDE">
      <w:pPr>
        <w:pStyle w:val="143"/>
        <w:rPr>
          <w:i w:val="0"/>
          <w:sz w:val="21"/>
          <w:lang w:eastAsia="zh-CN"/>
        </w:rPr>
      </w:pPr>
      <w:r>
        <w:rPr>
          <w:rFonts w:hint="eastAsia"/>
          <w:i w:val="0"/>
          <w:sz w:val="21"/>
          <w:lang w:eastAsia="zh-CN"/>
        </w:rPr>
        <w:t>欧盟：二氧化碳地质封存（CCS）指令，覆盖许可、选址、监测与关闭后责任等核心监管要求。</w:t>
      </w:r>
    </w:p>
    <w:p w14:paraId="1C5DD7B2">
      <w:pPr>
        <w:pStyle w:val="143"/>
        <w:rPr>
          <w:rFonts w:hint="eastAsia"/>
          <w:i w:val="0"/>
          <w:sz w:val="21"/>
          <w:lang w:eastAsia="zh-CN"/>
        </w:rPr>
      </w:pPr>
      <w:r>
        <w:rPr>
          <w:rFonts w:hint="eastAsia"/>
          <w:i w:val="0"/>
          <w:sz w:val="21"/>
          <w:lang w:eastAsia="zh-CN"/>
        </w:rPr>
        <w:t>美国：</w:t>
      </w:r>
      <w:r>
        <w:rPr>
          <w:i w:val="0"/>
          <w:sz w:val="21"/>
          <w:lang w:eastAsia="zh-CN"/>
        </w:rPr>
        <w:t>CO₂</w:t>
      </w:r>
      <w:r>
        <w:rPr>
          <w:rFonts w:hint="eastAsia"/>
          <w:i w:val="0"/>
          <w:sz w:val="21"/>
          <w:lang w:eastAsia="zh-CN"/>
        </w:rPr>
        <w:t>地质封存注入井（</w:t>
      </w:r>
      <w:r>
        <w:rPr>
          <w:i w:val="0"/>
          <w:sz w:val="21"/>
          <w:lang w:eastAsia="zh-CN"/>
        </w:rPr>
        <w:t>Class VI</w:t>
      </w:r>
      <w:r>
        <w:rPr>
          <w:rFonts w:hint="eastAsia"/>
          <w:i w:val="0"/>
          <w:sz w:val="21"/>
          <w:lang w:eastAsia="zh-CN"/>
        </w:rPr>
        <w:t>）许可与技术监管框架。</w:t>
      </w:r>
    </w:p>
    <w:p w14:paraId="572888A0">
      <w:pPr>
        <w:pStyle w:val="143"/>
        <w:rPr>
          <w:rFonts w:hint="eastAsia"/>
          <w:i w:val="0"/>
          <w:sz w:val="21"/>
          <w:lang w:eastAsia="zh-CN"/>
        </w:rPr>
      </w:pPr>
      <w:r>
        <w:rPr>
          <w:rFonts w:hint="eastAsia"/>
          <w:i w:val="0"/>
          <w:sz w:val="21"/>
          <w:lang w:eastAsia="zh-CN"/>
        </w:rPr>
        <w:t>美国：地质封存注入相关温室气体信息披露与核算要求。</w:t>
      </w:r>
    </w:p>
    <w:p w14:paraId="44E54475">
      <w:pPr>
        <w:pStyle w:val="143"/>
        <w:rPr>
          <w:i w:val="0"/>
          <w:sz w:val="21"/>
          <w:lang w:eastAsia="zh-CN"/>
        </w:rPr>
      </w:pPr>
    </w:p>
    <w:p w14:paraId="1183C183">
      <w:pPr>
        <w:pStyle w:val="167"/>
        <w:rPr>
          <w:rFonts w:hint="eastAsia"/>
          <w:lang w:eastAsia="zh-CN"/>
        </w:rPr>
      </w:pPr>
      <w:r>
        <w:rPr>
          <w:rFonts w:hint="eastAsia"/>
          <w:lang w:eastAsia="zh-CN"/>
        </w:rPr>
        <w:t>历史发展</w:t>
      </w:r>
    </w:p>
    <w:p w14:paraId="06A3707F">
      <w:pPr>
        <w:pStyle w:val="143"/>
        <w:rPr>
          <w:i w:val="0"/>
          <w:sz w:val="21"/>
          <w:lang w:eastAsia="zh-CN"/>
        </w:rPr>
      </w:pPr>
      <w:r>
        <w:rPr>
          <w:i w:val="0"/>
          <w:sz w:val="21"/>
          <w:lang w:eastAsia="zh-CN"/>
        </w:rPr>
        <w:t>2025-04</w:t>
      </w:r>
      <w:r>
        <w:rPr>
          <w:rFonts w:hint="eastAsia"/>
          <w:i w:val="0"/>
          <w:sz w:val="21"/>
          <w:lang w:eastAsia="zh-CN"/>
        </w:rPr>
        <w:t>｜美国：电力行业“高捕集率</w:t>
      </w:r>
      <w:r>
        <w:rPr>
          <w:i w:val="0"/>
          <w:sz w:val="21"/>
          <w:lang w:eastAsia="zh-CN"/>
        </w:rPr>
        <w:t>+</w:t>
      </w:r>
      <w:r>
        <w:rPr>
          <w:rFonts w:hint="eastAsia"/>
          <w:i w:val="0"/>
          <w:sz w:val="21"/>
          <w:lang w:eastAsia="zh-CN"/>
        </w:rPr>
        <w:t>枢纽封存”商业化加速——</w:t>
      </w:r>
      <w:r>
        <w:rPr>
          <w:i w:val="0"/>
          <w:sz w:val="21"/>
          <w:lang w:eastAsia="zh-CN"/>
        </w:rPr>
        <w:t>Calpine Baytown</w:t>
      </w:r>
      <w:r>
        <w:rPr>
          <w:rFonts w:hint="eastAsia"/>
          <w:i w:val="0"/>
          <w:sz w:val="21"/>
          <w:lang w:eastAsia="zh-CN"/>
        </w:rPr>
        <w:t>项目计划捕集约</w:t>
      </w:r>
      <w:r>
        <w:rPr>
          <w:i w:val="0"/>
          <w:sz w:val="21"/>
          <w:lang w:eastAsia="zh-CN"/>
        </w:rPr>
        <w:t>95%</w:t>
      </w:r>
      <w:r>
        <w:rPr>
          <w:rFonts w:hint="eastAsia"/>
          <w:i w:val="0"/>
          <w:sz w:val="21"/>
          <w:lang w:eastAsia="zh-CN"/>
        </w:rPr>
        <w:t>电厂</w:t>
      </w:r>
      <w:r>
        <w:rPr>
          <w:i w:val="0"/>
          <w:sz w:val="21"/>
          <w:lang w:eastAsia="zh-CN"/>
        </w:rPr>
        <w:t>CO₂</w:t>
      </w:r>
      <w:r>
        <w:rPr>
          <w:rFonts w:hint="eastAsia"/>
          <w:i w:val="0"/>
          <w:sz w:val="21"/>
          <w:lang w:eastAsia="zh-CN"/>
        </w:rPr>
        <w:t>，并由</w:t>
      </w:r>
      <w:r>
        <w:rPr>
          <w:i w:val="0"/>
          <w:sz w:val="21"/>
          <w:lang w:eastAsia="zh-CN"/>
        </w:rPr>
        <w:t>ExxonMobil</w:t>
      </w:r>
      <w:r>
        <w:rPr>
          <w:rFonts w:hint="eastAsia"/>
          <w:i w:val="0"/>
          <w:sz w:val="21"/>
          <w:lang w:eastAsia="zh-CN"/>
        </w:rPr>
        <w:t>运输与永久封存，合同规模最高</w:t>
      </w:r>
      <w:r>
        <w:rPr>
          <w:i w:val="0"/>
          <w:sz w:val="21"/>
          <w:lang w:eastAsia="zh-CN"/>
        </w:rPr>
        <w:t>200</w:t>
      </w:r>
      <w:r>
        <w:rPr>
          <w:rFonts w:hint="eastAsia"/>
          <w:i w:val="0"/>
          <w:sz w:val="21"/>
          <w:lang w:eastAsia="zh-CN"/>
        </w:rPr>
        <w:t>万吨</w:t>
      </w:r>
      <w:r>
        <w:rPr>
          <w:i w:val="0"/>
          <w:sz w:val="21"/>
          <w:lang w:eastAsia="zh-CN"/>
        </w:rPr>
        <w:t>/</w:t>
      </w:r>
      <w:r>
        <w:rPr>
          <w:rFonts w:hint="eastAsia"/>
          <w:i w:val="0"/>
          <w:sz w:val="21"/>
          <w:lang w:eastAsia="zh-CN"/>
        </w:rPr>
        <w:t>年。</w:t>
      </w:r>
    </w:p>
    <w:p w14:paraId="1B47F985">
      <w:pPr>
        <w:pStyle w:val="143"/>
        <w:rPr>
          <w:i w:val="0"/>
          <w:sz w:val="21"/>
          <w:lang w:eastAsia="zh-CN"/>
        </w:rPr>
      </w:pPr>
    </w:p>
    <w:p w14:paraId="333C29AD">
      <w:pPr>
        <w:pStyle w:val="143"/>
        <w:rPr>
          <w:i w:val="0"/>
          <w:sz w:val="21"/>
          <w:lang w:eastAsia="zh-CN"/>
        </w:rPr>
      </w:pPr>
      <w:r>
        <w:rPr>
          <w:i w:val="0"/>
          <w:sz w:val="21"/>
          <w:lang w:eastAsia="zh-CN"/>
        </w:rPr>
        <w:t>2025-03</w:t>
      </w:r>
      <w:r>
        <w:rPr>
          <w:rFonts w:hint="eastAsia"/>
          <w:i w:val="0"/>
          <w:sz w:val="21"/>
          <w:lang w:eastAsia="zh-CN"/>
        </w:rPr>
        <w:t>｜欧洲：跨境</w:t>
      </w:r>
      <w:r>
        <w:rPr>
          <w:i w:val="0"/>
          <w:sz w:val="21"/>
          <w:lang w:eastAsia="zh-CN"/>
        </w:rPr>
        <w:t>CO₂</w:t>
      </w:r>
      <w:r>
        <w:rPr>
          <w:rFonts w:hint="eastAsia"/>
          <w:i w:val="0"/>
          <w:sz w:val="21"/>
          <w:lang w:eastAsia="zh-CN"/>
        </w:rPr>
        <w:t>运输</w:t>
      </w:r>
      <w:r>
        <w:rPr>
          <w:i w:val="0"/>
          <w:sz w:val="21"/>
          <w:lang w:eastAsia="zh-CN"/>
        </w:rPr>
        <w:t>+</w:t>
      </w:r>
      <w:r>
        <w:rPr>
          <w:rFonts w:hint="eastAsia"/>
          <w:i w:val="0"/>
          <w:sz w:val="21"/>
          <w:lang w:eastAsia="zh-CN"/>
        </w:rPr>
        <w:t>海上封存进入工程兑现期——</w:t>
      </w:r>
      <w:r>
        <w:rPr>
          <w:i w:val="0"/>
          <w:sz w:val="21"/>
          <w:lang w:eastAsia="zh-CN"/>
        </w:rPr>
        <w:t>Equinor</w:t>
      </w:r>
      <w:r>
        <w:rPr>
          <w:rFonts w:hint="eastAsia"/>
          <w:i w:val="0"/>
          <w:sz w:val="21"/>
          <w:lang w:eastAsia="zh-CN"/>
        </w:rPr>
        <w:t>披露</w:t>
      </w:r>
      <w:r>
        <w:rPr>
          <w:i w:val="0"/>
          <w:sz w:val="21"/>
          <w:lang w:eastAsia="zh-CN"/>
        </w:rPr>
        <w:t>Northern Lights</w:t>
      </w:r>
      <w:r>
        <w:rPr>
          <w:rFonts w:hint="eastAsia"/>
          <w:i w:val="0"/>
          <w:sz w:val="21"/>
          <w:lang w:eastAsia="zh-CN"/>
        </w:rPr>
        <w:t>已完成建设并计划于</w:t>
      </w:r>
      <w:r>
        <w:rPr>
          <w:i w:val="0"/>
          <w:sz w:val="21"/>
          <w:lang w:eastAsia="zh-CN"/>
        </w:rPr>
        <w:t>2025</w:t>
      </w:r>
      <w:r>
        <w:rPr>
          <w:rFonts w:hint="eastAsia"/>
          <w:i w:val="0"/>
          <w:sz w:val="21"/>
          <w:lang w:eastAsia="zh-CN"/>
        </w:rPr>
        <w:t>年接收并封存</w:t>
      </w:r>
      <w:r>
        <w:rPr>
          <w:i w:val="0"/>
          <w:sz w:val="21"/>
          <w:lang w:eastAsia="zh-CN"/>
        </w:rPr>
        <w:t>CO₂</w:t>
      </w:r>
      <w:r>
        <w:rPr>
          <w:rFonts w:hint="eastAsia"/>
          <w:i w:val="0"/>
          <w:sz w:val="21"/>
          <w:lang w:eastAsia="zh-CN"/>
        </w:rPr>
        <w:t>，体现“开放式储存服务市场”路径。</w:t>
      </w:r>
    </w:p>
    <w:p w14:paraId="729B8DB4">
      <w:pPr>
        <w:pStyle w:val="143"/>
        <w:rPr>
          <w:i w:val="0"/>
          <w:sz w:val="21"/>
          <w:lang w:eastAsia="zh-CN"/>
        </w:rPr>
      </w:pPr>
    </w:p>
    <w:p w14:paraId="549838A9">
      <w:pPr>
        <w:pStyle w:val="143"/>
        <w:rPr>
          <w:rFonts w:hint="eastAsia"/>
          <w:i w:val="0"/>
          <w:sz w:val="21"/>
          <w:lang w:eastAsia="zh-CN"/>
        </w:rPr>
      </w:pPr>
      <w:r>
        <w:rPr>
          <w:rFonts w:hint="eastAsia"/>
          <w:i w:val="0"/>
          <w:sz w:val="21"/>
          <w:lang w:eastAsia="zh-CN"/>
        </w:rPr>
        <w:t>2025-06｜欧洲：储存能力从“示范”迈向“规模化扩建”——Northern Lights获得第二阶段扩建批准，计划将运输与封存能力提升至约500万吨/年量级。</w:t>
      </w:r>
    </w:p>
    <w:p w14:paraId="3A5DFF5D">
      <w:pPr>
        <w:pStyle w:val="143"/>
        <w:rPr>
          <w:i w:val="0"/>
          <w:sz w:val="21"/>
          <w:lang w:eastAsia="zh-CN"/>
        </w:rPr>
      </w:pPr>
    </w:p>
    <w:p w14:paraId="431A5925">
      <w:pPr>
        <w:pStyle w:val="143"/>
        <w:rPr>
          <w:i w:val="0"/>
          <w:sz w:val="21"/>
          <w:lang w:eastAsia="zh-CN"/>
        </w:rPr>
      </w:pPr>
      <w:r>
        <w:rPr>
          <w:i w:val="0"/>
          <w:sz w:val="21"/>
          <w:lang w:eastAsia="zh-CN"/>
        </w:rPr>
        <w:t>2023-04</w:t>
      </w:r>
      <w:r>
        <w:rPr>
          <w:rFonts w:hint="eastAsia"/>
          <w:i w:val="0"/>
          <w:sz w:val="21"/>
          <w:lang w:eastAsia="zh-CN"/>
        </w:rPr>
        <w:t>｜美国：</w:t>
      </w:r>
      <w:r>
        <w:rPr>
          <w:i w:val="0"/>
          <w:sz w:val="21"/>
          <w:lang w:eastAsia="zh-CN"/>
        </w:rPr>
        <w:t>DAC</w:t>
      </w:r>
      <w:r>
        <w:rPr>
          <w:rFonts w:hint="eastAsia"/>
          <w:i w:val="0"/>
          <w:sz w:val="21"/>
          <w:lang w:eastAsia="zh-CN"/>
        </w:rPr>
        <w:t>与“可核证负排放”走向大型化——</w:t>
      </w:r>
      <w:r>
        <w:rPr>
          <w:i w:val="0"/>
          <w:sz w:val="21"/>
          <w:lang w:eastAsia="zh-CN"/>
        </w:rPr>
        <w:t>1PointFive</w:t>
      </w:r>
      <w:r>
        <w:rPr>
          <w:rFonts w:hint="eastAsia"/>
          <w:i w:val="0"/>
          <w:sz w:val="21"/>
          <w:lang w:eastAsia="zh-CN"/>
        </w:rPr>
        <w:t>启动</w:t>
      </w:r>
      <w:r>
        <w:rPr>
          <w:i w:val="0"/>
          <w:sz w:val="21"/>
          <w:lang w:eastAsia="zh-CN"/>
        </w:rPr>
        <w:t>STRATOS DAC</w:t>
      </w:r>
      <w:r>
        <w:rPr>
          <w:rFonts w:hint="eastAsia"/>
          <w:i w:val="0"/>
          <w:sz w:val="21"/>
          <w:lang w:eastAsia="zh-CN"/>
        </w:rPr>
        <w:t>项目建设，设计年捕集能力</w:t>
      </w:r>
      <w:r>
        <w:rPr>
          <w:i w:val="0"/>
          <w:sz w:val="21"/>
          <w:lang w:eastAsia="zh-CN"/>
        </w:rPr>
        <w:t>50</w:t>
      </w:r>
      <w:r>
        <w:rPr>
          <w:rFonts w:hint="eastAsia"/>
          <w:i w:val="0"/>
          <w:sz w:val="21"/>
          <w:lang w:eastAsia="zh-CN"/>
        </w:rPr>
        <w:t>万吨</w:t>
      </w:r>
      <w:r>
        <w:rPr>
          <w:i w:val="0"/>
          <w:sz w:val="21"/>
          <w:lang w:eastAsia="zh-CN"/>
        </w:rPr>
        <w:t>CO₂/</w:t>
      </w:r>
      <w:r>
        <w:rPr>
          <w:rFonts w:hint="eastAsia"/>
          <w:i w:val="0"/>
          <w:sz w:val="21"/>
          <w:lang w:eastAsia="zh-CN"/>
        </w:rPr>
        <w:t>年，对“高质量移除量”供给形成标杆。</w:t>
      </w:r>
    </w:p>
    <w:p w14:paraId="33A26AED">
      <w:pPr>
        <w:pStyle w:val="143"/>
        <w:rPr>
          <w:i w:val="0"/>
          <w:sz w:val="21"/>
          <w:lang w:eastAsia="zh-CN"/>
        </w:rPr>
      </w:pPr>
    </w:p>
    <w:p w14:paraId="0108115E">
      <w:pPr>
        <w:pStyle w:val="143"/>
        <w:rPr>
          <w:rFonts w:hint="eastAsia"/>
          <w:i w:val="0"/>
          <w:sz w:val="21"/>
          <w:lang w:eastAsia="zh-CN"/>
        </w:rPr>
      </w:pPr>
      <w:r>
        <w:rPr>
          <w:i w:val="0"/>
          <w:sz w:val="21"/>
          <w:lang w:eastAsia="zh-CN"/>
        </w:rPr>
        <w:t>2022-09</w:t>
      </w:r>
      <w:r>
        <w:rPr>
          <w:rFonts w:hint="eastAsia"/>
          <w:i w:val="0"/>
          <w:sz w:val="21"/>
          <w:lang w:eastAsia="zh-CN"/>
        </w:rPr>
        <w:t>｜中国：百万吨级全链条示范投运——“齐鲁石化—胜利油田百万吨级</w:t>
      </w:r>
      <w:r>
        <w:rPr>
          <w:i w:val="0"/>
          <w:sz w:val="21"/>
          <w:lang w:eastAsia="zh-CN"/>
        </w:rPr>
        <w:t>CCUS</w:t>
      </w:r>
      <w:r>
        <w:rPr>
          <w:rFonts w:hint="eastAsia"/>
          <w:i w:val="0"/>
          <w:sz w:val="21"/>
          <w:lang w:eastAsia="zh-CN"/>
        </w:rPr>
        <w:t>项目”正式注气运行，年减排</w:t>
      </w:r>
      <w:r>
        <w:rPr>
          <w:i w:val="0"/>
          <w:sz w:val="21"/>
          <w:lang w:eastAsia="zh-CN"/>
        </w:rPr>
        <w:t>100</w:t>
      </w:r>
      <w:r>
        <w:rPr>
          <w:rFonts w:hint="eastAsia"/>
          <w:i w:val="0"/>
          <w:sz w:val="21"/>
          <w:lang w:eastAsia="zh-CN"/>
        </w:rPr>
        <w:t>万吨</w:t>
      </w:r>
      <w:r>
        <w:rPr>
          <w:i w:val="0"/>
          <w:sz w:val="21"/>
          <w:lang w:eastAsia="zh-CN"/>
        </w:rPr>
        <w:t>CO₂</w:t>
      </w:r>
      <w:r>
        <w:rPr>
          <w:rFonts w:hint="eastAsia"/>
          <w:i w:val="0"/>
          <w:sz w:val="21"/>
          <w:lang w:eastAsia="zh-CN"/>
        </w:rPr>
        <w:t>，并披露井网与长期注入规模等工程化关键参数。</w:t>
      </w:r>
    </w:p>
    <w:p w14:paraId="6236172C">
      <w:pPr>
        <w:pStyle w:val="143"/>
        <w:rPr>
          <w:rFonts w:hint="eastAsia"/>
          <w:lang w:val="en-US" w:eastAsia="zh-CN"/>
        </w:rPr>
      </w:pPr>
    </w:p>
    <w:p w14:paraId="60C6C3B0">
      <w:pPr>
        <w:pStyle w:val="167"/>
        <w:rPr>
          <w:rFonts w:hint="eastAsia"/>
          <w:lang w:eastAsia="zh-CN"/>
        </w:rPr>
      </w:pPr>
      <w:r>
        <w:rPr>
          <w:rFonts w:hint="eastAsia"/>
          <w:lang w:eastAsia="zh-CN"/>
        </w:rPr>
        <w:t>市场发展机遇与主要驱动因素</w:t>
      </w:r>
    </w:p>
    <w:p w14:paraId="0589CA11">
      <w:pPr>
        <w:pStyle w:val="143"/>
        <w:rPr>
          <w:i w:val="0"/>
          <w:sz w:val="21"/>
          <w:lang w:eastAsia="zh-CN"/>
        </w:rPr>
      </w:pPr>
      <w:r>
        <w:rPr>
          <w:rFonts w:hint="eastAsia"/>
          <w:i w:val="0"/>
          <w:sz w:val="21"/>
          <w:lang w:eastAsia="zh-CN"/>
        </w:rPr>
        <w:t>截至2024年7月，全球在运CCUS项目约50个、捕集能力约5100万吨/年，在建项目约44个、在建能力同为约5100万吨/年，而更广义的项目管线合计约628个、对应捕集能力约4.16亿吨/年，显示产业已从“单点示范”进入“多行业、多区域并进”的扩张阶段。 需求侧的核心牵引来自硬减排行业的合规减排压力与资本市场对可核证减排/移除资产的偏好：美国IRA对45Q进行增强，对永久封存给予最高85美元/吨、DAC永久封存最高180美元/吨的激励，显著抬升项目可融资性；欧盟则明确到2030年实现至少5000万吨/年地下</w:t>
      </w:r>
      <w:r>
        <w:rPr>
          <w:i w:val="0"/>
          <w:sz w:val="21"/>
          <w:lang w:eastAsia="zh-CN"/>
        </w:rPr>
        <w:t>CO₂</w:t>
      </w:r>
      <w:r>
        <w:rPr>
          <w:rFonts w:hint="eastAsia"/>
          <w:i w:val="0"/>
          <w:sz w:val="21"/>
          <w:lang w:eastAsia="zh-CN"/>
        </w:rPr>
        <w:t>注入能力目标，推动形成跨境“储存服务市场”。</w:t>
      </w:r>
    </w:p>
    <w:p w14:paraId="1AC7E2FB">
      <w:pPr>
        <w:pStyle w:val="143"/>
        <w:rPr>
          <w:rFonts w:hint="eastAsia"/>
          <w:i w:val="0"/>
          <w:sz w:val="21"/>
          <w:lang w:eastAsia="zh-CN"/>
        </w:rPr>
      </w:pPr>
    </w:p>
    <w:p w14:paraId="7D69892E">
      <w:pPr>
        <w:pStyle w:val="143"/>
        <w:rPr>
          <w:rFonts w:hint="eastAsia"/>
          <w:i w:val="0"/>
          <w:sz w:val="21"/>
          <w:lang w:eastAsia="zh-CN"/>
        </w:rPr>
      </w:pPr>
      <w:r>
        <w:rPr>
          <w:rFonts w:hint="eastAsia"/>
          <w:i w:val="0"/>
          <w:sz w:val="21"/>
          <w:lang w:eastAsia="zh-CN"/>
        </w:rPr>
        <w:t>市场挑战、风险与约束</w:t>
      </w:r>
    </w:p>
    <w:p w14:paraId="54C0A5B7">
      <w:pPr>
        <w:pStyle w:val="143"/>
        <w:rPr>
          <w:rFonts w:hint="eastAsia"/>
          <w:i w:val="0"/>
          <w:sz w:val="21"/>
          <w:lang w:eastAsia="zh-CN"/>
        </w:rPr>
      </w:pPr>
      <w:r>
        <w:rPr>
          <w:rFonts w:hint="eastAsia"/>
          <w:i w:val="0"/>
          <w:sz w:val="21"/>
          <w:lang w:eastAsia="zh-CN"/>
        </w:rPr>
        <w:t>CCUS的商业化约束并非单一技术，而是“全链条风险定价”：捕集端能耗与成本、输送网络的公共安全与许可协调、储层选址与长期责任划分、以及MRV/披露要求的可操作性都会影响融资成本与交付周期。美国在监管层面以UIC Class VI建立地质封存注入井许可框架，同时通过温室气体报告规则要求对地质封存注入进行披露与核算，这类“强监管+强核证”路径提高了项目可信度，但也使审批、数据与合规成本成为项目节奏的关键变量。</w:t>
      </w:r>
    </w:p>
    <w:p w14:paraId="7DA24EFE">
      <w:pPr>
        <w:pStyle w:val="143"/>
        <w:rPr>
          <w:i w:val="0"/>
          <w:sz w:val="21"/>
          <w:lang w:eastAsia="zh-CN"/>
        </w:rPr>
      </w:pPr>
    </w:p>
    <w:p w14:paraId="3C223BDB">
      <w:pPr>
        <w:pStyle w:val="143"/>
        <w:rPr>
          <w:rFonts w:hint="eastAsia"/>
          <w:i w:val="0"/>
          <w:sz w:val="21"/>
          <w:lang w:eastAsia="zh-CN"/>
        </w:rPr>
      </w:pPr>
      <w:r>
        <w:rPr>
          <w:rFonts w:hint="eastAsia"/>
          <w:i w:val="0"/>
          <w:sz w:val="21"/>
          <w:lang w:eastAsia="zh-CN"/>
        </w:rPr>
        <w:t>下游需求趋势</w:t>
      </w:r>
    </w:p>
    <w:p w14:paraId="07A95001">
      <w:pPr>
        <w:pStyle w:val="145"/>
        <w:rPr>
          <w:lang w:eastAsia="zh-CN"/>
        </w:rPr>
      </w:pPr>
      <w:r>
        <w:rPr>
          <w:rFonts w:hint="eastAsia"/>
          <w:i w:val="0"/>
          <w:sz w:val="21"/>
          <w:lang w:eastAsia="zh-CN"/>
        </w:rPr>
        <w:t>下游应用正在由传统</w:t>
      </w:r>
      <w:r>
        <w:rPr>
          <w:i w:val="0"/>
          <w:sz w:val="21"/>
          <w:lang w:eastAsia="zh-CN"/>
        </w:rPr>
        <w:t>EOR</w:t>
      </w:r>
      <w:r>
        <w:rPr>
          <w:rFonts w:hint="eastAsia"/>
          <w:i w:val="0"/>
          <w:sz w:val="21"/>
          <w:lang w:eastAsia="zh-CN"/>
        </w:rPr>
        <w:t>逐步外溢至电力、氢能与高排放工业的“枢纽化”场景：例如美国天然气发电侧已出现面向</w:t>
      </w:r>
      <w:r>
        <w:rPr>
          <w:i w:val="0"/>
          <w:sz w:val="21"/>
          <w:lang w:eastAsia="zh-CN"/>
        </w:rPr>
        <w:t>95%</w:t>
      </w:r>
      <w:r>
        <w:rPr>
          <w:rFonts w:hint="eastAsia"/>
          <w:i w:val="0"/>
          <w:sz w:val="21"/>
          <w:lang w:eastAsia="zh-CN"/>
        </w:rPr>
        <w:t>捕集率的规模化项目，并与沿海储存资源、既有</w:t>
      </w:r>
      <w:r>
        <w:rPr>
          <w:i w:val="0"/>
          <w:sz w:val="21"/>
          <w:lang w:eastAsia="zh-CN"/>
        </w:rPr>
        <w:t>CO₂</w:t>
      </w:r>
      <w:r>
        <w:rPr>
          <w:rFonts w:hint="eastAsia"/>
          <w:i w:val="0"/>
          <w:sz w:val="21"/>
          <w:lang w:eastAsia="zh-CN"/>
        </w:rPr>
        <w:t>管网与第三方封存服务绑定，体现“捕集—运输—封存”一体化交付趋势。</w:t>
      </w:r>
      <w:r>
        <w:rPr>
          <w:i w:val="0"/>
          <w:sz w:val="21"/>
          <w:lang w:eastAsia="zh-CN"/>
        </w:rPr>
        <w:t xml:space="preserve"> </w:t>
      </w:r>
      <w:r>
        <w:rPr>
          <w:rFonts w:hint="eastAsia"/>
          <w:i w:val="0"/>
          <w:sz w:val="21"/>
          <w:lang w:eastAsia="zh-CN"/>
        </w:rPr>
        <w:t>与此同时，“高质量碳移除”需求上升正在抬高</w:t>
      </w:r>
      <w:r>
        <w:rPr>
          <w:i w:val="0"/>
          <w:sz w:val="21"/>
          <w:lang w:eastAsia="zh-CN"/>
        </w:rPr>
        <w:t>DAC/</w:t>
      </w:r>
      <w:r>
        <w:rPr>
          <w:rFonts w:hint="eastAsia"/>
          <w:i w:val="0"/>
          <w:sz w:val="21"/>
          <w:lang w:eastAsia="zh-CN"/>
        </w:rPr>
        <w:t>生物质耦合封存等路径的战略地位——券商研究显示</w:t>
      </w:r>
      <w:r>
        <w:rPr>
          <w:i w:val="0"/>
          <w:sz w:val="21"/>
          <w:lang w:eastAsia="zh-CN"/>
        </w:rPr>
        <w:t>2025</w:t>
      </w:r>
      <w:r>
        <w:rPr>
          <w:rFonts w:hint="eastAsia"/>
          <w:i w:val="0"/>
          <w:sz w:val="21"/>
          <w:lang w:eastAsia="zh-CN"/>
        </w:rPr>
        <w:t>年碳移除长期直购协议市场金额与签约量显著增长，强化了对可核证、可交付移除量的需求侧确定性。</w:t>
      </w:r>
      <w:r>
        <w:rPr>
          <w:i w:val="0"/>
          <w:sz w:val="21"/>
          <w:lang w:eastAsia="zh-CN"/>
        </w:rPr>
        <w:t xml:space="preserve"> </w:t>
      </w:r>
      <w:r>
        <w:rPr>
          <w:rFonts w:hint="eastAsia"/>
          <w:i w:val="0"/>
          <w:sz w:val="21"/>
          <w:lang w:eastAsia="zh-CN"/>
        </w:rPr>
        <w:t>在中国，百万吨级全链条示范的投运与工程参数披露，正在加速从示范走向可复制的工业化能力沉淀，为化工、煤化工、炼化与油气田等场景的规模化奠定数据与工程基础。</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2EF"/>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25"/>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4F6"/>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9C7"/>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6F"/>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3EF"/>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05"/>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2ED"/>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2FB"/>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5EE"/>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35"/>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5D1"/>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A50"/>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011"/>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6B6"/>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125"/>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545"/>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3D5"/>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110"/>
    <w:rsid w:val="0049656E"/>
    <w:rsid w:val="004967BD"/>
    <w:rsid w:val="004967C0"/>
    <w:rsid w:val="00496B29"/>
    <w:rsid w:val="00496B60"/>
    <w:rsid w:val="00496BEE"/>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707"/>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B0E"/>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59C"/>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3C56"/>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04"/>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AEF"/>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18A"/>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1E7C"/>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0B6"/>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D1"/>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134"/>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B8E"/>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B38"/>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4EA"/>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6FA3"/>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DF8"/>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CF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1CC"/>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30"/>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30"/>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B65"/>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09D"/>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9D5"/>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84E"/>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8DA"/>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0E14"/>
    <w:rsid w:val="00B7130B"/>
    <w:rsid w:val="00B71469"/>
    <w:rsid w:val="00B71B16"/>
    <w:rsid w:val="00B71C57"/>
    <w:rsid w:val="00B72072"/>
    <w:rsid w:val="00B721BA"/>
    <w:rsid w:val="00B7226D"/>
    <w:rsid w:val="00B72466"/>
    <w:rsid w:val="00B724EF"/>
    <w:rsid w:val="00B72828"/>
    <w:rsid w:val="00B729C3"/>
    <w:rsid w:val="00B72C64"/>
    <w:rsid w:val="00B72D54"/>
    <w:rsid w:val="00B72F22"/>
    <w:rsid w:val="00B730AF"/>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77EC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AFC"/>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1FBE"/>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4C"/>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EA6"/>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13"/>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35D"/>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BD"/>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0DD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E80"/>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B46"/>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5E5B"/>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1E3"/>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1AB"/>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A8"/>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1D5"/>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22C"/>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1A3"/>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7D4"/>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13E"/>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D4E"/>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1EA"/>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322"/>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475"/>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0D"/>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BA33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2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2628</Words>
  <Characters>3298</Characters>
  <Lines>49</Lines>
  <Paragraphs>19</Paragraphs>
  <TotalTime>816</TotalTime>
  <ScaleCrop>false</ScaleCrop>
  <LinksUpToDate>false</LinksUpToDate>
  <CharactersWithSpaces>3359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2026-01-15T07:17:15Z</dcterms:modified>
  <cp:revision>1010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3BC4DA50E26B4CF39216C2A557765CC6_12</vt:lpwstr>
  </property>
</Properties>
</file>