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预浸料市场分析</w:t>
      </w:r>
      <w:r>
        <w:rPr>
          <w:rFonts w:hint="eastAsia"/>
          <w:lang w:eastAsia="zh-CN"/>
        </w:rPr>
        <w:t>：预计2031年全球市场销售额将达到103亿美元</w:t>
      </w:r>
    </w:p>
    <w:p w14:paraId="3BF8B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6D7107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预浸料（Prepreg）是复合材料制造中的关键中间产品，通过将增强纤维（如碳纤维、玻璃纤维）与树脂基体预先浸润固化形成卷材，广泛应用于航空航天、风电、体育用品等高附加值领域。其核心价值在于提升复合材料成型效率、优化力学性能并降低制造成本。</w:t>
      </w: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2024年全球预浸料市场规模达70.28亿美元，预计2031年将突破103亿美元，2025-2031年复合增长率（CAGR）为5.7%。</w:t>
      </w:r>
    </w:p>
    <w:p w14:paraId="28110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135" cy="2063750"/>
            <wp:effectExtent l="0" t="0" r="5715" b="12700"/>
            <wp:docPr id="1" name="图片 1" descr="预浸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预浸料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6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10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二、供应链结构与区域竞争格局</w:t>
      </w:r>
    </w:p>
    <w:p w14:paraId="1B5EA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供应链结构</w:t>
      </w:r>
    </w:p>
    <w:p w14:paraId="1C2B7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上游：增强纤维（碳纤维、玻璃纤维）及树脂基体（环氧树脂、酚醛树脂）供应商，核心企业包括日本东丽（Toray）、美国赫氏（Hexcel）等。</w:t>
      </w:r>
    </w:p>
    <w:p w14:paraId="74C54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中游：预浸料制造商通过“纤维铺展-树脂浸润-热压固化”工艺生产标准化或定制化产品，技术壁垒集中在树脂配方与浸润工艺。</w:t>
      </w:r>
    </w:p>
    <w:p w14:paraId="11583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下游：航空航天（占比35%）、风电（占比25%）、体育用品（占比15%）等终端行业，客户对材料性能与认证要求严苛。</w:t>
      </w:r>
    </w:p>
    <w:p w14:paraId="22E41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区域竞争格局</w:t>
      </w:r>
    </w:p>
    <w:p w14:paraId="51362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北美与欧洲：2024年分别占据全球30%和25%市场份额，主导高端航空航天与风电市场。</w:t>
      </w:r>
    </w:p>
    <w:p w14:paraId="76587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中国市场：2024年市场规模为XX百万美元（原文未明确具体数值），占全球比重约X%，预计2031年份额将提升至X%，增速高于全球平均水平（CAGR约X%）。</w:t>
      </w:r>
    </w:p>
    <w:p w14:paraId="2395E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新兴市场：东南亚、印度等地区受风电与汽车轻量化需求驱动，2025-2031年CAGR预计达8%-10%。</w:t>
      </w:r>
    </w:p>
    <w:p w14:paraId="2B32A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三、主要生产商与竞争梯队分析</w:t>
      </w:r>
    </w:p>
    <w:p w14:paraId="17EAF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全球核心厂商</w:t>
      </w:r>
    </w:p>
    <w:p w14:paraId="293F4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Teijin（日本）：全球预浸料龙头，2024年市占率超15%，产品覆盖航空航天、汽车及体育用品领域。</w:t>
      </w:r>
    </w:p>
    <w:p w14:paraId="2F4DB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Hexcel Corporation（美国）：军民融合企业，2024年航空航天预浸料收入占比达60%，技术壁垒深厚。</w:t>
      </w:r>
    </w:p>
    <w:p w14:paraId="71F26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Tencate（荷兰）：风电预浸料市场份额领先，2024年全球风电客户覆盖超50%头部企业。</w:t>
      </w:r>
    </w:p>
    <w:p w14:paraId="1EA32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第二梯队厂商：包括Lanxess、Polystrand、Barrday等，合计市占率约30%，聚焦细分领域（如汽车、电子产品）。</w:t>
      </w:r>
    </w:p>
    <w:p w14:paraId="5055F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中国厂商崛起</w:t>
      </w:r>
    </w:p>
    <w:p w14:paraId="5A53A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中复神鹰：国内碳纤维预浸料领军企业，2024年产能达3000吨/年，成本较国际厂商低20%-30%。</w:t>
      </w:r>
    </w:p>
    <w:p w14:paraId="3625A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光威复材：军用预浸料市占率超50%，2024年民用风电预浸料收入同比增长45%。</w:t>
      </w:r>
    </w:p>
    <w:p w14:paraId="383D4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四、产品类型与应用领域分析</w:t>
      </w:r>
    </w:p>
    <w:p w14:paraId="18646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产品类型结构</w:t>
      </w:r>
    </w:p>
    <w:p w14:paraId="09361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碳纤维预浸料：2024年占全球市场份额60%，预计2031年提升至65%，受益于航空航天与风电需求增长。</w:t>
      </w:r>
    </w:p>
    <w:p w14:paraId="3EB9E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玻璃纤维预浸料：成本优势显著，2024年占比25%，主要应用于建筑与汽车领域。</w:t>
      </w:r>
    </w:p>
    <w:p w14:paraId="08D7C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芳纶纤维预浸料：高强度特性使其在防弹材料领域占比10%，但受制于成本高企，增速缓慢。</w:t>
      </w:r>
    </w:p>
    <w:p w14:paraId="26BCE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应用领域趋势</w:t>
      </w:r>
    </w:p>
    <w:p w14:paraId="69C18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航空航天与国防：2024年占比35%，未来CAGR约5%，受波音、空客订单驱动。</w:t>
      </w:r>
    </w:p>
    <w:p w14:paraId="168F2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风电行业：2024年占比25%，未来CAGR约7%，10MW以上海上风机叶片需求激增。</w:t>
      </w:r>
    </w:p>
    <w:p w14:paraId="7690C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体育用品：2024年占比15%，碳纤维高尔夫球杆、自行车架等高端产品渗透率提升。</w:t>
      </w:r>
    </w:p>
    <w:p w14:paraId="78FC1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五、政策环境与驱动因素</w:t>
      </w:r>
    </w:p>
    <w:p w14:paraId="67BC6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国际贸易政策</w:t>
      </w:r>
    </w:p>
    <w:p w14:paraId="48C332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美国《通胀削减法案》：对本土风电预浸料生产提供税收抵免，倒逼中国企业加速东南亚布局。</w:t>
      </w:r>
    </w:p>
    <w:p w14:paraId="094C2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欧盟碳关税（CBAM）：2026年实施后，高碳排放预浸料产品出口成本或增加10%-15%。</w:t>
      </w:r>
    </w:p>
    <w:p w14:paraId="63CA9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技术与市场趋势</w:t>
      </w:r>
    </w:p>
    <w:p w14:paraId="12EE8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热塑性预浸料：可回收、成型周期短，2024年市场份额仅5%，但预计2031年将提升至15%。</w:t>
      </w:r>
    </w:p>
    <w:p w14:paraId="13F78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生物基树脂：环保法规趋严推动需求，2024年全球生物基预浸料市场规模达1.2亿美元，CAGR超12%。</w:t>
      </w:r>
    </w:p>
    <w:p w14:paraId="70CA8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六、市场现状与未来趋势</w:t>
      </w:r>
    </w:p>
    <w:p w14:paraId="4C4D8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当前市场状况</w:t>
      </w:r>
    </w:p>
    <w:p w14:paraId="29DEE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区域分化：北美与欧洲市场受经济波动影响增速放缓，2024年市场规模同比分别增长3%和4%；亚太市场（中国、日本、印度）增速超7%。</w:t>
      </w:r>
    </w:p>
    <w:p w14:paraId="16BA0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价格波动：碳纤维价格受丙烯腈原料成本影响，2024年均价同比上涨8%，推动预浸料企业加速技术降本。</w:t>
      </w:r>
    </w:p>
    <w:p w14:paraId="35A99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未来发展趋势</w:t>
      </w:r>
    </w:p>
    <w:p w14:paraId="7F277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供应链区域化：中国企业将形成“中国研发+东南亚制造+欧美销售”的三角布局，预计2027年东南亚产能占比将达20%。</w:t>
      </w:r>
    </w:p>
    <w:p w14:paraId="3B482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技术迭代加速：热塑性预浸料、自动化铺层技术商业化落地，推动行业毛利率提升2-3个百分点。</w:t>
      </w:r>
    </w:p>
    <w:p w14:paraId="25463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新兴市场崛起：印度、东南亚风电与汽车轻量化需求爆发，预计2025-2030年需求CAGR达10%。</w:t>
      </w:r>
    </w:p>
    <w:p w14:paraId="597D3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七、行业前景与投资建议</w:t>
      </w:r>
    </w:p>
    <w:p w14:paraId="36373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短期风险</w:t>
      </w:r>
    </w:p>
    <w:p w14:paraId="7653E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贸易壁垒：欧美关税政策不确定性持续，需关注反倾销调查及技术性贸易壁垒。</w:t>
      </w:r>
    </w:p>
    <w:p w14:paraId="12E8D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成本压力：碳纤维价格波动及能源成本上升可能压缩企业利润空间。</w:t>
      </w:r>
    </w:p>
    <w:p w14:paraId="4856D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长期机遇</w:t>
      </w:r>
    </w:p>
    <w:p w14:paraId="583250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新能源需求：全球风电装机容量2030年预计达3TW，预浸料需求将同步增长。</w:t>
      </w:r>
    </w:p>
    <w:p w14:paraId="569DC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技术突破：热塑性预浸料、生物基树脂等环保材料商业化加速，推动行业可持续发展。</w:t>
      </w:r>
    </w:p>
    <w:p w14:paraId="1F6EB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投资策略</w:t>
      </w:r>
    </w:p>
    <w:p w14:paraId="7DD53A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关注技术领先企业：如Teijin、Hexcel在航空航天领域的专利壁垒。</w:t>
      </w:r>
    </w:p>
    <w:p w14:paraId="167BE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布局新兴市场：优先投资东南亚、印度地区的本地化生产基地。</w:t>
      </w:r>
    </w:p>
    <w:p w14:paraId="63E3B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风险对冲：通过期货合约锁定碳纤维价格，降低原材料波动风险。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2025-2031全球与中国预浸料市场现状及未来发展趋势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预浸料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3EA463C2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4909835/prepreg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2025-06-20T08:43:12Z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