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F9AD0">
      <w:pPr>
        <w:jc w:val="center"/>
        <w:rPr>
          <w:rFonts w:hint="eastAsia"/>
          <w:b/>
          <w:bCs/>
          <w:lang w:val="en-US" w:eastAsia="zh-CN"/>
        </w:rPr>
      </w:pPr>
      <w:r>
        <w:rPr>
          <w:rFonts w:hint="eastAsia"/>
          <w:b/>
          <w:bCs/>
          <w:lang w:eastAsia="zh-CN"/>
        </w:rPr>
        <w:t>万亿市场突围！</w:t>
      </w:r>
      <w:r>
        <w:rPr>
          <w:rFonts w:hint="default"/>
          <w:b/>
          <w:bCs/>
          <w:lang w:val="en-US" w:eastAsia="zh-CN"/>
        </w:rPr>
        <w:t>GLP-1药物</w:t>
      </w:r>
      <w:r>
        <w:rPr>
          <w:rFonts w:hint="eastAsia"/>
          <w:b/>
          <w:bCs/>
          <w:lang w:val="en-US" w:eastAsia="zh-CN"/>
        </w:rPr>
        <w:t>推动产业链发展</w:t>
      </w:r>
      <w:r>
        <w:rPr>
          <w:rFonts w:hint="default"/>
          <w:b/>
          <w:bCs/>
          <w:lang w:val="en-US" w:eastAsia="zh-CN"/>
        </w:rPr>
        <w:t>，</w:t>
      </w:r>
      <w:r>
        <w:rPr>
          <w:rFonts w:hint="eastAsia"/>
          <w:b/>
          <w:bCs/>
          <w:lang w:val="en-US" w:eastAsia="zh-CN"/>
        </w:rPr>
        <w:t>华东、信达</w:t>
      </w:r>
      <w:r>
        <w:rPr>
          <w:rFonts w:hint="default"/>
          <w:b/>
          <w:bCs/>
          <w:lang w:val="en-US" w:eastAsia="zh-CN"/>
        </w:rPr>
        <w:t>步入快车道</w:t>
      </w:r>
      <w:r>
        <w:rPr>
          <w:rFonts w:hint="eastAsia"/>
          <w:b/>
          <w:bCs/>
          <w:lang w:val="en-US" w:eastAsia="zh-CN"/>
        </w:rPr>
        <w:t>！</w:t>
      </w:r>
    </w:p>
    <w:p w14:paraId="66757B18">
      <w:pPr>
        <w:rPr>
          <w:rFonts w:hint="eastAsia"/>
        </w:rPr>
      </w:pPr>
    </w:p>
    <w:p w14:paraId="4BB4D33C">
      <w:pPr>
        <w:rPr>
          <w:rFonts w:hint="eastAsia"/>
        </w:rPr>
      </w:pPr>
      <w:r>
        <w:rPr>
          <w:rFonts w:hint="eastAsia"/>
        </w:rPr>
        <w:t>GLP-1药物，即胰高血糖素样肽-1受体激动剂，又称GLP-1受体激动剂，是一类新型的药物，主要用于治疗2型糖尿病和肥胖症。自2005年首款GLP-1药物艾塞那肽面世以来，GLP-1药物市场经历了快速的崛起与繁荣。</w:t>
      </w:r>
    </w:p>
    <w:p w14:paraId="49F7CDCD">
      <w:pPr>
        <w:rPr>
          <w:rFonts w:hint="eastAsia"/>
        </w:rPr>
      </w:pPr>
    </w:p>
    <w:p w14:paraId="20887395">
      <w:pPr>
        <w:rPr>
          <w:rFonts w:hint="eastAsia"/>
        </w:rPr>
      </w:pPr>
      <w:r>
        <w:rPr>
          <w:rFonts w:hint="eastAsia"/>
        </w:rPr>
        <w:t>诺和诺德的司美格鲁肽与礼来的替尔泊肽在降糖和减重治疗中取得重大突破，不仅为行</w:t>
      </w:r>
      <w:bookmarkStart w:id="0" w:name="_GoBack"/>
      <w:bookmarkEnd w:id="0"/>
      <w:r>
        <w:rPr>
          <w:rFonts w:hint="eastAsia"/>
        </w:rPr>
        <w:t>业创造了巨大商机，更开启了GLP-1药物向心血管保护、NASH（非酒精性脂肪性肝炎）、AD（阿尔茨海默病）等新适应症拓展的广阔前景。</w:t>
      </w:r>
    </w:p>
    <w:p w14:paraId="628D1C91">
      <w:pPr>
        <w:rPr>
          <w:rFonts w:hint="eastAsia"/>
        </w:rPr>
      </w:pPr>
    </w:p>
    <w:p w14:paraId="32D1AE55">
      <w:pPr>
        <w:rPr>
          <w:rFonts w:hint="default"/>
          <w:b/>
          <w:bCs/>
          <w:sz w:val="22"/>
          <w:szCs w:val="28"/>
          <w:lang w:val="en-US" w:eastAsia="zh-CN"/>
        </w:rPr>
      </w:pPr>
      <w:r>
        <w:rPr>
          <w:rFonts w:hint="eastAsia"/>
        </w:rPr>
        <w:t>降糖减重GLP-1药物市场潜力巨大，随着多适应症开发的持续推进，市场规模持续扩大。</w:t>
      </w:r>
      <w:r>
        <w:rPr>
          <w:rFonts w:hint="eastAsia"/>
          <w:lang w:val="en-US" w:eastAsia="zh-CN"/>
        </w:rPr>
        <w:t>据</w:t>
      </w:r>
      <w:r>
        <w:rPr>
          <w:rFonts w:hint="eastAsia"/>
          <w:b/>
          <w:bCs/>
          <w:sz w:val="22"/>
          <w:szCs w:val="28"/>
          <w:lang w:val="en-US" w:eastAsia="zh-CN"/>
        </w:rPr>
        <w:t>药融咨询</w:t>
      </w:r>
      <w:r>
        <w:rPr>
          <w:rFonts w:hint="eastAsia" w:ascii="宋体" w:hAnsi="宋体" w:eastAsia="宋体" w:cs="宋体"/>
          <w:b/>
          <w:bCs/>
          <w:sz w:val="22"/>
          <w:szCs w:val="22"/>
          <w:lang w:val="en-US" w:eastAsia="zh-CN"/>
        </w:rPr>
        <w:t>《降糖减重明星药—GLP-1产业现状与未来发展》</w:t>
      </w:r>
      <w:r>
        <w:rPr>
          <w:rFonts w:hint="eastAsia" w:ascii="宋体" w:hAnsi="宋体" w:eastAsia="宋体" w:cs="宋体"/>
          <w:b w:val="0"/>
          <w:bCs w:val="0"/>
          <w:sz w:val="22"/>
          <w:szCs w:val="22"/>
          <w:lang w:val="en-US" w:eastAsia="zh-CN"/>
        </w:rPr>
        <w:t>报告统计，</w:t>
      </w:r>
      <w:r>
        <w:rPr>
          <w:rFonts w:hint="default"/>
          <w:b w:val="0"/>
          <w:bCs w:val="0"/>
          <w:sz w:val="22"/>
          <w:szCs w:val="28"/>
          <w:lang w:val="en-US" w:eastAsia="zh-CN"/>
        </w:rPr>
        <w:t>2022年全球GLP-1RA市场规模已突破200亿美元</w:t>
      </w:r>
      <w:r>
        <w:rPr>
          <w:rFonts w:hint="eastAsia"/>
          <w:b w:val="0"/>
          <w:bCs w:val="0"/>
          <w:sz w:val="22"/>
          <w:szCs w:val="28"/>
          <w:lang w:val="en-US" w:eastAsia="zh-CN"/>
        </w:rPr>
        <w:t>，</w:t>
      </w:r>
      <w:r>
        <w:rPr>
          <w:rFonts w:hint="eastAsia"/>
        </w:rPr>
        <w:t>其中诺和诺德与礼来两大巨头几乎占据了95%的市场份额。</w:t>
      </w:r>
      <w:r>
        <w:rPr>
          <w:rFonts w:hint="default"/>
          <w:b w:val="0"/>
          <w:bCs w:val="0"/>
          <w:sz w:val="22"/>
          <w:szCs w:val="28"/>
          <w:lang w:val="en-US" w:eastAsia="zh-CN"/>
        </w:rPr>
        <w:t>预计2031年全球GLP-1类药物整体销售规模有望达1650亿美元规模。</w:t>
      </w:r>
    </w:p>
    <w:p w14:paraId="22191FC7">
      <w:pPr>
        <w:rPr>
          <w:rFonts w:hint="eastAsia"/>
        </w:rPr>
      </w:pPr>
    </w:p>
    <w:p w14:paraId="7E6FDFED">
      <w:pPr>
        <w:numPr>
          <w:ilvl w:val="0"/>
          <w:numId w:val="0"/>
        </w:numPr>
        <w:jc w:val="both"/>
        <w:rPr>
          <w:rFonts w:hint="eastAsia"/>
          <w:b/>
          <w:bCs/>
          <w:color w:val="0000FF"/>
          <w:sz w:val="22"/>
          <w:szCs w:val="28"/>
          <w:lang w:val="en-US" w:eastAsia="zh-CN"/>
        </w:rPr>
      </w:pPr>
      <w:r>
        <w:rPr>
          <w:rFonts w:hint="eastAsia"/>
          <w:b/>
          <w:bCs/>
          <w:color w:val="0000FF"/>
          <w:sz w:val="22"/>
          <w:szCs w:val="28"/>
          <w:lang w:val="en-US" w:eastAsia="zh-CN"/>
        </w:rPr>
        <w:t>GLP-1药物产业链：将受益于司美格鲁肽、替尔泊肽等大品种的快速放量</w:t>
      </w:r>
    </w:p>
    <w:p w14:paraId="52B014E1">
      <w:pPr>
        <w:rPr>
          <w:rFonts w:hint="eastAsia"/>
        </w:rPr>
      </w:pPr>
    </w:p>
    <w:p w14:paraId="1B7B3868">
      <w:pPr>
        <w:rPr>
          <w:rFonts w:hint="eastAsia"/>
        </w:rPr>
      </w:pPr>
      <w:r>
        <w:rPr>
          <w:rFonts w:hint="eastAsia"/>
        </w:rPr>
        <w:t>近年来</w:t>
      </w:r>
      <w:r>
        <w:rPr>
          <w:rFonts w:hint="eastAsia"/>
          <w:lang w:eastAsia="zh-CN"/>
        </w:rPr>
        <w:t>，</w:t>
      </w:r>
      <w:r>
        <w:rPr>
          <w:rFonts w:hint="eastAsia"/>
          <w:lang w:val="en-US" w:eastAsia="zh-CN"/>
        </w:rPr>
        <w:t>随着</w:t>
      </w:r>
      <w:r>
        <w:rPr>
          <w:rFonts w:hint="eastAsia"/>
        </w:rPr>
        <w:t>利拉鲁肽、司美格鲁肽、替尔泊肽等</w:t>
      </w:r>
      <w:r>
        <w:rPr>
          <w:rFonts w:hint="eastAsia"/>
          <w:lang w:val="en-US" w:eastAsia="zh-CN"/>
        </w:rPr>
        <w:t>明星大</w:t>
      </w:r>
      <w:r>
        <w:rPr>
          <w:rFonts w:hint="eastAsia"/>
        </w:rPr>
        <w:t>品种</w:t>
      </w:r>
      <w:r>
        <w:rPr>
          <w:rFonts w:hint="eastAsia"/>
          <w:lang w:eastAsia="zh-CN"/>
        </w:rPr>
        <w:t>的</w:t>
      </w:r>
      <w:r>
        <w:rPr>
          <w:rFonts w:hint="eastAsia"/>
        </w:rPr>
        <w:t>相继上市，GLP类药物市场将凭借放量迅速、原研专利将到期等因素吸引越来越多的企业参与其中，国内外GLP-1类药物品种将不断丰富，促进GLP-1类药物在降糖、减重人群中渗透率不断提升。</w:t>
      </w:r>
    </w:p>
    <w:p w14:paraId="7E2F60D1">
      <w:pPr>
        <w:rPr>
          <w:rFonts w:hint="eastAsia"/>
        </w:rPr>
      </w:pPr>
    </w:p>
    <w:p w14:paraId="5DF2CAB4">
      <w:r>
        <w:drawing>
          <wp:inline distT="0" distB="0" distL="114300" distR="114300">
            <wp:extent cx="5264150" cy="2547620"/>
            <wp:effectExtent l="0" t="0" r="12700" b="5080"/>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pic:cNvPicPr>
                      <a:picLocks noChangeAspect="1"/>
                    </pic:cNvPicPr>
                  </pic:nvPicPr>
                  <pic:blipFill>
                    <a:blip r:embed="rId4"/>
                    <a:stretch>
                      <a:fillRect/>
                    </a:stretch>
                  </pic:blipFill>
                  <pic:spPr>
                    <a:xfrm>
                      <a:off x="0" y="0"/>
                      <a:ext cx="5264150" cy="2547620"/>
                    </a:xfrm>
                    <a:prstGeom prst="rect">
                      <a:avLst/>
                    </a:prstGeom>
                    <a:noFill/>
                    <a:ln>
                      <a:noFill/>
                    </a:ln>
                  </pic:spPr>
                </pic:pic>
              </a:graphicData>
            </a:graphic>
          </wp:inline>
        </w:drawing>
      </w:r>
    </w:p>
    <w:p w14:paraId="2B226705">
      <w:pPr>
        <w:rPr>
          <w:rFonts w:hint="eastAsia"/>
        </w:rPr>
      </w:pPr>
    </w:p>
    <w:p w14:paraId="2F1F23D1">
      <w:pPr>
        <w:numPr>
          <w:ilvl w:val="0"/>
          <w:numId w:val="0"/>
        </w:numPr>
        <w:jc w:val="both"/>
        <w:rPr>
          <w:rFonts w:hint="eastAsia"/>
          <w:lang w:val="en-US" w:eastAsia="zh-CN"/>
        </w:rPr>
      </w:pPr>
      <w:r>
        <w:rPr>
          <w:rFonts w:hint="default"/>
          <w:b/>
          <w:bCs/>
          <w:lang w:val="en-US" w:eastAsia="zh-CN"/>
        </w:rPr>
        <w:t>GLP-1产业链包括上游的原材料和设备以及原料药，</w:t>
      </w:r>
      <w:r>
        <w:rPr>
          <w:rFonts w:hint="eastAsia"/>
          <w:b w:val="0"/>
          <w:bCs w:val="0"/>
          <w:lang w:val="en-US" w:eastAsia="zh-CN"/>
        </w:rPr>
        <w:t>代表公司有蓝晓科技、纳微科技、昊帆生物、海翔药业、诺泰生物、圣诺生物、翰宇药业等；</w:t>
      </w:r>
      <w:r>
        <w:rPr>
          <w:rFonts w:hint="default"/>
          <w:b/>
          <w:bCs/>
          <w:lang w:val="en-US" w:eastAsia="zh-CN"/>
        </w:rPr>
        <w:t>中游的CDMO服务商</w:t>
      </w:r>
      <w:r>
        <w:rPr>
          <w:rFonts w:hint="eastAsia"/>
          <w:b/>
          <w:bCs/>
          <w:lang w:val="en-US" w:eastAsia="zh-CN"/>
        </w:rPr>
        <w:t>，</w:t>
      </w:r>
      <w:r>
        <w:rPr>
          <w:rFonts w:hint="eastAsia"/>
          <w:b w:val="0"/>
          <w:bCs w:val="0"/>
          <w:lang w:val="en-US" w:eastAsia="zh-CN"/>
        </w:rPr>
        <w:t>代表公司有合全药业、凯莱英、九洲药业等；</w:t>
      </w:r>
      <w:r>
        <w:rPr>
          <w:rFonts w:hint="default"/>
          <w:b/>
          <w:bCs/>
          <w:lang w:val="en-US" w:eastAsia="zh-CN"/>
        </w:rPr>
        <w:t>以及下游的药物研发企业和注射笔等给药装置研发厂商</w:t>
      </w:r>
      <w:r>
        <w:rPr>
          <w:rFonts w:hint="eastAsia"/>
          <w:b/>
          <w:bCs/>
          <w:lang w:val="en-US" w:eastAsia="zh-CN"/>
        </w:rPr>
        <w:t>，</w:t>
      </w:r>
      <w:r>
        <w:rPr>
          <w:rFonts w:hint="eastAsia"/>
          <w:b w:val="0"/>
          <w:bCs w:val="0"/>
          <w:lang w:val="en-US" w:eastAsia="zh-CN"/>
        </w:rPr>
        <w:t>其中创新及仿制药企代表有信达生物、恒瑞医药、诺和诺德、礼来、华东医药、通化东宝、丽珠集团等</w:t>
      </w:r>
      <w:r>
        <w:rPr>
          <w:rFonts w:hint="eastAsia"/>
          <w:lang w:val="en-US" w:eastAsia="zh-CN"/>
        </w:rPr>
        <w:t>，</w:t>
      </w:r>
      <w:r>
        <w:rPr>
          <w:rFonts w:hint="default"/>
          <w:lang w:val="en-US" w:eastAsia="zh-CN"/>
        </w:rPr>
        <w:t>注射笔等给药装置厂商</w:t>
      </w:r>
      <w:r>
        <w:rPr>
          <w:rFonts w:hint="eastAsia"/>
          <w:lang w:val="en-US" w:eastAsia="zh-CN"/>
        </w:rPr>
        <w:t>代表有</w:t>
      </w:r>
      <w:r>
        <w:rPr>
          <w:rFonts w:hint="default"/>
          <w:lang w:val="en-US" w:eastAsia="zh-CN"/>
        </w:rPr>
        <w:t>迈得医疗</w:t>
      </w:r>
      <w:r>
        <w:rPr>
          <w:rFonts w:hint="eastAsia"/>
          <w:lang w:val="en-US" w:eastAsia="zh-CN"/>
        </w:rPr>
        <w:t>、翰尔西、美好医疗、甘李药业、长春高新等。</w:t>
      </w:r>
    </w:p>
    <w:p w14:paraId="2D43AE84">
      <w:pPr>
        <w:numPr>
          <w:ilvl w:val="0"/>
          <w:numId w:val="0"/>
        </w:numPr>
        <w:jc w:val="both"/>
        <w:rPr>
          <w:rFonts w:hint="eastAsia"/>
          <w:lang w:val="en-US" w:eastAsia="zh-CN"/>
        </w:rPr>
      </w:pPr>
    </w:p>
    <w:p w14:paraId="5F2D8002">
      <w:pPr>
        <w:numPr>
          <w:ilvl w:val="0"/>
          <w:numId w:val="0"/>
        </w:numPr>
        <w:jc w:val="both"/>
      </w:pPr>
      <w:r>
        <w:drawing>
          <wp:inline distT="0" distB="0" distL="114300" distR="114300">
            <wp:extent cx="5264150" cy="2549525"/>
            <wp:effectExtent l="0" t="0" r="12700" b="3175"/>
            <wp:docPr id="2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pic:cNvPicPr>
                      <a:picLocks noChangeAspect="1"/>
                    </pic:cNvPicPr>
                  </pic:nvPicPr>
                  <pic:blipFill>
                    <a:blip r:embed="rId5"/>
                    <a:stretch>
                      <a:fillRect/>
                    </a:stretch>
                  </pic:blipFill>
                  <pic:spPr>
                    <a:xfrm>
                      <a:off x="0" y="0"/>
                      <a:ext cx="5264150" cy="2549525"/>
                    </a:xfrm>
                    <a:prstGeom prst="rect">
                      <a:avLst/>
                    </a:prstGeom>
                    <a:noFill/>
                    <a:ln>
                      <a:noFill/>
                    </a:ln>
                  </pic:spPr>
                </pic:pic>
              </a:graphicData>
            </a:graphic>
          </wp:inline>
        </w:drawing>
      </w:r>
    </w:p>
    <w:p w14:paraId="6EEA436C">
      <w:pPr>
        <w:numPr>
          <w:ilvl w:val="0"/>
          <w:numId w:val="0"/>
        </w:numPr>
        <w:jc w:val="both"/>
        <w:rPr>
          <w:rFonts w:hint="eastAsia"/>
          <w:lang w:val="en-US" w:eastAsia="zh-CN"/>
        </w:rPr>
      </w:pPr>
    </w:p>
    <w:p w14:paraId="00F986E0">
      <w:pPr>
        <w:numPr>
          <w:ilvl w:val="0"/>
          <w:numId w:val="1"/>
        </w:numPr>
        <w:jc w:val="both"/>
        <w:rPr>
          <w:rFonts w:hint="default"/>
          <w:b/>
          <w:bCs/>
          <w:lang w:val="en-US" w:eastAsia="zh-CN"/>
        </w:rPr>
      </w:pPr>
      <w:r>
        <w:rPr>
          <w:rFonts w:hint="eastAsia"/>
          <w:b/>
          <w:bCs/>
          <w:lang w:val="en-US" w:eastAsia="zh-CN"/>
        </w:rPr>
        <w:t>GLP-1产业链</w:t>
      </w:r>
      <w:r>
        <w:rPr>
          <w:rFonts w:hint="default"/>
          <w:b/>
          <w:bCs/>
          <w:lang w:val="en-US" w:eastAsia="zh-CN"/>
        </w:rPr>
        <w:t>上游</w:t>
      </w:r>
      <w:r>
        <w:rPr>
          <w:rFonts w:hint="eastAsia"/>
          <w:b/>
          <w:bCs/>
          <w:lang w:val="en-US" w:eastAsia="zh-CN"/>
        </w:rPr>
        <w:t>：</w:t>
      </w:r>
      <w:r>
        <w:rPr>
          <w:rFonts w:hint="default"/>
          <w:b/>
          <w:bCs/>
          <w:lang w:val="en-US" w:eastAsia="zh-CN"/>
        </w:rPr>
        <w:t>供应商和配套耗材</w:t>
      </w:r>
    </w:p>
    <w:p w14:paraId="54276E03">
      <w:pPr>
        <w:numPr>
          <w:ilvl w:val="0"/>
          <w:numId w:val="0"/>
        </w:numPr>
        <w:jc w:val="both"/>
        <w:rPr>
          <w:rFonts w:hint="default"/>
          <w:lang w:val="en-US" w:eastAsia="zh-CN"/>
        </w:rPr>
      </w:pPr>
    </w:p>
    <w:p w14:paraId="27B08E1A">
      <w:pPr>
        <w:numPr>
          <w:ilvl w:val="0"/>
          <w:numId w:val="0"/>
        </w:numPr>
        <w:jc w:val="both"/>
        <w:rPr>
          <w:rFonts w:hint="default"/>
          <w:lang w:val="en-US" w:eastAsia="zh-CN"/>
        </w:rPr>
      </w:pPr>
      <w:r>
        <w:rPr>
          <w:rFonts w:hint="default"/>
          <w:lang w:val="en-US" w:eastAsia="zh-CN"/>
        </w:rPr>
        <w:t>GLP-1 属于多肽类药物，多肽药物分子大小介于小分子和大分子之间，大规模生产仍存在较高的壁垒，生产成本较高。目前全球司美格鲁肽等主流产品供不应求，给原料药供应商提供了大量的机会。</w:t>
      </w:r>
    </w:p>
    <w:p w14:paraId="23E82AD2">
      <w:pPr>
        <w:numPr>
          <w:ilvl w:val="0"/>
          <w:numId w:val="0"/>
        </w:numPr>
        <w:jc w:val="both"/>
        <w:rPr>
          <w:rFonts w:hint="default"/>
          <w:lang w:val="en-US" w:eastAsia="zh-CN"/>
        </w:rPr>
      </w:pPr>
    </w:p>
    <w:p w14:paraId="4DA75C0A">
      <w:pPr>
        <w:numPr>
          <w:ilvl w:val="0"/>
          <w:numId w:val="0"/>
        </w:numPr>
        <w:ind w:leftChars="0"/>
        <w:jc w:val="both"/>
        <w:rPr>
          <w:rFonts w:hint="default"/>
          <w:lang w:val="en-US" w:eastAsia="zh-CN"/>
        </w:rPr>
      </w:pPr>
      <w:r>
        <w:rPr>
          <w:rFonts w:hint="default"/>
          <w:b/>
          <w:bCs/>
          <w:lang w:val="en-US" w:eastAsia="zh-CN"/>
        </w:rPr>
        <w:t>蓝晓科技</w:t>
      </w:r>
      <w:r>
        <w:rPr>
          <w:rFonts w:hint="default"/>
          <w:lang w:val="en-US" w:eastAsia="zh-CN"/>
        </w:rPr>
        <w:t>：全球多肽固相合成载体主流供应商，产品丰富，质量控制严格，已广泛应用于知名药企与CDMO企业。在该领域，</w:t>
      </w:r>
      <w:r>
        <w:rPr>
          <w:rFonts w:hint="eastAsia"/>
          <w:lang w:val="en-US" w:eastAsia="zh-CN"/>
        </w:rPr>
        <w:t>其</w:t>
      </w:r>
      <w:r>
        <w:rPr>
          <w:rFonts w:hint="default"/>
          <w:lang w:val="en-US" w:eastAsia="zh-CN"/>
        </w:rPr>
        <w:t>在产品品质、工艺稳定性、与客户粘性等方面具有一定的先发优势。</w:t>
      </w:r>
    </w:p>
    <w:p w14:paraId="20439B63">
      <w:pPr>
        <w:numPr>
          <w:ilvl w:val="0"/>
          <w:numId w:val="0"/>
        </w:numPr>
        <w:jc w:val="both"/>
        <w:rPr>
          <w:rFonts w:hint="default"/>
          <w:lang w:val="en-US" w:eastAsia="zh-CN"/>
        </w:rPr>
      </w:pPr>
    </w:p>
    <w:p w14:paraId="0DF71F39">
      <w:pPr>
        <w:numPr>
          <w:ilvl w:val="0"/>
          <w:numId w:val="0"/>
        </w:numPr>
        <w:jc w:val="both"/>
        <w:rPr>
          <w:rFonts w:hint="default"/>
          <w:lang w:val="en-US" w:eastAsia="zh-CN"/>
        </w:rPr>
      </w:pPr>
      <w:r>
        <w:rPr>
          <w:rFonts w:hint="default"/>
          <w:b/>
          <w:bCs/>
          <w:lang w:val="en-US" w:eastAsia="zh-CN"/>
        </w:rPr>
        <w:t>昊帆生物</w:t>
      </w:r>
      <w:r>
        <w:rPr>
          <w:rFonts w:hint="default"/>
          <w:lang w:val="en-US" w:eastAsia="zh-CN"/>
        </w:rPr>
        <w:t>：专注于多肽合成试剂的研发、生产与销售，产品覆盖下游小分子化学药物、多肽药物研发与生产过程中合成酰胺键时所使用的全系列的合成试剂，其产品体系以多肽合成试剂为主，通用型分子砌块和蛋白质试剂为辅。</w:t>
      </w:r>
    </w:p>
    <w:p w14:paraId="4A3D4192">
      <w:pPr>
        <w:numPr>
          <w:ilvl w:val="0"/>
          <w:numId w:val="0"/>
        </w:numPr>
        <w:ind w:leftChars="0"/>
        <w:jc w:val="both"/>
        <w:rPr>
          <w:rFonts w:hint="default"/>
          <w:lang w:val="en-US" w:eastAsia="zh-CN"/>
        </w:rPr>
      </w:pPr>
    </w:p>
    <w:p w14:paraId="6972672D">
      <w:pPr>
        <w:numPr>
          <w:ilvl w:val="0"/>
          <w:numId w:val="0"/>
        </w:numPr>
        <w:ind w:leftChars="0"/>
        <w:jc w:val="both"/>
        <w:rPr>
          <w:rFonts w:hint="default"/>
          <w:lang w:val="en-US" w:eastAsia="zh-CN"/>
        </w:rPr>
      </w:pPr>
      <w:r>
        <w:rPr>
          <w:rFonts w:hint="default"/>
          <w:b/>
          <w:bCs/>
          <w:lang w:val="en-US" w:eastAsia="zh-CN"/>
        </w:rPr>
        <w:t>纳微科技</w:t>
      </w:r>
      <w:r>
        <w:rPr>
          <w:rFonts w:hint="default"/>
          <w:lang w:val="en-US" w:eastAsia="zh-CN"/>
        </w:rPr>
        <w:t>：纳米微球龙头，供应多肽纯化填料与色谱柱，提供多肽纯化解决方案，产品包括硅胶、聚合物等各类填料，实现大规模出口至国际制药与色谱企业。</w:t>
      </w:r>
    </w:p>
    <w:p w14:paraId="255C162D">
      <w:pPr>
        <w:numPr>
          <w:ilvl w:val="0"/>
          <w:numId w:val="0"/>
        </w:numPr>
        <w:ind w:leftChars="0"/>
        <w:jc w:val="both"/>
        <w:rPr>
          <w:rFonts w:hint="default"/>
          <w:lang w:val="en-US" w:eastAsia="zh-CN"/>
        </w:rPr>
      </w:pPr>
    </w:p>
    <w:p w14:paraId="50B162B1">
      <w:pPr>
        <w:numPr>
          <w:ilvl w:val="0"/>
          <w:numId w:val="0"/>
        </w:numPr>
        <w:ind w:leftChars="0"/>
        <w:jc w:val="both"/>
        <w:rPr>
          <w:rFonts w:hint="eastAsia"/>
          <w:lang w:val="en-US" w:eastAsia="zh-CN"/>
        </w:rPr>
      </w:pPr>
      <w:r>
        <w:rPr>
          <w:rFonts w:hint="default"/>
          <w:b/>
          <w:bCs/>
          <w:lang w:val="en-US" w:eastAsia="zh-CN"/>
        </w:rPr>
        <w:t>海翔药业</w:t>
      </w:r>
      <w:r>
        <w:rPr>
          <w:rFonts w:hint="default"/>
          <w:lang w:val="en-US" w:eastAsia="zh-CN"/>
        </w:rPr>
        <w:t>：</w:t>
      </w:r>
      <w:r>
        <w:rPr>
          <w:rFonts w:hint="eastAsia"/>
          <w:lang w:val="en-US" w:eastAsia="zh-CN"/>
        </w:rPr>
        <w:t>自身多肽平台针对GLP-1/GIP药物产业链开发了数个配套产品技术工艺。目前</w:t>
      </w:r>
      <w:r>
        <w:rPr>
          <w:rFonts w:hint="default"/>
          <w:lang w:val="en-US" w:eastAsia="zh-CN"/>
        </w:rPr>
        <w:t>3期项目储备丰富，</w:t>
      </w:r>
      <w:r>
        <w:rPr>
          <w:rFonts w:hint="eastAsia"/>
          <w:lang w:val="en-US" w:eastAsia="zh-CN"/>
        </w:rPr>
        <w:t>是</w:t>
      </w:r>
      <w:r>
        <w:rPr>
          <w:rFonts w:hint="default"/>
          <w:lang w:val="en-US" w:eastAsia="zh-CN"/>
        </w:rPr>
        <w:t>国内较早开展与国际巨头合作</w:t>
      </w:r>
      <w:r>
        <w:rPr>
          <w:rFonts w:hint="eastAsia"/>
          <w:lang w:val="en-US" w:eastAsia="zh-CN"/>
        </w:rPr>
        <w:t>的企业。</w:t>
      </w:r>
    </w:p>
    <w:p w14:paraId="574CCA62">
      <w:pPr>
        <w:numPr>
          <w:ilvl w:val="0"/>
          <w:numId w:val="0"/>
        </w:numPr>
        <w:ind w:leftChars="0"/>
        <w:jc w:val="both"/>
        <w:rPr>
          <w:rFonts w:hint="default"/>
          <w:lang w:val="en-US" w:eastAsia="zh-CN"/>
        </w:rPr>
      </w:pPr>
    </w:p>
    <w:p w14:paraId="09911D6F">
      <w:pPr>
        <w:numPr>
          <w:ilvl w:val="0"/>
          <w:numId w:val="0"/>
        </w:numPr>
        <w:ind w:leftChars="0"/>
        <w:rPr>
          <w:rFonts w:hint="eastAsia"/>
        </w:rPr>
      </w:pPr>
      <w:r>
        <w:rPr>
          <w:rFonts w:hint="eastAsia"/>
          <w:b/>
          <w:bCs/>
        </w:rPr>
        <w:t>诺泰生物</w:t>
      </w:r>
      <w:r>
        <w:rPr>
          <w:rFonts w:hint="eastAsia"/>
        </w:rPr>
        <w:t>：原料药产能领先，创新药单、双靶点药物均积极推进。目前已建成司美格鲁150Kg/年，利拉鲁200Kg/年的产能</w:t>
      </w:r>
      <w:r>
        <w:rPr>
          <w:rFonts w:hint="eastAsia"/>
          <w:lang w:eastAsia="zh-CN"/>
        </w:rPr>
        <w:t>。</w:t>
      </w:r>
      <w:r>
        <w:rPr>
          <w:rFonts w:hint="eastAsia"/>
        </w:rPr>
        <w:t>GLP-1单靶点降糖和减肥药进入临床前研究，GIP/GLP-1双靶点化合物具备平衡的共激动剂活性和选择性，GLP-1/GCG双靶点艾塞那肽衍生物实现长效化。</w:t>
      </w:r>
    </w:p>
    <w:p w14:paraId="73B3E6BC">
      <w:pPr>
        <w:numPr>
          <w:ilvl w:val="0"/>
          <w:numId w:val="0"/>
        </w:numPr>
        <w:ind w:leftChars="0"/>
        <w:rPr>
          <w:rFonts w:hint="eastAsia"/>
        </w:rPr>
      </w:pPr>
    </w:p>
    <w:p w14:paraId="4332B243">
      <w:pPr>
        <w:numPr>
          <w:ilvl w:val="0"/>
          <w:numId w:val="0"/>
        </w:numPr>
        <w:ind w:leftChars="0"/>
        <w:jc w:val="center"/>
        <w:rPr>
          <w:rFonts w:hint="default" w:eastAsiaTheme="minorEastAsia"/>
          <w:lang w:val="en-US" w:eastAsia="zh-CN"/>
        </w:rPr>
      </w:pPr>
      <w:r>
        <w:rPr>
          <w:rFonts w:hint="eastAsia"/>
          <w:b/>
          <w:bCs/>
          <w:lang w:val="en-US" w:eastAsia="zh-CN"/>
        </w:rPr>
        <w:t>药融云数据库可查询</w:t>
      </w:r>
      <w:r>
        <w:rPr>
          <w:rFonts w:hint="eastAsia"/>
          <w:b/>
          <w:bCs/>
        </w:rPr>
        <w:t>诺泰生物</w:t>
      </w:r>
      <w:r>
        <w:rPr>
          <w:rFonts w:hint="eastAsia"/>
          <w:b/>
          <w:bCs/>
          <w:lang w:val="en-US" w:eastAsia="zh-CN"/>
        </w:rPr>
        <w:t>供应原料药</w:t>
      </w:r>
    </w:p>
    <w:p w14:paraId="4C17A263">
      <w:pPr>
        <w:numPr>
          <w:ilvl w:val="0"/>
          <w:numId w:val="0"/>
        </w:numPr>
        <w:ind w:leftChars="0"/>
        <w:jc w:val="both"/>
      </w:pPr>
      <w:r>
        <w:drawing>
          <wp:inline distT="0" distB="0" distL="114300" distR="114300">
            <wp:extent cx="5267325" cy="2641600"/>
            <wp:effectExtent l="0" t="0" r="952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267325" cy="2641600"/>
                    </a:xfrm>
                    <a:prstGeom prst="rect">
                      <a:avLst/>
                    </a:prstGeom>
                    <a:noFill/>
                    <a:ln>
                      <a:noFill/>
                    </a:ln>
                  </pic:spPr>
                </pic:pic>
              </a:graphicData>
            </a:graphic>
          </wp:inline>
        </w:drawing>
      </w:r>
    </w:p>
    <w:p w14:paraId="34204B33">
      <w:pPr>
        <w:numPr>
          <w:ilvl w:val="0"/>
          <w:numId w:val="0"/>
        </w:numPr>
        <w:ind w:leftChars="0"/>
        <w:jc w:val="center"/>
        <w:rPr>
          <w:rFonts w:hint="default" w:eastAsiaTheme="minorEastAsia"/>
          <w:lang w:val="en-US" w:eastAsia="zh-CN"/>
        </w:rPr>
      </w:pPr>
      <w:r>
        <w:rPr>
          <w:rFonts w:hint="eastAsia"/>
          <w:lang w:val="en-US" w:eastAsia="zh-CN"/>
        </w:rPr>
        <w:t>图片来源：药融云原料药供应商数据库</w:t>
      </w:r>
    </w:p>
    <w:p w14:paraId="7B7C18CA">
      <w:pPr>
        <w:numPr>
          <w:ilvl w:val="0"/>
          <w:numId w:val="0"/>
        </w:numPr>
        <w:ind w:leftChars="0"/>
        <w:jc w:val="both"/>
        <w:rPr>
          <w:rFonts w:hint="default"/>
          <w:lang w:val="en-US" w:eastAsia="zh-CN"/>
        </w:rPr>
      </w:pPr>
    </w:p>
    <w:p w14:paraId="3446F6E9">
      <w:pPr>
        <w:numPr>
          <w:ilvl w:val="0"/>
          <w:numId w:val="0"/>
        </w:numPr>
        <w:ind w:leftChars="0"/>
        <w:rPr>
          <w:rFonts w:hint="eastAsia"/>
        </w:rPr>
      </w:pPr>
      <w:r>
        <w:rPr>
          <w:rFonts w:hint="eastAsia"/>
          <w:b/>
          <w:bCs/>
        </w:rPr>
        <w:t>圣诺生物</w:t>
      </w:r>
      <w:r>
        <w:rPr>
          <w:rFonts w:hint="eastAsia"/>
        </w:rPr>
        <w:t>：主营业务包括多肽创新药CDMO服务，自主研发、销售的多肽原料药和制剂产品，多肽类产品定制生产服务，以及多肽药物生产技术转让服务。截至2023H1，已有20个多肽创新药CDMO项目在运行中；拥有16个自主研发的多肽类原料药品种</w:t>
      </w:r>
      <w:r>
        <w:rPr>
          <w:rFonts w:hint="eastAsia"/>
          <w:lang w:eastAsia="zh-CN"/>
        </w:rPr>
        <w:t>；</w:t>
      </w:r>
      <w:r>
        <w:rPr>
          <w:rFonts w:hint="eastAsia"/>
        </w:rPr>
        <w:t>在国内取得11个品种多肽原料药生产批件或激活备案</w:t>
      </w:r>
      <w:r>
        <w:rPr>
          <w:rFonts w:hint="eastAsia"/>
          <w:lang w:eastAsia="zh-CN"/>
        </w:rPr>
        <w:t>。</w:t>
      </w:r>
      <w:r>
        <w:rPr>
          <w:rFonts w:hint="eastAsia"/>
        </w:rPr>
        <w:t>与国内外多家知名制药企业合作。</w:t>
      </w:r>
    </w:p>
    <w:p w14:paraId="4946F3AF">
      <w:pPr>
        <w:numPr>
          <w:ilvl w:val="0"/>
          <w:numId w:val="0"/>
        </w:numPr>
        <w:ind w:leftChars="0"/>
        <w:jc w:val="both"/>
        <w:rPr>
          <w:rFonts w:hint="default"/>
          <w:lang w:val="en-US" w:eastAsia="zh-CN"/>
        </w:rPr>
      </w:pPr>
    </w:p>
    <w:p w14:paraId="249D17B0">
      <w:pPr>
        <w:numPr>
          <w:ilvl w:val="0"/>
          <w:numId w:val="0"/>
        </w:numPr>
        <w:ind w:leftChars="0"/>
        <w:rPr>
          <w:rFonts w:hint="eastAsia"/>
        </w:rPr>
      </w:pPr>
      <w:r>
        <w:rPr>
          <w:rFonts w:hint="eastAsia"/>
          <w:b/>
          <w:bCs/>
        </w:rPr>
        <w:t>翰宇药业</w:t>
      </w:r>
      <w:r>
        <w:rPr>
          <w:rFonts w:hint="eastAsia"/>
        </w:rPr>
        <w:t>：老牌多肽药企，是拥有多肽药物品种最多的企业之一</w:t>
      </w:r>
      <w:r>
        <w:rPr>
          <w:rFonts w:hint="eastAsia"/>
          <w:lang w:eastAsia="zh-CN"/>
        </w:rPr>
        <w:t>，</w:t>
      </w:r>
      <w:r>
        <w:rPr>
          <w:rFonts w:hint="eastAsia"/>
        </w:rPr>
        <w:t>原料药、CDMO、制剂均有布局。建有“多肽原料药生产基地”，是全国最大的多肽原料药生产基地之一。拥有26个多肽药物，9个新药证书，24个临床批件，为全球为数不多的具有规模化多肽原料药的企业之一。</w:t>
      </w:r>
    </w:p>
    <w:p w14:paraId="0917E7E3">
      <w:pPr>
        <w:numPr>
          <w:ilvl w:val="0"/>
          <w:numId w:val="0"/>
        </w:numPr>
        <w:ind w:leftChars="0"/>
        <w:jc w:val="both"/>
        <w:rPr>
          <w:rFonts w:hint="default"/>
          <w:lang w:val="en-US" w:eastAsia="zh-CN"/>
        </w:rPr>
      </w:pPr>
    </w:p>
    <w:p w14:paraId="3905F495">
      <w:pPr>
        <w:numPr>
          <w:ilvl w:val="0"/>
          <w:numId w:val="1"/>
        </w:numPr>
        <w:jc w:val="both"/>
        <w:rPr>
          <w:rFonts w:hint="eastAsia"/>
          <w:b/>
          <w:bCs/>
          <w:lang w:val="en-US" w:eastAsia="zh-CN"/>
        </w:rPr>
      </w:pPr>
      <w:r>
        <w:rPr>
          <w:rFonts w:hint="eastAsia"/>
          <w:b/>
          <w:bCs/>
          <w:lang w:val="en-US" w:eastAsia="zh-CN"/>
        </w:rPr>
        <w:t>GLP-1产业链中游：CDMO服务商</w:t>
      </w:r>
    </w:p>
    <w:p w14:paraId="0B06C4DC">
      <w:pPr>
        <w:numPr>
          <w:ilvl w:val="0"/>
          <w:numId w:val="0"/>
        </w:numPr>
        <w:ind w:leftChars="0"/>
        <w:rPr>
          <w:rFonts w:hint="eastAsia"/>
          <w:b/>
          <w:bCs/>
          <w:lang w:val="en-US" w:eastAsia="zh-CN"/>
        </w:rPr>
      </w:pPr>
    </w:p>
    <w:p w14:paraId="63DA1A32">
      <w:pPr>
        <w:rPr>
          <w:rFonts w:hint="eastAsia"/>
        </w:rPr>
      </w:pPr>
      <w:r>
        <w:rPr>
          <w:rFonts w:hint="eastAsia"/>
          <w:b/>
          <w:bCs/>
        </w:rPr>
        <w:t>药明康德</w:t>
      </w:r>
      <w:r>
        <w:rPr>
          <w:rFonts w:hint="eastAsia"/>
        </w:rPr>
        <w:t>：已经建立起端到端CRDMO平台WuXiTIDES，能够为寡核苷酸、多肽及相关化学偶联药物，提供覆盖药物发现、CMC研究及生产的一站式服务。WuXiTIDES多肽业务具备垂直整合的从非天然氨基酸、多肽、偶联物以及原料药和制剂的上下游研发生产能力，包括全面的分析化学能力和全球新药申报资料撰写服务</w:t>
      </w:r>
      <w:r>
        <w:rPr>
          <w:rFonts w:hint="eastAsia"/>
          <w:lang w:eastAsia="zh-CN"/>
        </w:rPr>
        <w:t>。</w:t>
      </w:r>
      <w:r>
        <w:rPr>
          <w:rFonts w:hint="eastAsia"/>
        </w:rPr>
        <w:t>产能方面，药明康德预计于2023年12月多肽固相合成反应釜体积将由原计划的20,000L增加至32,000L。</w:t>
      </w:r>
    </w:p>
    <w:p w14:paraId="6121182C">
      <w:pPr>
        <w:rPr>
          <w:rFonts w:hint="eastAsia"/>
        </w:rPr>
      </w:pPr>
    </w:p>
    <w:p w14:paraId="1A65729A">
      <w:pPr>
        <w:rPr>
          <w:rFonts w:hint="eastAsia"/>
        </w:rPr>
      </w:pPr>
      <w:r>
        <w:rPr>
          <w:rFonts w:hint="eastAsia"/>
          <w:b/>
          <w:bCs/>
        </w:rPr>
        <w:t>合全药业</w:t>
      </w:r>
      <w:r>
        <w:rPr>
          <w:rFonts w:hint="eastAsia"/>
          <w:lang w:eastAsia="zh-CN"/>
        </w:rPr>
        <w:t>：药明康德</w:t>
      </w:r>
      <w:r>
        <w:rPr>
          <w:rFonts w:hint="eastAsia"/>
          <w:lang w:val="en-US" w:eastAsia="zh-CN"/>
        </w:rPr>
        <w:t>子公司，</w:t>
      </w:r>
      <w:r>
        <w:rPr>
          <w:rFonts w:hint="eastAsia"/>
        </w:rPr>
        <w:t>深耕CDMO领域20年，提供一体化CMC服务，在小分子、多肽、高活原料药和涉及PDC等新型药物分子的偶联化学方面</w:t>
      </w:r>
      <w:r>
        <w:rPr>
          <w:rFonts w:hint="eastAsia"/>
          <w:lang w:val="en-US" w:eastAsia="zh-CN"/>
        </w:rPr>
        <w:t>有</w:t>
      </w:r>
      <w:r>
        <w:rPr>
          <w:rFonts w:hint="eastAsia"/>
        </w:rPr>
        <w:t>领先能力和规模优势。</w:t>
      </w:r>
    </w:p>
    <w:p w14:paraId="5345DD7F">
      <w:pPr>
        <w:numPr>
          <w:ilvl w:val="0"/>
          <w:numId w:val="0"/>
        </w:numPr>
        <w:rPr>
          <w:rFonts w:hint="eastAsia"/>
        </w:rPr>
      </w:pPr>
    </w:p>
    <w:p w14:paraId="5B0C2D70">
      <w:pPr>
        <w:rPr>
          <w:rFonts w:hint="eastAsia"/>
          <w:lang w:eastAsia="zh-CN"/>
        </w:rPr>
      </w:pPr>
      <w:r>
        <w:rPr>
          <w:rFonts w:hint="eastAsia"/>
          <w:b/>
          <w:bCs/>
        </w:rPr>
        <w:t>凯莱英</w:t>
      </w:r>
      <w:r>
        <w:rPr>
          <w:rFonts w:hint="eastAsia"/>
        </w:rPr>
        <w:t>：</w:t>
      </w:r>
      <w:r>
        <w:rPr>
          <w:rFonts w:hint="eastAsia"/>
          <w:lang w:val="en-US" w:eastAsia="zh-CN"/>
        </w:rPr>
        <w:t>其</w:t>
      </w:r>
      <w:r>
        <w:rPr>
          <w:rFonts w:hint="eastAsia"/>
        </w:rPr>
        <w:t>化学大分子部(CMMD)具备一站式多肽服务能力，服务项目包括伪肽、肽+linker、肽-药物偶联、高活肽等</w:t>
      </w:r>
      <w:r>
        <w:rPr>
          <w:rFonts w:hint="eastAsia"/>
          <w:lang w:eastAsia="zh-CN"/>
        </w:rPr>
        <w:t>。</w:t>
      </w:r>
      <w:r>
        <w:rPr>
          <w:rFonts w:hint="eastAsia"/>
        </w:rPr>
        <w:t>在产能建设方面，2023年上半年化学大分子专属生产车间1已经顺利投产，其中布局10条寡核苷酸中试—商业化生产线，具备500kg/年的合成产能。固相合成总产能2024上半年将超10,000L，满足百公斤级别商业化生产需求。2022年CMMD业务收入3.7亿元，同比增长139%</w:t>
      </w:r>
      <w:r>
        <w:rPr>
          <w:rFonts w:hint="eastAsia"/>
          <w:lang w:eastAsia="zh-CN"/>
        </w:rPr>
        <w:t>。</w:t>
      </w:r>
    </w:p>
    <w:p w14:paraId="001D1867">
      <w:pPr>
        <w:rPr>
          <w:rFonts w:hint="eastAsia"/>
          <w:lang w:eastAsia="zh-CN"/>
        </w:rPr>
      </w:pPr>
    </w:p>
    <w:p w14:paraId="2060F1BE">
      <w:pPr>
        <w:jc w:val="center"/>
        <w:rPr>
          <w:rFonts w:hint="default" w:eastAsiaTheme="minorEastAsia"/>
          <w:lang w:val="en-US" w:eastAsia="zh-CN"/>
        </w:rPr>
      </w:pPr>
      <w:r>
        <w:rPr>
          <w:rFonts w:hint="eastAsia"/>
          <w:b/>
          <w:bCs/>
        </w:rPr>
        <w:t>凯莱英</w:t>
      </w:r>
      <w:r>
        <w:rPr>
          <w:rFonts w:hint="eastAsia"/>
          <w:b/>
          <w:bCs/>
          <w:lang w:val="en-US" w:eastAsia="zh-CN"/>
        </w:rPr>
        <w:t>全球医药专利查询</w:t>
      </w:r>
    </w:p>
    <w:p w14:paraId="61EE8BB5">
      <w:pPr>
        <w:numPr>
          <w:ilvl w:val="0"/>
          <w:numId w:val="0"/>
        </w:numPr>
        <w:ind w:leftChars="0"/>
        <w:jc w:val="center"/>
      </w:pPr>
      <w:r>
        <w:drawing>
          <wp:inline distT="0" distB="0" distL="114300" distR="114300">
            <wp:extent cx="5273040" cy="2578100"/>
            <wp:effectExtent l="0" t="0" r="381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3040" cy="2578100"/>
                    </a:xfrm>
                    <a:prstGeom prst="rect">
                      <a:avLst/>
                    </a:prstGeom>
                    <a:noFill/>
                    <a:ln>
                      <a:noFill/>
                    </a:ln>
                  </pic:spPr>
                </pic:pic>
              </a:graphicData>
            </a:graphic>
          </wp:inline>
        </w:drawing>
      </w:r>
    </w:p>
    <w:p w14:paraId="38934E75">
      <w:pPr>
        <w:numPr>
          <w:ilvl w:val="0"/>
          <w:numId w:val="0"/>
        </w:numPr>
        <w:ind w:leftChars="0"/>
        <w:jc w:val="center"/>
        <w:rPr>
          <w:rFonts w:hint="default" w:eastAsiaTheme="minorEastAsia"/>
          <w:lang w:val="en-US" w:eastAsia="zh-CN"/>
        </w:rPr>
      </w:pPr>
      <w:r>
        <w:rPr>
          <w:rFonts w:hint="eastAsia"/>
          <w:lang w:val="en-US" w:eastAsia="zh-CN"/>
        </w:rPr>
        <w:t>图片来源：药融云全球医药专利数据库</w:t>
      </w:r>
    </w:p>
    <w:p w14:paraId="5B0C8B45">
      <w:pPr>
        <w:numPr>
          <w:ilvl w:val="0"/>
          <w:numId w:val="0"/>
        </w:numPr>
        <w:ind w:leftChars="0"/>
        <w:jc w:val="center"/>
        <w:rPr>
          <w:rFonts w:hint="eastAsia"/>
        </w:rPr>
      </w:pPr>
    </w:p>
    <w:p w14:paraId="11F83629">
      <w:pPr>
        <w:numPr>
          <w:ilvl w:val="0"/>
          <w:numId w:val="0"/>
        </w:numPr>
        <w:ind w:leftChars="0"/>
        <w:rPr>
          <w:rFonts w:hint="eastAsia"/>
        </w:rPr>
      </w:pPr>
      <w:r>
        <w:rPr>
          <w:rFonts w:hint="eastAsia"/>
          <w:b/>
          <w:bCs/>
        </w:rPr>
        <w:t>九洲药业</w:t>
      </w:r>
      <w:r>
        <w:rPr>
          <w:rFonts w:hint="eastAsia"/>
        </w:rPr>
        <w:t>：提供多肽及偶联药物从临床前药学研究至商业化生产</w:t>
      </w:r>
      <w:r>
        <w:rPr>
          <w:rFonts w:hint="eastAsia"/>
          <w:lang w:eastAsia="zh-CN"/>
        </w:rPr>
        <w:t>，</w:t>
      </w:r>
      <w:r>
        <w:rPr>
          <w:rFonts w:hint="eastAsia"/>
        </w:rPr>
        <w:t>具备一站式多肽服务能力</w:t>
      </w:r>
      <w:r>
        <w:rPr>
          <w:rFonts w:hint="eastAsia"/>
          <w:lang w:eastAsia="zh-CN"/>
        </w:rPr>
        <w:t>。</w:t>
      </w:r>
    </w:p>
    <w:p w14:paraId="78B33213">
      <w:pPr>
        <w:rPr>
          <w:rFonts w:hint="eastAsia"/>
        </w:rPr>
      </w:pPr>
      <w:r>
        <w:rPr>
          <w:rFonts w:hint="eastAsia"/>
        </w:rPr>
        <w:t>目前已经搭建多肽CDMO研发平台，合成技术包含固相合成、液相合成、固液相结合、原创的非经典固相合成技术等技术。产能方面，苏州生产基地拥有多肽GMP生产车间，每批产量3kg，年产量可达70-90公斤。浙江瑞博生产基地拥有高活偶联药物GMP生产厂房(OEB4、OEB5)，产量600g/批，年产量可达25-30公斤。</w:t>
      </w:r>
    </w:p>
    <w:p w14:paraId="65B26407"/>
    <w:p w14:paraId="5103B9B0">
      <w:pPr>
        <w:numPr>
          <w:ilvl w:val="0"/>
          <w:numId w:val="1"/>
        </w:numPr>
        <w:ind w:left="0" w:leftChars="0" w:firstLine="0" w:firstLineChars="0"/>
        <w:rPr>
          <w:rFonts w:hint="eastAsia"/>
          <w:b/>
          <w:bCs/>
        </w:rPr>
      </w:pPr>
      <w:r>
        <w:rPr>
          <w:rFonts w:hint="eastAsia"/>
          <w:b/>
          <w:bCs/>
        </w:rPr>
        <w:t>GLP-1药物下游研发企业：创新药与仿制药</w:t>
      </w:r>
    </w:p>
    <w:p w14:paraId="2F9DA696">
      <w:pPr>
        <w:numPr>
          <w:ilvl w:val="0"/>
          <w:numId w:val="0"/>
        </w:numPr>
        <w:ind w:leftChars="0"/>
        <w:rPr>
          <w:rFonts w:hint="eastAsia"/>
          <w:b w:val="0"/>
          <w:bCs w:val="0"/>
        </w:rPr>
      </w:pPr>
    </w:p>
    <w:p w14:paraId="4C251F75">
      <w:pPr>
        <w:numPr>
          <w:ilvl w:val="0"/>
          <w:numId w:val="0"/>
        </w:numPr>
        <w:ind w:leftChars="0"/>
        <w:rPr>
          <w:rFonts w:hint="eastAsia"/>
          <w:b/>
          <w:bCs/>
        </w:rPr>
      </w:pPr>
      <w:r>
        <w:rPr>
          <w:rFonts w:hint="eastAsia"/>
          <w:b w:val="0"/>
          <w:bCs w:val="0"/>
        </w:rPr>
        <w:t>相较于国产GLP-1药物研发企业的长周期性，上游原料药企、载体供应商以及CDMO服务商等已吃下第一波红利。面对GLP-1类药物的市场潜力，国内GLP-1药物产业链</w:t>
      </w:r>
      <w:r>
        <w:rPr>
          <w:rFonts w:hint="eastAsia"/>
          <w:b w:val="0"/>
          <w:bCs w:val="0"/>
          <w:lang w:val="en-US" w:eastAsia="zh-CN"/>
        </w:rPr>
        <w:t>下游制药</w:t>
      </w:r>
      <w:r>
        <w:rPr>
          <w:rFonts w:hint="eastAsia"/>
          <w:b w:val="0"/>
          <w:bCs w:val="0"/>
        </w:rPr>
        <w:t>公司纷纷加快步伐，抢滩市场。</w:t>
      </w:r>
    </w:p>
    <w:p w14:paraId="426014AA">
      <w:pPr>
        <w:numPr>
          <w:ilvl w:val="0"/>
          <w:numId w:val="0"/>
        </w:numPr>
        <w:ind w:leftChars="0"/>
        <w:rPr>
          <w:rFonts w:hint="eastAsia"/>
          <w:b/>
          <w:bCs/>
        </w:rPr>
      </w:pPr>
    </w:p>
    <w:p w14:paraId="32C5ABBE">
      <w:pPr>
        <w:rPr>
          <w:rFonts w:hint="eastAsia"/>
          <w:b/>
          <w:bCs/>
        </w:rPr>
      </w:pPr>
      <w:r>
        <w:rPr>
          <w:rFonts w:hint="eastAsia"/>
          <w:b/>
          <w:bCs/>
        </w:rPr>
        <w:t>信达生物：</w:t>
      </w:r>
      <w:r>
        <w:rPr>
          <w:rFonts w:hint="eastAsia"/>
          <w:b/>
          <w:bCs/>
          <w:lang w:val="en-US" w:eastAsia="zh-CN"/>
        </w:rPr>
        <w:t>手握</w:t>
      </w:r>
      <w:r>
        <w:rPr>
          <w:rFonts w:hint="eastAsia"/>
          <w:b/>
          <w:bCs/>
        </w:rPr>
        <w:t>全球首个进入临床III期的GLP-1/GCG双靶激动剂</w:t>
      </w:r>
    </w:p>
    <w:p w14:paraId="0324DF9A">
      <w:pPr>
        <w:rPr>
          <w:rFonts w:hint="eastAsia"/>
        </w:rPr>
      </w:pPr>
    </w:p>
    <w:p w14:paraId="3420C4EE">
      <w:pPr>
        <w:rPr>
          <w:rFonts w:hint="eastAsia"/>
        </w:rPr>
      </w:pPr>
      <w:r>
        <w:rPr>
          <w:rFonts w:hint="eastAsia"/>
        </w:rPr>
        <w:t>信达生物的玛仕度肽肥胖或超重适应症已经于2022Q4进入III期临床，预计最快2024年上市</w:t>
      </w:r>
      <w:r>
        <w:rPr>
          <w:rFonts w:hint="eastAsia"/>
          <w:lang w:eastAsia="zh-CN"/>
        </w:rPr>
        <w:t>。</w:t>
      </w:r>
      <w:r>
        <w:rPr>
          <w:rFonts w:hint="eastAsia"/>
        </w:rPr>
        <w:t>连续给药24周治疗，玛仕度肽6mg组和9mg组在不同基线人群中分别实现了12.6%（10.9kg）和15.4%（14.7kg）的减重幅度。研究结果显示，玛仕度肽6mg组与目前疗效最优的GLP-1类多靶点药物的减重疗效同具竞争力。玛仕度肽9mg组的减重疗效可以与减重手术相媲美。相比之下，GLP-1单靶点药物在此类肥胖人群中的疗效有限，很难达到与安慰剂相比超过15%的减重幅度。</w:t>
      </w:r>
    </w:p>
    <w:p w14:paraId="0B15205B">
      <w:pPr>
        <w:numPr>
          <w:ilvl w:val="0"/>
          <w:numId w:val="0"/>
        </w:numPr>
        <w:rPr>
          <w:rFonts w:hint="eastAsia"/>
        </w:rPr>
      </w:pPr>
    </w:p>
    <w:p w14:paraId="73CF3496">
      <w:pPr>
        <w:rPr>
          <w:rFonts w:hint="eastAsia"/>
          <w:b/>
          <w:bCs/>
        </w:rPr>
      </w:pPr>
      <w:r>
        <w:rPr>
          <w:rFonts w:hint="eastAsia"/>
          <w:b/>
          <w:bCs/>
        </w:rPr>
        <w:t>恒瑞医药：布局丰富，双靶与口服均有布局</w:t>
      </w:r>
    </w:p>
    <w:p w14:paraId="662AC61B">
      <w:pPr>
        <w:rPr>
          <w:rFonts w:hint="eastAsia"/>
        </w:rPr>
      </w:pPr>
    </w:p>
    <w:p w14:paraId="64D8B020">
      <w:pPr>
        <w:rPr>
          <w:rFonts w:hint="eastAsia"/>
        </w:rPr>
      </w:pPr>
      <w:r>
        <w:rPr>
          <w:rFonts w:hint="eastAsia"/>
        </w:rPr>
        <w:t>恒瑞医药在GLP-1</w:t>
      </w:r>
      <w:r>
        <w:rPr>
          <w:rFonts w:hint="eastAsia"/>
          <w:lang w:val="en-US" w:eastAsia="zh-CN"/>
        </w:rPr>
        <w:t>领域</w:t>
      </w:r>
      <w:r>
        <w:rPr>
          <w:rFonts w:hint="eastAsia"/>
        </w:rPr>
        <w:t>布局</w:t>
      </w:r>
      <w:r>
        <w:rPr>
          <w:rFonts w:hint="eastAsia"/>
          <w:lang w:eastAsia="zh-CN"/>
        </w:rPr>
        <w:t>了</w:t>
      </w:r>
      <w:r>
        <w:rPr>
          <w:rFonts w:hint="eastAsia"/>
        </w:rPr>
        <w:t>单靶点口服、双靶点、与胰岛素复方制剂。目前重点在研新药有3个，分别是口服小分子受体激动剂HRS-7535、GIP/GLP-1受体激动剂HRS9531注射液和胰岛素/GLP-1注射液HR17031。</w:t>
      </w:r>
      <w:r>
        <w:rPr>
          <w:rFonts w:hint="eastAsia"/>
          <w:lang w:val="en-US" w:eastAsia="zh-CN"/>
        </w:rPr>
        <w:t>药融云数据库显示，</w:t>
      </w:r>
      <w:r>
        <w:rPr>
          <w:rFonts w:hint="eastAsia"/>
        </w:rPr>
        <w:t>目前HRS-7535和HRS9531的超重适应症均已开展临床试验，其中HRS9531的超重适应症已经进入临床2期阶段。</w:t>
      </w:r>
    </w:p>
    <w:p w14:paraId="2DFDBC0D">
      <w:pPr>
        <w:numPr>
          <w:ilvl w:val="0"/>
          <w:numId w:val="0"/>
        </w:numPr>
        <w:ind w:leftChars="0"/>
        <w:rPr>
          <w:rFonts w:hint="eastAsia"/>
        </w:rPr>
      </w:pPr>
    </w:p>
    <w:p w14:paraId="3D301457">
      <w:pPr>
        <w:numPr>
          <w:ilvl w:val="0"/>
          <w:numId w:val="0"/>
        </w:numPr>
        <w:ind w:leftChars="0"/>
        <w:rPr>
          <w:rFonts w:hint="eastAsia"/>
          <w:b/>
          <w:bCs/>
        </w:rPr>
      </w:pPr>
      <w:r>
        <w:rPr>
          <w:rFonts w:hint="eastAsia"/>
          <w:b/>
          <w:bCs/>
        </w:rPr>
        <w:t>华东医药：全面布局GLP-1领域，重视减重赛道</w:t>
      </w:r>
    </w:p>
    <w:p w14:paraId="43E79C60">
      <w:pPr>
        <w:numPr>
          <w:ilvl w:val="0"/>
          <w:numId w:val="0"/>
        </w:numPr>
        <w:ind w:leftChars="0"/>
        <w:rPr>
          <w:rFonts w:hint="eastAsia"/>
        </w:rPr>
      </w:pPr>
    </w:p>
    <w:p w14:paraId="44C30227">
      <w:pPr>
        <w:numPr>
          <w:ilvl w:val="0"/>
          <w:numId w:val="0"/>
        </w:numPr>
        <w:ind w:leftChars="0"/>
        <w:rPr>
          <w:rFonts w:hint="eastAsia"/>
        </w:rPr>
      </w:pPr>
      <w:r>
        <w:rPr>
          <w:rFonts w:hint="eastAsia"/>
        </w:rPr>
        <w:t>华东医药在GLP-1赛道布局全面，在减肥领域已建立了涵盖口服、注射剂等多种剂型包括长效和多靶点全球创新药和生物类似药相结合的GLP-1产品管线，包括已上市的利拉鲁肽注射液，在研产品包括生物类似药司美格鲁肽注射液、全球创新口服小分子GLP-1受体激动剂HDM1002、双靶点激动剂HDM1005及SCO-094、长效三靶点激动剂DR10624等多款产品，华东医药已实现单靶点、双靶点、三靶点、口服小分子的GLP-1全方位布局。</w:t>
      </w:r>
    </w:p>
    <w:p w14:paraId="158E25EC">
      <w:pPr>
        <w:numPr>
          <w:ilvl w:val="0"/>
          <w:numId w:val="0"/>
        </w:numPr>
        <w:ind w:leftChars="0"/>
        <w:rPr>
          <w:rFonts w:hint="eastAsia"/>
        </w:rPr>
      </w:pPr>
    </w:p>
    <w:p w14:paraId="38E4CA70">
      <w:pPr>
        <w:numPr>
          <w:ilvl w:val="0"/>
          <w:numId w:val="0"/>
        </w:numPr>
        <w:ind w:leftChars="0"/>
        <w:jc w:val="center"/>
        <w:rPr>
          <w:rFonts w:hint="default" w:eastAsiaTheme="minorEastAsia"/>
          <w:b/>
          <w:bCs/>
          <w:lang w:val="en-US" w:eastAsia="zh-CN"/>
        </w:rPr>
      </w:pPr>
      <w:r>
        <w:rPr>
          <w:rFonts w:hint="eastAsia"/>
          <w:b/>
          <w:bCs/>
        </w:rPr>
        <w:t>华东医药</w:t>
      </w:r>
      <w:r>
        <w:rPr>
          <w:rFonts w:hint="eastAsia"/>
          <w:b/>
          <w:bCs/>
          <w:lang w:val="en-US" w:eastAsia="zh-CN"/>
        </w:rPr>
        <w:t>全球研发药物阶段分布</w:t>
      </w:r>
    </w:p>
    <w:p w14:paraId="306FE802">
      <w:pPr>
        <w:numPr>
          <w:ilvl w:val="0"/>
          <w:numId w:val="0"/>
        </w:numPr>
        <w:ind w:leftChars="0"/>
        <w:jc w:val="center"/>
      </w:pPr>
      <w:r>
        <w:drawing>
          <wp:inline distT="0" distB="0" distL="114300" distR="114300">
            <wp:extent cx="4332605" cy="2727960"/>
            <wp:effectExtent l="0" t="0" r="10795" b="152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4332605" cy="2727960"/>
                    </a:xfrm>
                    <a:prstGeom prst="rect">
                      <a:avLst/>
                    </a:prstGeom>
                    <a:noFill/>
                    <a:ln>
                      <a:noFill/>
                    </a:ln>
                  </pic:spPr>
                </pic:pic>
              </a:graphicData>
            </a:graphic>
          </wp:inline>
        </w:drawing>
      </w:r>
    </w:p>
    <w:p w14:paraId="74E1F04B">
      <w:pPr>
        <w:numPr>
          <w:ilvl w:val="0"/>
          <w:numId w:val="0"/>
        </w:numPr>
        <w:ind w:leftChars="0"/>
        <w:jc w:val="center"/>
        <w:rPr>
          <w:rFonts w:hint="default" w:eastAsiaTheme="minorEastAsia"/>
          <w:lang w:val="en-US" w:eastAsia="zh-CN"/>
        </w:rPr>
      </w:pPr>
      <w:r>
        <w:rPr>
          <w:rFonts w:hint="eastAsia"/>
          <w:lang w:val="en-US" w:eastAsia="zh-CN"/>
        </w:rPr>
        <w:t>图片来源：药融云全球药物研发数据库</w:t>
      </w:r>
    </w:p>
    <w:p w14:paraId="13673643">
      <w:pPr>
        <w:numPr>
          <w:ilvl w:val="0"/>
          <w:numId w:val="0"/>
        </w:numPr>
        <w:ind w:leftChars="0"/>
        <w:rPr>
          <w:rFonts w:hint="eastAsia"/>
        </w:rPr>
      </w:pPr>
    </w:p>
    <w:p w14:paraId="528C0EAA">
      <w:pPr>
        <w:numPr>
          <w:ilvl w:val="0"/>
          <w:numId w:val="0"/>
        </w:numPr>
        <w:ind w:leftChars="0"/>
        <w:rPr>
          <w:rFonts w:hint="eastAsia"/>
        </w:rPr>
      </w:pPr>
    </w:p>
    <w:p w14:paraId="06B00D67">
      <w:pPr>
        <w:rPr>
          <w:rFonts w:hint="eastAsia" w:eastAsiaTheme="minorEastAsia"/>
          <w:b/>
          <w:bCs/>
          <w:lang w:eastAsia="zh-CN"/>
        </w:rPr>
      </w:pPr>
      <w:r>
        <w:rPr>
          <w:rFonts w:hint="eastAsia"/>
          <w:b/>
          <w:bCs/>
        </w:rPr>
        <w:t>通化东宝：布局利拉鲁肽+注射GLP-1/GIP双靶点激动剂+口服非肽类小分子</w:t>
      </w:r>
    </w:p>
    <w:p w14:paraId="701E03A8">
      <w:pPr>
        <w:numPr>
          <w:ilvl w:val="0"/>
          <w:numId w:val="0"/>
        </w:numPr>
        <w:ind w:leftChars="0"/>
        <w:rPr>
          <w:rFonts w:hint="eastAsia"/>
        </w:rPr>
      </w:pPr>
    </w:p>
    <w:p w14:paraId="722B71B3">
      <w:pPr>
        <w:numPr>
          <w:ilvl w:val="0"/>
          <w:numId w:val="0"/>
        </w:numPr>
        <w:ind w:leftChars="0"/>
        <w:rPr>
          <w:rFonts w:hint="eastAsia"/>
        </w:rPr>
      </w:pPr>
      <w:r>
        <w:rPr>
          <w:rFonts w:hint="eastAsia"/>
        </w:rPr>
        <w:t>通化东宝布局</w:t>
      </w:r>
      <w:r>
        <w:rPr>
          <w:rFonts w:hint="eastAsia"/>
          <w:lang w:eastAsia="zh-CN"/>
        </w:rPr>
        <w:t>的</w:t>
      </w:r>
      <w:r>
        <w:rPr>
          <w:rFonts w:hint="eastAsia"/>
        </w:rPr>
        <w:t>GLP-1受体激动剂类产品，涵盖利拉鲁肽仿制药、注射GLP-1/GIP双靶点激动剂及口服非肽类小分子。GLP-1RA仿制药方面，利拉鲁肽注射液处于申报上市阶段。创新药方面，THDBH121为GLP-1/GIP双靶点激动剂，目前处于糖尿病I</w:t>
      </w:r>
      <w:r>
        <w:rPr>
          <w:rFonts w:hint="eastAsia"/>
          <w:lang w:val="en-US" w:eastAsia="zh-CN"/>
        </w:rPr>
        <w:t>期</w:t>
      </w:r>
      <w:r>
        <w:rPr>
          <w:rFonts w:hint="eastAsia"/>
        </w:rPr>
        <w:t>临床阶段，THDBH110胶囊为口服非肽类小分子GLP-1受体激动剂，于2023年8月获得临床试验批准。</w:t>
      </w:r>
    </w:p>
    <w:p w14:paraId="0C3B334C">
      <w:pPr>
        <w:numPr>
          <w:ilvl w:val="0"/>
          <w:numId w:val="0"/>
        </w:numPr>
        <w:ind w:leftChars="0"/>
        <w:rPr>
          <w:rFonts w:hint="eastAsia"/>
        </w:rPr>
      </w:pPr>
    </w:p>
    <w:p w14:paraId="17C4F120">
      <w:pPr>
        <w:rPr>
          <w:rFonts w:hint="eastAsia"/>
        </w:rPr>
      </w:pPr>
      <w:r>
        <w:rPr>
          <w:rFonts w:hint="eastAsia"/>
          <w:b/>
          <w:bCs/>
        </w:rPr>
        <w:t>注射笔等给药装置厂商</w:t>
      </w:r>
      <w:r>
        <w:rPr>
          <w:rFonts w:hint="eastAsia"/>
          <w:b w:val="0"/>
          <w:bCs w:val="0"/>
          <w:lang w:eastAsia="zh-CN"/>
        </w:rPr>
        <w:t>—</w:t>
      </w:r>
      <w:r>
        <w:rPr>
          <w:rFonts w:hint="eastAsia"/>
          <w:b/>
          <w:bCs/>
          <w:lang w:eastAsia="zh-CN"/>
        </w:rPr>
        <w:t>—</w:t>
      </w:r>
      <w:r>
        <w:rPr>
          <w:rFonts w:hint="eastAsia"/>
          <w:b/>
          <w:bCs/>
        </w:rPr>
        <w:t>迈得医疗</w:t>
      </w:r>
    </w:p>
    <w:p w14:paraId="6E1BAFC1">
      <w:pPr>
        <w:rPr>
          <w:rFonts w:hint="eastAsia"/>
        </w:rPr>
      </w:pPr>
    </w:p>
    <w:p w14:paraId="427E111C">
      <w:pPr>
        <w:rPr>
          <w:rFonts w:hint="eastAsia"/>
        </w:rPr>
      </w:pPr>
      <w:r>
        <w:rPr>
          <w:rFonts w:hint="eastAsia"/>
        </w:rPr>
        <w:t>迈得医疗主要产品包括安全输注类、血液净化类两大类设备。安全输注类设备主要用于COP预灌封或安全自毁式注射器、留置针、胰岛素针等，一次性使用注射笔可应用于胰岛素、疫苗、生物药（司美格鲁肽）等注射。</w:t>
      </w:r>
    </w:p>
    <w:p w14:paraId="633258A5">
      <w:pPr>
        <w:numPr>
          <w:ilvl w:val="0"/>
          <w:numId w:val="0"/>
        </w:numPr>
        <w:jc w:val="both"/>
        <w:rPr>
          <w:rFonts w:hint="default"/>
          <w:lang w:val="en-US" w:eastAsia="zh-CN"/>
        </w:rPr>
      </w:pPr>
    </w:p>
    <w:p w14:paraId="57470513">
      <w:pPr>
        <w:rPr>
          <w:rFonts w:hint="eastAsia"/>
        </w:rPr>
      </w:pPr>
      <w:r>
        <w:rPr>
          <w:rFonts w:hint="eastAsia"/>
          <w:b/>
          <w:bCs/>
        </w:rPr>
        <w:t>注射笔等给药装置厂商</w:t>
      </w:r>
      <w:r>
        <w:rPr>
          <w:rFonts w:hint="eastAsia"/>
          <w:b w:val="0"/>
          <w:bCs w:val="0"/>
          <w:lang w:eastAsia="zh-CN"/>
        </w:rPr>
        <w:t>—</w:t>
      </w:r>
      <w:r>
        <w:rPr>
          <w:rFonts w:hint="eastAsia"/>
          <w:b/>
          <w:bCs/>
          <w:lang w:eastAsia="zh-CN"/>
        </w:rPr>
        <w:t>—</w:t>
      </w:r>
      <w:r>
        <w:rPr>
          <w:rFonts w:hint="eastAsia"/>
          <w:b/>
          <w:bCs/>
        </w:rPr>
        <w:t>翰尔西</w:t>
      </w:r>
    </w:p>
    <w:p w14:paraId="797BD674">
      <w:pPr>
        <w:numPr>
          <w:ilvl w:val="0"/>
          <w:numId w:val="0"/>
        </w:numPr>
        <w:jc w:val="both"/>
        <w:rPr>
          <w:rFonts w:hint="default"/>
          <w:lang w:val="en-US" w:eastAsia="zh-CN"/>
        </w:rPr>
      </w:pPr>
    </w:p>
    <w:p w14:paraId="0567765C">
      <w:pPr>
        <w:numPr>
          <w:ilvl w:val="0"/>
          <w:numId w:val="0"/>
        </w:numPr>
        <w:jc w:val="both"/>
        <w:rPr>
          <w:rFonts w:hint="default"/>
          <w:lang w:val="en-US" w:eastAsia="zh-CN"/>
        </w:rPr>
      </w:pPr>
      <w:r>
        <w:rPr>
          <w:rFonts w:hint="default"/>
          <w:lang w:val="en-US" w:eastAsia="zh-CN"/>
        </w:rPr>
        <w:t>翰尔西</w:t>
      </w:r>
      <w:r>
        <w:rPr>
          <w:rFonts w:hint="eastAsia"/>
          <w:lang w:val="en-US" w:eastAsia="zh-CN"/>
        </w:rPr>
        <w:t>主要是</w:t>
      </w:r>
      <w:r>
        <w:rPr>
          <w:rFonts w:hint="default"/>
          <w:lang w:val="en-US" w:eastAsia="zh-CN"/>
        </w:rPr>
        <w:t>研究和开发国内胰岛素、GLP-1、生长素等使用卡式瓶包装的生物制剂的笔式注射器，是目前国内唯一原研笔生产商</w:t>
      </w:r>
      <w:r>
        <w:rPr>
          <w:rFonts w:hint="eastAsia"/>
          <w:lang w:val="en-US" w:eastAsia="zh-CN"/>
        </w:rPr>
        <w:t>。注射笔专利和主要技术由国际巨头垄断，诺和诺德+礼来+赛诺菲占比80%，门槛极高，结构复杂，设计工艺4万多项，研发壁垒高。</w:t>
      </w:r>
    </w:p>
    <w:p w14:paraId="4ECE6EBE">
      <w:pPr>
        <w:numPr>
          <w:ilvl w:val="0"/>
          <w:numId w:val="0"/>
        </w:numPr>
        <w:jc w:val="both"/>
        <w:rPr>
          <w:rFonts w:hint="default"/>
          <w:lang w:val="en-US" w:eastAsia="zh-CN"/>
        </w:rPr>
      </w:pPr>
    </w:p>
    <w:p w14:paraId="5A046D9F">
      <w:pPr>
        <w:rPr>
          <w:rFonts w:hint="eastAsia"/>
        </w:rPr>
      </w:pPr>
      <w:r>
        <w:rPr>
          <w:rFonts w:hint="eastAsia"/>
          <w:b/>
          <w:bCs/>
        </w:rPr>
        <w:t>注射笔等给药装置厂商</w:t>
      </w:r>
      <w:r>
        <w:rPr>
          <w:rFonts w:hint="eastAsia"/>
          <w:b w:val="0"/>
          <w:bCs w:val="0"/>
          <w:lang w:eastAsia="zh-CN"/>
        </w:rPr>
        <w:t>—</w:t>
      </w:r>
      <w:r>
        <w:rPr>
          <w:rFonts w:hint="eastAsia"/>
          <w:b/>
          <w:bCs/>
          <w:lang w:eastAsia="zh-CN"/>
        </w:rPr>
        <w:t>—</w:t>
      </w:r>
      <w:r>
        <w:rPr>
          <w:rFonts w:hint="eastAsia"/>
          <w:b/>
          <w:bCs/>
        </w:rPr>
        <w:t>美好医疗</w:t>
      </w:r>
    </w:p>
    <w:p w14:paraId="5712215A">
      <w:pPr>
        <w:rPr>
          <w:rFonts w:hint="eastAsia"/>
        </w:rPr>
      </w:pPr>
    </w:p>
    <w:p w14:paraId="25E7AD31">
      <w:pPr>
        <w:rPr>
          <w:rFonts w:hint="eastAsia"/>
        </w:rPr>
      </w:pPr>
      <w:r>
        <w:rPr>
          <w:rFonts w:hint="eastAsia"/>
        </w:rPr>
        <w:t>美好医疗主营业务是为全球医疗器械企业提供从产品设计开发到批量生产交付的全流程一站式服务</w:t>
      </w:r>
      <w:r>
        <w:rPr>
          <w:rFonts w:hint="eastAsia"/>
          <w:lang w:eastAsia="zh-CN"/>
        </w:rPr>
        <w:t>，</w:t>
      </w:r>
      <w:r>
        <w:rPr>
          <w:rFonts w:hint="eastAsia"/>
        </w:rPr>
        <w:t>是国内唯一在注射笔设备上有所突破的上市公司，已经取得相关订单。基于</w:t>
      </w:r>
      <w:r>
        <w:rPr>
          <w:rFonts w:hint="eastAsia"/>
          <w:lang w:val="en-US" w:eastAsia="zh-CN"/>
        </w:rPr>
        <w:t>其</w:t>
      </w:r>
      <w:r>
        <w:rPr>
          <w:rFonts w:hint="eastAsia"/>
        </w:rPr>
        <w:t>强大的技术能力延展，积极开拓新业务，在血糖管理、胰岛素笔等领域积极布局，未来也有望受GLP-1产业链催化，带动胰岛素笔的需求提升。</w:t>
      </w:r>
    </w:p>
    <w:p w14:paraId="05660D4F">
      <w:pPr>
        <w:numPr>
          <w:ilvl w:val="0"/>
          <w:numId w:val="0"/>
        </w:numPr>
        <w:jc w:val="both"/>
        <w:rPr>
          <w:rFonts w:hint="default"/>
          <w:lang w:val="en-US" w:eastAsia="zh-CN"/>
        </w:rPr>
      </w:pPr>
    </w:p>
    <w:p w14:paraId="67CA8F0F">
      <w:pPr>
        <w:rPr>
          <w:rFonts w:hint="eastAsia"/>
          <w:b/>
          <w:bCs/>
          <w:lang w:val="en-US" w:eastAsia="zh-CN"/>
        </w:rPr>
      </w:pPr>
      <w:r>
        <w:rPr>
          <w:rFonts w:hint="eastAsia"/>
          <w:b/>
          <w:bCs/>
          <w:lang w:val="en-US" w:eastAsia="zh-CN"/>
        </w:rPr>
        <w:t>总结：</w:t>
      </w:r>
    </w:p>
    <w:p w14:paraId="738D31D9">
      <w:pPr>
        <w:rPr>
          <w:rFonts w:hint="eastAsia"/>
          <w:lang w:val="en-US" w:eastAsia="zh-CN"/>
        </w:rPr>
      </w:pPr>
      <w:r>
        <w:rPr>
          <w:rFonts w:hint="eastAsia"/>
          <w:lang w:val="en-US" w:eastAsia="zh-CN"/>
        </w:rPr>
        <w:t>自首款GLP-1药物艾塞那肽上市以来，GLP-1药物市场迅速崛起，以诺和诺德的司美格鲁肽和礼来的替尔泊肽为代表的明星产品在降糖减重领域取得的重大突破，使得GLP-1上中下游产业链受益，各环节企业积极布局，共享市场增长红利。</w:t>
      </w:r>
    </w:p>
    <w:p w14:paraId="212AD836">
      <w:pPr>
        <w:rPr>
          <w:rFonts w:hint="eastAsia"/>
          <w:lang w:val="en-US" w:eastAsia="zh-CN"/>
        </w:rPr>
      </w:pPr>
    </w:p>
    <w:p w14:paraId="24C68A97">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31C1F8"/>
    <w:multiLevelType w:val="singleLevel"/>
    <w:tmpl w:val="1331C1F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MTUwYzE0YTg1ZDE5M2MxYzVmZGQ1MjlkZTY2OGEifQ=="/>
  </w:docVars>
  <w:rsids>
    <w:rsidRoot w:val="6DD23872"/>
    <w:rsid w:val="26D75837"/>
    <w:rsid w:val="39432E15"/>
    <w:rsid w:val="5C660C34"/>
    <w:rsid w:val="66A42B88"/>
    <w:rsid w:val="6DD23872"/>
    <w:rsid w:val="71AC7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3525</Words>
  <Characters>4064</Characters>
  <Lines>0</Lines>
  <Paragraphs>0</Paragraphs>
  <TotalTime>1</TotalTime>
  <ScaleCrop>false</ScaleCrop>
  <LinksUpToDate>false</LinksUpToDate>
  <CharactersWithSpaces>4065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2024-04-18T04:18:00Z</dcterms:created>
  <dc:creator>。</dc:creator>
  <cp:lastModifiedBy>拾二年</cp:lastModifiedBy>
  <dcterms:modified xsi:type="dcterms:W3CDTF">2025-05-21T04:25:02Z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03B165C01CB34CA794413F2BF5ADE534_11</vt:lpwstr>
  </property>
  <property fmtid="{D5CDD505-2E9C-101B-9397-08002B2CF9AE}" pid="4" name="KSOTemplateDocerSaveRecord">
    <vt:lpwstr>eyJoZGlkIjoiOTIyMzBjZDQ3M2UxYWE5NjJkNzRmNWZlYWE0MGY1NjQiLCJ1c2VySWQiOiIyNjM2NTMxNDYifQ==</vt:lpwstr>
  </property>
</Properties>
</file>