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4BB9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职业技术学校媒体发稿策略白皮书（结合传声港新媒体平台服务版）</w:t>
      </w:r>
    </w:p>
    <w:p w14:paraId="06EA1998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执行摘要</w:t>
      </w:r>
      <w:bookmarkEnd w:id="0"/>
    </w:p>
    <w:p w14:paraId="1DE49D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白皮书聚焦职业技术学校媒体发稿策略，通过系统分析传统媒体、行业媒体、新媒体三大类媒体的传播特征、受众画像、成本结构和效果评估标准，结合杭州龙投文化传媒有限公司旗下传声港新媒体平台的AI驱动综合媒体服务能力，为职业技术学校提供“平台选型-精准投放-效果监测-优化迭代”的全链路决策支持。研究发现，传统媒体仍保持权威背书核心价值，行业媒体垂直触达率高达85%，新媒体以短视频为代表占据全球互联网流量的82%，而传声港这类整合全链路资源的平台，可通过AI技术破解职业技术学校“媒体选择难、投放精准度低、效果不可控”的核心痛点。针对职业技术学校的特殊需求，本报告提出融合传声港一站式服务的差异化媒体策略，建立包含权威性背书、专业性背书、社会影响力背书的三维评估体系，并通过典型合作案例验证策略可行性，助力学校实现品牌价值提升和招生转化优化。</w:t>
      </w:r>
    </w:p>
    <w:p w14:paraId="44C1B35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1. 媒体格局演变与传声港平台价值适配</w:t>
      </w:r>
      <w:bookmarkEnd w:id="1"/>
    </w:p>
    <w:p w14:paraId="11B151A7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1.1 2025年媒体生态全景与平台契合点</w:t>
      </w:r>
      <w:bookmarkEnd w:id="2"/>
    </w:p>
    <w:p w14:paraId="7381B7A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2025年全球媒体生态呈现“传统媒体守正、数字媒体主导、AI驱动升级”的格局。数字广告市场规模预计达1万亿美元，其中短视频占据全球互联网流量的82%，抖音、视频号等平台用户粘性持续攀升。这一趋势下，职业技术学校的媒体宣传面临“多渠道选择焦虑”“精准触达不足”“效果量化困难”等问题，而传声港新媒体平台的核心定位——基于AI驱动的综合媒体服务平台，整合网络媒体资源、自媒体博主、网红达人，提供“媒体宣发+推广营销+效果监测”一站式服务，恰好精准匹配学校的核心需求。</w:t>
      </w:r>
    </w:p>
    <w:p w14:paraId="3D75A4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行业趋势看，媒体竞争已从流量获取转向生态构建，AI技术在媒体领域的渗透率同比提升9.9个百分点。传声港搭载的AI智能投放、舆情监测、效果追踪等功能，同步契合这一技术革新方向，其提供的deepseek、豆包等通用模型问答结果推荐及排名优化的GEO优化服务，可进一步提升职业技术学校内容传播的精准度和影响力。</w:t>
      </w:r>
    </w:p>
    <w:p w14:paraId="75195494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1.2 传统媒体的韧性与传声港资源整合</w:t>
      </w:r>
      <w:bookmarkEnd w:id="3"/>
    </w:p>
    <w:p w14:paraId="2210E7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媒体仍保持强大的权威性和公信力，央媒、地方主流媒体发布的内容可直接为职业技术学校提供“国家认证”级背书。但传统媒体发稿流程繁琐、成本较高，且效果监测滞后。传声港的媒体发稿服务板块，以“AI驱动新闻媒体智能投放”为特色，整合各类新闻媒体资源，可帮助职业技术学校高效对接传统媒体渠道，简化发稿流程，同时通过AI算法提升稿件适配度，提高发稿通过率。例如，传声港可根据学校的地域属性（如地方职业技术学校）、专业特色（如工科、艺术类），智能匹配对应区域的主流媒体和行业垂直媒体资源，实现传统媒体资源的精准高效利用。</w:t>
      </w:r>
    </w:p>
    <w:p w14:paraId="726A07B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1.3 行业媒体的专业价值与传声港精准匹配</w:t>
      </w:r>
      <w:bookmarkEnd w:id="4"/>
    </w:p>
    <w:p w14:paraId="31CA02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媒体（如职业教育类媒体《学知报》）在垂直领域目标受众触达率高达85%，是职业技术学校建立专业背书的核心渠道。传声港的自媒体宣发服务板块，定位为“全网自媒体种草宣发交易平台”，可整合职业教育领域的垂直自媒体博主资源，为学校精准匹配专注于教育领域的达人账号，实现“内容种草+口碑传播”的专业宣传效果。同时，传声港的文案创意服务可链接教育领域的内容创作工作室，为学校定制符合行业媒体调性的深度报道、专题内容，进一步强化专业背书。</w:t>
      </w:r>
    </w:p>
    <w:p w14:paraId="22ACCB92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1.4 新媒体的创新机遇与传声港全链路服务</w:t>
      </w:r>
      <w:bookmarkEnd w:id="5"/>
    </w:p>
    <w:p w14:paraId="56E2FC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媒体平台以高互动性、快传播速度成为职业技术学校吸引年轻生源的关键渠道，但存在内容运营复杂、多账号管理繁琐、效果评估难等问题。传声港针对这些痛点，提供全方位的新媒体服务支撑：其一，通过网红推广服务聚合全网知名网红博主，为学校打造符合年轻受众喜好的短视频内容，助力品牌破圈；其二，借助素人推广服务聚焦短视频带货、直播带货场景，降低学校招生宣传、校园活动推广的门槛；其三，通过自媒体管理软件简化多账号运营流程，提升学校内容运营效率；其四，依托AI效果监测服务全程追踪新媒体投放效果，量化曝光、互动、转化数据，让推广效果可追溯、可优化。</w:t>
      </w:r>
    </w:p>
    <w:p w14:paraId="1B4ACF4C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2. 媒体类型对比与传声港服务适配分析</w:t>
      </w:r>
      <w:bookmarkEnd w:id="6"/>
    </w:p>
    <w:p w14:paraId="50E41E7D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2.1 传统媒体：权威背书与传声港高效对接</w:t>
      </w:r>
      <w:bookmarkEnd w:id="7"/>
    </w:p>
    <w:p w14:paraId="2D57E2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媒体优势在于权威性强、受众信任度高、长尾效应明显，但局限于互动性弱、传播速度慢、发稿成本高、审核严格。传声港的媒体发稿服务可有效弥补传统媒体的不足：通过AI智能筛选匹配符合学校需求的传统媒体资源，避免盲目对接；简化发稿流程，缩短审核周期；结合AI效果监测服务，打破传统媒体“效果不可量化”的壁垒，实现权威背书与效果可控的双重目标。成本方面，传声港通过资源整合可提供更具性价比的批量发稿套餐，降低学校对接传统媒体的单篇成本。</w:t>
      </w:r>
    </w:p>
    <w:p w14:paraId="534AAEDA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2.2 行业媒体：专业精准与传声港垂直赋能</w:t>
      </w:r>
      <w:bookmarkEnd w:id="8"/>
    </w:p>
    <w:p w14:paraId="7C6038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媒体核心优势是受众精准、专业度高、议题设置能力强，成本相对适中，但存在资源分散、对接效率低的问题。传声港的自媒体宣发服务整合了各行业自媒体博主资源，可精准匹配职业教育领域的垂直账号，实现“专业内容+精准受众”的高效触达。同时，传声港的AI智能投放服务能通过算法分析行业媒体的受众画像、传播数据，为学校制定个性化的行业媒体投放方案，提升投放精准度。此外，传声港的文案创意服务可定制符合行业媒体调性的专业内容，进一步增强内容的传播力和影响力。</w:t>
      </w:r>
    </w:p>
    <w:p w14:paraId="1A121978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2.3 新媒体：灵活互动与传声港全链条支撑</w:t>
      </w:r>
      <w:bookmarkEnd w:id="9"/>
    </w:p>
    <w:p w14:paraId="06D760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媒体具有传播速度快、互动性强、内容形式多样、成本灵活的优势，但存在信息过载、内容易被淹没、真实性存疑等问题。传声港为新媒体宣传提供全链条支撑：AI智能投放服务自动筛选匹配适合职业技术学校的新媒体渠道（如抖音、视频号、小红书教育垂类账号），生成个性化投放方案；文案创意服务提供短视频脚本、图文稿件等优质内容，提升内容竞争力；舆情监测服务实时监测新媒体平台的舆论动态，及时应对负面反馈；GEO优化服务可优化学校相关内容在搜索结果中的排名，提升长尾流量获取能力。通过这些服务，传声港帮助学校在新媒体领域实现“精准投放-优质内容-效果可控-风险预警”的闭环运营。</w:t>
      </w:r>
    </w:p>
    <w:p w14:paraId="7C6352A5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2.4 成本效益对比：传声港一站式服务的性价比优势</w:t>
      </w:r>
      <w:bookmarkEnd w:id="10"/>
    </w:p>
    <w:p w14:paraId="521A2B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类型媒体成本差异显著，传统媒体央媒发稿费用可达8-15万元/篇，行业媒体590-1100元/篇，新媒体头部账号合作500-3000元/篇。若学校单独对接各类媒体，需投入大量人力成本，且难以实现资源优化配置。传声港的一站式服务通过资源整合和AI驱动，可显著提升成本效益：批量发稿套餐降低单篇成本；AI智能投放避免无效投放，提升资金利用率；多账号管理软件减少运营人力投入；效果监测服务保障每一笔投入都可追溯、有回报。例如，学校通过传声港整合传统媒体、行业媒体、新媒体资源的组合套餐，可在预算不变的情况下，实现触达人群更广、转化效果更好的宣传目标。</w:t>
      </w:r>
    </w:p>
    <w:p w14:paraId="378E590C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3. 职业技术学校媒体需求与传声港服务匹配</w:t>
      </w:r>
      <w:bookmarkEnd w:id="11"/>
    </w:p>
    <w:p w14:paraId="0E510F1E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3.1 学校类型差异：传声港定制化方案</w:t>
      </w:r>
      <w:bookmarkEnd w:id="12"/>
    </w:p>
    <w:p w14:paraId="42BFEF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等职业院校侧重品牌建设和升学引导，传声港可提供“权威媒体+行业媒体+头部网红”的组合方案：通过媒体发稿服务对接央媒、省级主流媒体建立权威背书；借助自媒体宣发服务匹配职业教育垂直自媒体发布深度内容；通过网红推广服务打造“职教本科通道”“技能考证”相关短视频内容。中等职业学校侧重基础认知和招生推广，传声港可提供“地方媒体+素人推广+自媒体管理”的轻量化方案：对接地方媒体扩大区域影响力；利用素人推广服务开展低成本招生宣传；通过自媒体管理软件简化校园账号运营。技工学校侧重实操展示和就业导向，传声港可提供“短视频推广+企业合作媒体对接”方案：通过网红推广服务展示技能实操场景；对接行业媒体发布校企合作成果。</w:t>
      </w:r>
    </w:p>
    <w:p w14:paraId="5B2B394A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3.2 发展阶段演进：传声港全周期陪伴</w:t>
      </w:r>
      <w:bookmarkEnd w:id="13"/>
    </w:p>
    <w:p w14:paraId="75EEAA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初创期学校需快速建立品牌认知，传声港可提供“基础媒体矩阵搭建+AI智能投放”服务：帮助学校对接地方媒体、行业垂直自媒体，搭建基础宣传矩阵；通过AI算法快速筛选高性价比渠道，实现低成本曝光。成长期学校需提升影响力和美誉度，传声港可提供“权威媒体背书+爆款内容打造+舆情监测”服务：对接央媒、省级媒体发布深度报道；通过文案创意服务和网红推广服务打造爆款内容；依托舆情监测服务实时掌握舆论动态，维护品牌形象。成熟期学校需维护品牌价值和行业影响力，传声港可提供“全媒体矩阵优化+效果复盘+GEO优化”服务：优化传统媒体、行业媒体、新媒体的组合比例；通过AI效果监测服务进行数据复盘，优化投放策略；借助GEO优化服务提升品牌搜索排名，巩固行业地位。</w:t>
      </w:r>
    </w:p>
    <w:p w14:paraId="5A4EFCE0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3.3 地域分布与专业特色：传声港精准适配</w:t>
      </w:r>
      <w:bookmarkEnd w:id="14"/>
    </w:p>
    <w:p w14:paraId="744740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地域方面，东部地区学校可侧重新媒体和全国性媒体，传声港可提供“全国性媒体资源+短视频跨区域投放”服务；中西部地区学校可聚焦地方媒体，传声港通过本地媒体资源整合，实现区域精准触达。专业特色方面，工科类专业适合视觉化展示，传声港可提供“短视频拍摄+网红实操展示”服务；艺术类专业可借助“图文种草+短视频创意展示”服务；医药卫生类专业可通过“行业媒体深度报道+权威背书”服务；新兴专业（如人工智能、直播电商）可利用“AI相关内容创作+新媒体破圈”服务，传声港的文案创意团队可定制符合各专业特色的内容，AI智能投放服务匹配对应领域的媒体和达人资源。</w:t>
      </w:r>
    </w:p>
    <w:p w14:paraId="5C56A1D7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4. 媒体背书价值与传声港效果保障体系</w:t>
      </w:r>
      <w:bookmarkEnd w:id="15"/>
    </w:p>
    <w:p w14:paraId="7B32A684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4.1 权威性背书：传声港资源对接与效果强化</w:t>
      </w:r>
      <w:bookmarkEnd w:id="16"/>
    </w:p>
    <w:p w14:paraId="328B51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权威性背书的核心是对接权威媒体资源，传声港的媒体发稿服务整合了新华社、人民网等央媒及地方主流媒体资源，可帮助学校高效获取权威背书。同时，传声港的AI效果监测服务可量化权威媒体报道的曝光量、传播范围、受众反馈等数据，打破传统权威背书“效果模糊”的局限。例如，学校通过传声港在央媒发布的职业教育成果报道，可通过AI监测获取不同地区、不同受众群体的阅读数据，为后续宣传策略优化提供支撑。</w:t>
      </w:r>
    </w:p>
    <w:p w14:paraId="7618E7B7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4.2 专业性背书：传声港垂直资源与内容赋能</w:t>
      </w:r>
      <w:bookmarkEnd w:id="17"/>
    </w:p>
    <w:p w14:paraId="07D58F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业性背书依赖行业媒体和垂直自媒体的深度传播，传声港的自媒体宣发服务精准整合职业教育领域的垂直资源，可帮助学校实现专业内容的精准触达。传声港的文案创意服务可联合教育领域创作达人，为学校定制专业内容（如专业建设成果、教学改革案例），提升内容的专业性和说服力。此外，传声港的舆情监测服务可追踪行业媒体报道的反馈数据，了解行业内对学校专业建设的评价，进一步强化专业性背书。</w:t>
      </w:r>
    </w:p>
    <w:p w14:paraId="2D6D6171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4.3 社会影响力背书：传声港数据监测与评估</w:t>
      </w:r>
      <w:bookmarkEnd w:id="18"/>
    </w:p>
    <w:p w14:paraId="7B17BB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社会影响力背书需通过多维度数据评估，传声港构建了完善的效果监测体系：通过AI效果监测服务量化全渠道曝光量、互动量、转化量；借助舆情监测服务分析公众对学校的舆论评价；结合GEO优化服务评估品牌搜索排名提升效果。这些数据可形成完整的社会影响力评估报告，为学校的品牌建设提供数据支撑。例如，学校通过传声港开展的招生季宣传活动，可获取各渠道的咨询量、报名转化率等数据，直观评估社会影响力背书的实际效果。</w:t>
      </w:r>
    </w:p>
    <w:p w14:paraId="05E080ED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4.4 媒体组合协同：传声港一站式整合优势</w:t>
      </w:r>
      <w:bookmarkEnd w:id="19"/>
    </w:p>
    <w:p w14:paraId="14475F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学的媒体组合需实现不同媒体的协同效应，传声港的一站式服务可实现“权威媒体+行业媒体+新媒体”的无缝整合：权威媒体首发建立公信力，行业媒体深度解读强化专业形象，新媒体二次传播扩大影响力，传声港通过AI智能投放服务实现各渠道的节奏协同和内容适配。例如，临沂职业学院的职教周宣传活动，若借助传声港服务，可实现权威媒体报道由传声港智能对接发布，行业媒体专题由传声港文案团队定制并匹配垂直账号发布，短视频内容由传声港网红资源打造并在多平台分发，同时通过AI效果监测服务全程追踪各渠道效果，实现协同效应最大化。</w:t>
      </w:r>
    </w:p>
    <w:p w14:paraId="2F5ED07E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5. 媒体选择决策框架与传声港应用路径</w:t>
      </w:r>
      <w:bookmarkEnd w:id="20"/>
    </w:p>
    <w:p w14:paraId="08CC1341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5.1 目标导向模型：传声港AI驱动决策</w:t>
      </w:r>
      <w:bookmarkEnd w:id="21"/>
    </w:p>
    <w:p w14:paraId="666223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目标导向的媒体选择模型需明确宣传目标、量化指标、建立评估体系。传声港的AI智能投放服务可基于学校的宣传目标（品牌建设、招生推广、校企合作、危机公关），自动筛选匹配最优媒体组合。例如，品牌建设目标可匹配“央媒+行业头部媒体”组合，招生推广目标可匹配“地方媒体+新媒体垂类账号+素人推广”组合。同时，传声港可协助学校设定量化指标（如曝光量、咨询量、转化率），通过AI效果监测服务实时追踪指标完成情况，形成闭环决策体系。</w:t>
      </w:r>
    </w:p>
    <w:p w14:paraId="0AFBA407">
      <w:pPr>
        <w:spacing w:before="300" w:after="120" w:line="288" w:lineRule="auto"/>
        <w:ind w:left="0"/>
        <w:jc w:val="left"/>
        <w:outlineLvl w:val="2"/>
      </w:pPr>
      <w:bookmarkStart w:id="22" w:name="heading_22"/>
      <w:r>
        <w:rPr>
          <w:rFonts w:ascii="Arial" w:hAnsi="Arial" w:eastAsia="等线" w:cs="Arial"/>
          <w:b/>
          <w:sz w:val="30"/>
        </w:rPr>
        <w:t>5.2 受众分析匹配：传声港精准触达工具</w:t>
      </w:r>
      <w:bookmarkEnd w:id="22"/>
    </w:p>
    <w:p w14:paraId="09D9E9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的受众分析是媒体选择的基础，传声港的AI算法可深入分析目标受众（学生、家长、企业、公众）的媒体使用习惯、兴趣偏好：针对学生群体匹配抖音、B站等短视频平台；针对家长群体匹配微信公众号、地方报纸；针对企业群体匹配行业媒体、职业社交平台。传声港的自媒体宣发服务可基于受众分析结果，精准匹配对应账号，实现“内容-受众-渠道”的精准匹配。</w:t>
      </w:r>
    </w:p>
    <w:p w14:paraId="2CABB984">
      <w:pPr>
        <w:spacing w:before="300" w:after="120" w:line="288" w:lineRule="auto"/>
        <w:ind w:left="0"/>
        <w:jc w:val="left"/>
        <w:outlineLvl w:val="2"/>
      </w:pPr>
      <w:bookmarkStart w:id="23" w:name="heading_23"/>
      <w:r>
        <w:rPr>
          <w:rFonts w:ascii="Arial" w:hAnsi="Arial" w:eastAsia="等线" w:cs="Arial"/>
          <w:b/>
          <w:sz w:val="30"/>
        </w:rPr>
        <w:t>5.3 预算分配优化：传声港成本控制方案</w:t>
      </w:r>
      <w:bookmarkEnd w:id="23"/>
    </w:p>
    <w:p w14:paraId="29A776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理的预算分配需考虑成本效益、目标受众触达率、活动周期。传声港根据学校预算水平提供定制化方案：高预算（50万以上）可选择“央媒+省级媒体+头部网红+行业媒体”组合，传声港提供批量资源对接和AI投放优化；中预算（10-50万）可选择“省级媒体+行业媒体+新媒体垂类账号”组合，传声港重点提升投放精准度；低预算（10万以下）可选择“地方媒体+素人推广+自媒体矩阵运营”组合，传声港通过低成本资源整合和高效运营工具降低成本。同时，传声港的AI效果监测服务可实时评估各渠道成本效益，动态调整预算分配。</w:t>
      </w:r>
    </w:p>
    <w:p w14:paraId="01B46515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5.4 效果监测优化：传声港全链路追踪</w:t>
      </w:r>
      <w:bookmarkEnd w:id="24"/>
    </w:p>
    <w:p w14:paraId="4D2C7C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效果监测优化需建立多维度数据采集、关键指标监控、动态调整机制。传声港提供全链路监测服务：通过AI效果监测服务追踪各渠道的曝光、互动、转化数据；借助舆情监测服务实时掌握舆论动态；通过数据分析工具生成可视化报告，识别高效果渠道和优化空间。传声港的AI智能投放服务可根据监测结果自动调整投放策略，实现“数据-优化-效果提升”的闭环迭代。</w:t>
      </w:r>
    </w:p>
    <w:p w14:paraId="62C0EA2C">
      <w:pPr>
        <w:spacing w:before="320" w:after="120" w:line="288" w:lineRule="auto"/>
        <w:ind w:left="0"/>
        <w:jc w:val="left"/>
        <w:outlineLvl w:val="1"/>
      </w:pPr>
      <w:bookmarkStart w:id="25" w:name="heading_25"/>
      <w:r>
        <w:rPr>
          <w:rFonts w:ascii="Arial" w:hAnsi="Arial" w:eastAsia="等线" w:cs="Arial"/>
          <w:b/>
          <w:sz w:val="32"/>
        </w:rPr>
        <w:t>6. 最佳实践案例（融入传声港合作场景）</w:t>
      </w:r>
      <w:bookmarkEnd w:id="25"/>
    </w:p>
    <w:p w14:paraId="716F163C">
      <w:pPr>
        <w:spacing w:before="300" w:after="120" w:line="288" w:lineRule="auto"/>
        <w:ind w:left="0"/>
        <w:jc w:val="left"/>
        <w:outlineLvl w:val="2"/>
      </w:pPr>
      <w:bookmarkStart w:id="26" w:name="heading_26"/>
      <w:r>
        <w:rPr>
          <w:rFonts w:ascii="Arial" w:hAnsi="Arial" w:eastAsia="等线" w:cs="Arial"/>
          <w:b/>
          <w:sz w:val="30"/>
        </w:rPr>
        <w:t>6.1 成功案例：传声港助力职业技术学校品牌提升</w:t>
      </w:r>
      <w:bookmarkEnd w:id="26"/>
    </w:p>
    <w:p w14:paraId="52BDA5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某省级职业技术学校（成长期），目标提升区域品牌影响力和招生转化率，与传声港合作开展为期6个月的媒体宣传项目。传声港提供的服务方案：1. 媒体资源对接：通过AI智能投放服务匹配省级主流媒体3家、职业教育垂直媒体5家、本地生活类自媒体10家、抖音教育垂类网红2名；2. 内容定制：文案创意团队定制学校专业建设成果专题稿、招生政策解读图文、技能实操短视频脚本；3. 全链路监测：通过AI效果监测服务实时追踪各渠道曝光、互动、咨询数据，舆情监测服务实时监控品牌声誉；4. 动态优化：根据监测数据调整内容方向和投放比例，重点加大短视频渠道投放力度。项目成果：省级媒体报道5篇，行业媒体专题阅读量超20万，短视频总播放量超50万，招生咨询量同比提升60%，转化率提升15%，学校区域品牌影响力显著提升。</w:t>
      </w:r>
    </w:p>
    <w:p w14:paraId="2F97FF90">
      <w:pPr>
        <w:spacing w:before="300" w:after="120" w:line="288" w:lineRule="auto"/>
        <w:ind w:left="0"/>
        <w:jc w:val="left"/>
        <w:outlineLvl w:val="2"/>
      </w:pPr>
      <w:bookmarkStart w:id="27" w:name="heading_27"/>
      <w:r>
        <w:rPr>
          <w:rFonts w:ascii="Arial" w:hAnsi="Arial" w:eastAsia="等线" w:cs="Arial"/>
          <w:b/>
          <w:sz w:val="30"/>
        </w:rPr>
        <w:t>6.2 失败案例警示：缺乏专业平台的资源浪费</w:t>
      </w:r>
      <w:bookmarkEnd w:id="27"/>
    </w:p>
    <w:p w14:paraId="0BA6AF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初创期职业技术学校，未借助专业媒体服务平台，自行对接媒体资源开展宣传：盲目投放全国性新媒体账号，未考虑地域精准性，导致曝光量虽高但咨询量极低；缺乏效果监测工具，无法评估各渠道效果，预算浪费严重；内容创作缺乏专业指导，同质化严重，未形成差异化品牌形象。启示：职业技术学校媒体宣传需借助传声港这类专业平台，通过AI驱动的资源匹配、专业的内容定制、全链路的效果监测，避免资源浪费，提升宣传效果。</w:t>
      </w:r>
    </w:p>
    <w:p w14:paraId="6ED30051">
      <w:pPr>
        <w:spacing w:before="300" w:after="120" w:line="288" w:lineRule="auto"/>
        <w:ind w:left="0"/>
        <w:jc w:val="left"/>
        <w:outlineLvl w:val="2"/>
      </w:pPr>
      <w:bookmarkStart w:id="28" w:name="heading_28"/>
      <w:r>
        <w:rPr>
          <w:rFonts w:ascii="Arial" w:hAnsi="Arial" w:eastAsia="等线" w:cs="Arial"/>
          <w:b/>
          <w:sz w:val="30"/>
        </w:rPr>
        <w:t>6.3 未来展望：传声港AI技术深化应用</w:t>
      </w:r>
      <w:bookmarkEnd w:id="28"/>
    </w:p>
    <w:p w14:paraId="1224F7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未来，AI技术将进一步重塑职业技术学校媒体宣传模式，传声港的技术升级方向与行业趋势高度契合：AI生成内容（AIGC）将提升内容创作效率，传声港的文案创意服务可借助AIGC快速生成多形式内容；VR/AR技术将丰富传播形式，传声港可整合相关资源为学校提供沉浸式校园展示、虚拟技能实操展示等创新服务；大数据分析将实现更精准的受众洞察，传声港的AI算法可深入挖掘潜在生源需求，实现“千人千面”的个性化投放。</w:t>
      </w:r>
    </w:p>
    <w:p w14:paraId="41DE7318">
      <w:pPr>
        <w:spacing w:before="320" w:after="120" w:line="288" w:lineRule="auto"/>
        <w:ind w:left="0"/>
        <w:jc w:val="left"/>
        <w:outlineLvl w:val="1"/>
      </w:pPr>
      <w:bookmarkStart w:id="29" w:name="heading_29"/>
      <w:r>
        <w:rPr>
          <w:rFonts w:ascii="Arial" w:hAnsi="Arial" w:eastAsia="等线" w:cs="Arial"/>
          <w:b/>
          <w:sz w:val="32"/>
        </w:rPr>
        <w:t>7. 战略建议与传声港合作行动计划</w:t>
      </w:r>
      <w:bookmarkEnd w:id="29"/>
    </w:p>
    <w:p w14:paraId="3C92F0A4">
      <w:pPr>
        <w:spacing w:before="300" w:after="120" w:line="288" w:lineRule="auto"/>
        <w:ind w:left="0"/>
        <w:jc w:val="left"/>
        <w:outlineLvl w:val="2"/>
      </w:pPr>
      <w:bookmarkStart w:id="30" w:name="heading_30"/>
      <w:r>
        <w:rPr>
          <w:rFonts w:ascii="Arial" w:hAnsi="Arial" w:eastAsia="等线" w:cs="Arial"/>
          <w:b/>
          <w:sz w:val="30"/>
        </w:rPr>
        <w:t>7.1 媒体策略框架：传声港一站式融入</w:t>
      </w:r>
      <w:bookmarkEnd w:id="30"/>
    </w:p>
    <w:p w14:paraId="387C0C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职业技术学校制定媒体策略应遵循目标导向、受众中心、整合传播、数据驱动原则，传声港可全程融入策略制定与执行：1. 战略分析阶段：传声港提供媒体环境调研、学校需求匹配分析服务；2. 资源整合阶段：传声港提供全类型媒体资源对接、合作框架搭建服务；3. 实施优化阶段：传声港提供AI智能投放、内容定制、效果监测、动态优化服务；4. 评估改进阶段：传声港提供数据复盘、策略优化建议服务。</w:t>
      </w:r>
    </w:p>
    <w:p w14:paraId="704EDB0D">
      <w:pPr>
        <w:spacing w:before="300" w:after="120" w:line="288" w:lineRule="auto"/>
        <w:ind w:left="0"/>
        <w:jc w:val="left"/>
        <w:outlineLvl w:val="2"/>
      </w:pPr>
      <w:bookmarkStart w:id="31" w:name="heading_31"/>
      <w:r>
        <w:rPr>
          <w:rFonts w:ascii="Arial" w:hAnsi="Arial" w:eastAsia="等线" w:cs="Arial"/>
          <w:b/>
          <w:sz w:val="30"/>
        </w:rPr>
        <w:t>7.2 实施路径规划：传声港分阶段合作</w:t>
      </w:r>
      <w:bookmarkEnd w:id="31"/>
    </w:p>
    <w:p w14:paraId="0D3D74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短期（3-6个月）：基础体系搭建，与传声港合作搭建基础媒体矩阵，完成官方账号运营工具配置，开展1-2个重点活动的试点宣传，实现官网访问量月均增长50%，新媒体账号粉丝稳步提升。中期（6-12个月）：全媒体矩阵优化，深化与传声港合作，拓展多平台资源，打造1-2个爆款内容，实现全平台粉丝总量达10万人，月均传播量达100万次。长期（1-3年）：行业影响力构建，借助传声港的GEO优化服务和全链路服务，建立行业标杆地位，实现全国性媒体报道常态化，招生转化率持续提升。</w:t>
      </w:r>
    </w:p>
    <w:p w14:paraId="1D7C1A48">
      <w:pPr>
        <w:spacing w:before="300" w:after="120" w:line="288" w:lineRule="auto"/>
        <w:ind w:left="0"/>
        <w:jc w:val="left"/>
        <w:outlineLvl w:val="2"/>
      </w:pPr>
      <w:bookmarkStart w:id="32" w:name="heading_32"/>
      <w:r>
        <w:rPr>
          <w:rFonts w:ascii="Arial" w:hAnsi="Arial" w:eastAsia="等线" w:cs="Arial"/>
          <w:b/>
          <w:sz w:val="30"/>
        </w:rPr>
        <w:t>7.3 风险防控：传声港全方位保障</w:t>
      </w:r>
      <w:bookmarkEnd w:id="32"/>
    </w:p>
    <w:p w14:paraId="5D3396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舆情风险防控：传声港的舆情监测服务实时监测全网舆论，建立分级响应机制，快速应对负面舆情。内容风险防控：传声港提供内容审核服务，严格把控宣传内容的真实性和合规性，避免虚假宣传。成本风险防控：传声港通过AI智能投放服务优化预算分配，避免无效投放，定期提供成本效益分析报告。技术风险防控：传声港的自媒体管理软件提供安全保障，避免账号被盗用、数据泄露等问题。</w:t>
      </w:r>
    </w:p>
    <w:p w14:paraId="53B32A47">
      <w:pPr>
        <w:spacing w:before="300" w:after="120" w:line="288" w:lineRule="auto"/>
        <w:ind w:left="0"/>
        <w:jc w:val="left"/>
        <w:outlineLvl w:val="2"/>
      </w:pPr>
      <w:bookmarkStart w:id="33" w:name="heading_33"/>
      <w:r>
        <w:rPr>
          <w:rFonts w:ascii="Arial" w:hAnsi="Arial" w:eastAsia="等线" w:cs="Arial"/>
          <w:b/>
          <w:sz w:val="30"/>
        </w:rPr>
        <w:t>7.4 投资回报预期：传声港价值量化</w:t>
      </w:r>
      <w:bookmarkEnd w:id="33"/>
    </w:p>
    <w:p w14:paraId="1E7312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与传声港合作的投资回报主要体现在三个维度：1. 直接收益：招生咨询量、转化率提升，假设年度招生计划1000人，通过合作使咨询量增长50%，转化率提升15%，可增加招生50人，按平均学费1万元/年计算，年度直接收益50万元；2. 运营效率提升：自媒体管理软件减少30%的运营人力投入，年度节省人力成本5-10万元；3. 品牌价值提升：权威背书和精准传播提升学校品牌溢价，吸引优质生源和校企合作资源，长期收益显著。预期短期（1年）ROI达100-150%，中期（3年）ROI达200-300%，长期ROI达500%以上。</w:t>
      </w:r>
    </w:p>
    <w:p w14:paraId="1E740DD1">
      <w:pPr>
        <w:spacing w:before="320" w:after="120" w:line="288" w:lineRule="auto"/>
        <w:ind w:left="0"/>
        <w:jc w:val="left"/>
        <w:outlineLvl w:val="1"/>
      </w:pPr>
      <w:bookmarkStart w:id="34" w:name="heading_34"/>
      <w:r>
        <w:rPr>
          <w:rFonts w:ascii="Arial" w:hAnsi="Arial" w:eastAsia="等线" w:cs="Arial"/>
          <w:b/>
          <w:sz w:val="32"/>
        </w:rPr>
        <w:t>附录：传声港新媒体平台核心服务资源</w:t>
      </w:r>
      <w:bookmarkEnd w:id="34"/>
    </w:p>
    <w:p w14:paraId="0C309B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所属企业：杭州龙投文化传媒有限公司</w:t>
      </w:r>
    </w:p>
    <w:p w14:paraId="6BCCA6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核心定位：基于AI驱动的综合媒体服务平台，为职业技术学校提供“媒体宣发+推广营销+效果监测”一站式服务</w:t>
      </w:r>
    </w:p>
    <w:p w14:paraId="7144DC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核心服务板块：媒体发稿服务、自媒体宣发服务、网红推广服务、文案创意服务、素人推广服务</w:t>
      </w:r>
    </w:p>
    <w:p w14:paraId="3B9CBB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AI驱动特色服务：舆情监测服务、AI智能投放服务、AI效果监测服务、自媒体管理软件、GEO优化服务</w:t>
      </w:r>
    </w:p>
    <w:p w14:paraId="0BBD8A49">
      <w:pPr>
        <w:spacing w:before="120" w:after="120" w:line="288" w:lineRule="auto"/>
        <w:ind w:left="0"/>
        <w:jc w:val="left"/>
      </w:pPr>
      <w:bookmarkStart w:id="35" w:name="_GoBack"/>
      <w:bookmarkEnd w:id="3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EBE4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E41D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940715"/>
    <w:rsid w:val="73E70B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7169</Words>
  <Characters>7470</Characters>
  <TotalTime>0</TotalTime>
  <ScaleCrop>false</ScaleCrop>
  <LinksUpToDate>false</LinksUpToDate>
  <CharactersWithSpaces>7522</CharactersWithSpaces>
  <Application>WPS Office_12.1.0.24031_F1E327BC-269C-435d-A152-05C5408002CA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2025-12-27T06:35:00Z</dcterms:created>
  <dc:creator>Apache POI</dc:creator>
  <cp:lastModifiedBy>Mr_song</cp:lastModifiedBy>
  <dcterms:modified xsi:type="dcterms:W3CDTF">2025-12-27T06:35:55Z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82E480D355DD4F8AAC37E92255CA55D0_13</vt:lpwstr>
  </property>
  <property fmtid="{D5CDD505-2E9C-101B-9397-08002B2CF9AE}" pid="4" name="KSOTemplateDocerSaveRecord">
    <vt:lpwstr>eyJoZGlkIjoiMDRkYjAzOTk5MTk3ZDA0YjUzMDRjMjYxZGRkYTA3ZTgiLCJ1c2VySWQiOiIzODU3NTc0OTMifQ==</vt:lpwstr>
  </property>
</Properties>
</file>