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10.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Override PartName="/word/theme/themeOverride7.xml" ContentType="application/vnd.openxmlformats-officedocument.themeOverride+xml"/>
  <Override PartName="/word/theme/themeOverride8.xml" ContentType="application/vnd.openxmlformats-officedocument.themeOverride+xml"/>
  <Override PartName="/word/theme/themeOverride9.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14" w:name="_GoBack"/>
      <w:bookmarkEnd w:id="14"/>
      <w:bookmarkStart w:id="0" w:name="_Hlk23501351"/>
      <w:bookmarkStart w:id="1" w:name="_Toc418070112"/>
      <w:bookmarkStart w:id="2" w:name="_Toc415818939"/>
      <w:bookmarkStart w:id="3" w:name="_Toc415143481"/>
      <w:bookmarkStart w:id="4" w:name="_Toc415142861"/>
      <w:bookmarkStart w:id="5" w:name="OLE_LINK40"/>
      <w:bookmarkStart w:id="6" w:name="_Toc453597319"/>
      <w:bookmarkStart w:id="7" w:name="OLE_LINK15"/>
      <w:bookmarkStart w:id="8" w:name="_Toc481801204"/>
      <w:bookmarkStart w:id="9" w:name="_Toc517262917"/>
      <w:bookmarkStart w:id="10" w:name="OLE_LINK13"/>
      <w:bookmarkStart w:id="11" w:name="_Toc438987549"/>
      <w:bookmarkStart w:id="12" w:name="OLE_LINK39"/>
      <w:bookmarkStart w:id="13" w:name="OLE_LINK24"/>
      <w:r>
        <w:rPr>
          <w:rFonts w:cs="Calibri"/>
        </w:rPr>
        <mc:AlternateContent>
          <mc:Choice Requires="wps">
            <w:drawing>
              <wp:anchor distT="0" distB="0" distL="114300" distR="114300" simplePos="0" relativeHeight="251659264"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ascii="Century Gothic" w:hAnsi="Century Gothic" w:cs="Arial"/>
                                <w:b/>
                                <w:color w:val="002060"/>
                                <w:spacing w:val="-30"/>
                                <w:kern w:val="0"/>
                                <w:sz w:val="56"/>
                                <w:szCs w:val="56"/>
                              </w:rPr>
                              <w:t>汽车摇窗电机</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59264;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ascii="Century Gothic" w:hAnsi="Century Gothic" w:cs="Arial"/>
                          <w:b/>
                          <w:color w:val="002060"/>
                          <w:spacing w:val="-30"/>
                          <w:kern w:val="0"/>
                          <w:sz w:val="56"/>
                          <w:szCs w:val="56"/>
                        </w:rPr>
                        <w:t>汽车摇窗电机</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0288;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1312" behindDoc="1" locked="0" layoutInCell="1" allowOverlap="1">
            <wp:simplePos x="0" y="0"/>
            <wp:positionH relativeFrom="column">
              <wp:posOffset>-718185</wp:posOffset>
            </wp:positionH>
            <wp:positionV relativeFrom="paragraph">
              <wp:posOffset>-929005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7"/>
                    <a:stretch>
                      <a:fillRect/>
                    </a:stretch>
                  </pic:blipFill>
                  <pic:spPr>
                    <a:xfrm>
                      <a:off x="0" y="0"/>
                      <a:ext cx="7560310" cy="1069022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lang w:eastAsia="zh-CN"/>
        </w:rPr>
        <w:t>汽车摇窗电机</w:t>
      </w:r>
      <w:r>
        <w:rPr>
          <w:rFonts w:hint="eastAsia"/>
          <w:lang w:eastAsia="zh-CN"/>
        </w:rPr>
        <w:t>全球市场总体规模</w:t>
      </w:r>
    </w:p>
    <w:p>
      <w:pPr>
        <w:pStyle w:val="145"/>
        <w:rPr>
          <w:lang w:eastAsia="zh-CN"/>
        </w:rPr>
      </w:pPr>
      <w:r>
        <w:rPr>
          <w:rFonts w:hint="eastAsia"/>
          <w:lang w:eastAsia="zh-CN"/>
        </w:rPr>
        <w:t>汽车摇窗电机是一种用于控制汽车窗户升降的电动装置。它通常由一个电动电机和相关的齿轮机构组成，可以将车窗升起或降低。</w:t>
      </w:r>
    </w:p>
    <w:p>
      <w:pPr>
        <w:pStyle w:val="148"/>
        <w:rPr>
          <w:lang w:eastAsia="zh-CN"/>
        </w:rPr>
      </w:pPr>
      <w:r>
        <w:rPr>
          <w:lang w:eastAsia="zh-CN"/>
        </w:rPr>
        <w:t>汽车摇窗电机产品图片</w:t>
      </w:r>
    </w:p>
    <w:p>
      <w:pPr>
        <w:pStyle w:val="145"/>
        <w:rPr>
          <w:lang w:eastAsia="zh-CN"/>
        </w:rPr>
      </w:pPr>
      <w:r>
        <w:drawing>
          <wp:inline distT="0" distB="0" distL="0" distR="0">
            <wp:extent cx="2762250" cy="1893570"/>
            <wp:effectExtent l="0" t="0" r="0" b="0"/>
            <wp:docPr id="1899718883" name="图片 1899718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718883" name="图片 189971888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763599" cy="1894775"/>
                    </a:xfrm>
                    <a:prstGeom prst="rect">
                      <a:avLst/>
                    </a:prstGeom>
                    <a:noFill/>
                    <a:ln>
                      <a:noFill/>
                    </a:ln>
                  </pic:spPr>
                </pic:pic>
              </a:graphicData>
            </a:graphic>
          </wp:inline>
        </w:drawing>
      </w:r>
    </w:p>
    <w:p>
      <w:pPr>
        <w:pStyle w:val="145"/>
        <w:rPr>
          <w:lang w:eastAsia="zh-CN"/>
        </w:rPr>
      </w:pPr>
      <w:r>
        <w:rPr>
          <w:rFonts w:hint="eastAsia"/>
          <w:lang w:eastAsia="zh-CN"/>
        </w:rPr>
        <w:t>根据调研团队最新报告“全球汽车摇窗电机市场报告2023-2029”显示，预计2029年全球汽车摇窗电机市场规模将达到28.3亿美元，未来几年年复合增长率CAGR为1.9%。</w:t>
      </w:r>
    </w:p>
    <w:p>
      <w:pPr>
        <w:pStyle w:val="148"/>
        <w:rPr>
          <w:lang w:eastAsia="zh-CN"/>
        </w:rPr>
      </w:pPr>
      <w:r>
        <w:rPr>
          <w:lang w:eastAsia="zh-CN"/>
        </w:rPr>
        <w:t>汽车摇窗电机</w:t>
      </w:r>
      <w:r>
        <w:rPr>
          <w:rFonts w:hint="eastAsia"/>
          <w:lang w:eastAsia="zh-CN"/>
        </w:rPr>
        <w:t>，全球市场总体规模，预计2</w:t>
      </w:r>
      <w:r>
        <w:rPr>
          <w:lang w:eastAsia="zh-CN"/>
        </w:rPr>
        <w:t>029</w:t>
      </w:r>
      <w:r>
        <w:rPr>
          <w:rFonts w:hint="eastAsia"/>
          <w:lang w:eastAsia="zh-CN"/>
        </w:rPr>
        <w:t>年达到</w:t>
      </w:r>
      <w:r>
        <w:rPr>
          <w:lang w:eastAsia="zh-CN"/>
        </w:rPr>
        <w:t>28</w:t>
      </w:r>
      <w:r>
        <w:rPr>
          <w:rFonts w:hint="eastAsia"/>
          <w:lang w:eastAsia="zh-CN"/>
        </w:rPr>
        <w:t>亿美元</w:t>
      </w:r>
    </w:p>
    <w:p>
      <w:pPr>
        <w:pStyle w:val="145"/>
        <w:rPr>
          <w:lang w:val="en-US" w:eastAsia="zh-CN"/>
        </w:rPr>
      </w:pPr>
      <w:r>
        <w:drawing>
          <wp:inline distT="0" distB="0" distL="0" distR="0">
            <wp:extent cx="6188710" cy="3724275"/>
            <wp:effectExtent l="0" t="0" r="2540" b="9525"/>
            <wp:docPr id="15358484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汽车摇窗电机</w:t>
      </w:r>
      <w:r>
        <w:rPr>
          <w:rFonts w:hint="eastAsia"/>
          <w:lang w:eastAsia="zh-CN"/>
        </w:rPr>
        <w:t>市场研究报告2023-2029</w:t>
      </w:r>
      <w:r>
        <w:rPr>
          <w:lang w:eastAsia="zh-CN"/>
        </w:rPr>
        <w:t>.</w:t>
      </w:r>
    </w:p>
    <w:p>
      <w:pPr>
        <w:pStyle w:val="145"/>
        <w:rPr>
          <w:lang w:eastAsia="zh-CN"/>
        </w:rPr>
      </w:pP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汽车产量增长： 全球汽车产量的增长通常会推动汽车零部件市场的增长，包括摇窗电机。</w:t>
      </w:r>
    </w:p>
    <w:p>
      <w:pPr>
        <w:pStyle w:val="145"/>
        <w:rPr>
          <w:lang w:eastAsia="zh-CN"/>
        </w:rPr>
      </w:pPr>
      <w:r>
        <w:rPr>
          <w:rFonts w:hint="eastAsia"/>
          <w:lang w:eastAsia="zh-CN"/>
        </w:rPr>
        <w:t>技术创新： 不断的技术创新，如电动车辆的普及和自动化驾驶系统的发展，可能促使汽车制造商采用新的窗户电机技术，以提高性能和效率。</w:t>
      </w:r>
    </w:p>
    <w:p>
      <w:pPr>
        <w:pStyle w:val="145"/>
        <w:rPr>
          <w:lang w:eastAsia="zh-CN"/>
        </w:rPr>
      </w:pPr>
      <w:r>
        <w:rPr>
          <w:rFonts w:hint="eastAsia"/>
          <w:lang w:eastAsia="zh-CN"/>
        </w:rPr>
        <w:t>消费者需求： 消费者对舒适性、便利性和车辆内部功能的需求可能会提高对更高性能窗户电机的需求。</w:t>
      </w:r>
    </w:p>
    <w:p>
      <w:pPr>
        <w:pStyle w:val="145"/>
        <w:rPr>
          <w:lang w:eastAsia="zh-CN"/>
        </w:rPr>
      </w:pPr>
      <w:r>
        <w:rPr>
          <w:rFonts w:hint="eastAsia"/>
          <w:lang w:eastAsia="zh-CN"/>
        </w:rPr>
        <w:t>法规和标准： 政府对汽车安全和排放的法规可能要求汽车制造商采用新技术，这可能包括更高效的窗户电机以提高车辆效能。</w:t>
      </w: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成本压力： 制造更先进的窗户电机可能会导致制造成本的增加，这可能会影响汽车制造商的利润。</w:t>
      </w:r>
    </w:p>
    <w:p>
      <w:pPr>
        <w:pStyle w:val="145"/>
        <w:rPr>
          <w:lang w:eastAsia="zh-CN"/>
        </w:rPr>
      </w:pPr>
      <w:r>
        <w:rPr>
          <w:rFonts w:hint="eastAsia"/>
          <w:lang w:eastAsia="zh-CN"/>
        </w:rPr>
        <w:t>竞争激烈： 汽车零部件市场竞争激烈，窗户电机制造商需要在质量、价格和创新方面与竞争对手竞争。</w:t>
      </w:r>
    </w:p>
    <w:p>
      <w:pPr>
        <w:pStyle w:val="145"/>
        <w:rPr>
          <w:lang w:eastAsia="zh-CN"/>
        </w:rPr>
      </w:pPr>
      <w:r>
        <w:rPr>
          <w:rFonts w:hint="eastAsia"/>
          <w:lang w:eastAsia="zh-CN"/>
        </w:rPr>
        <w:t>供应链问题： 全球供应链的问题，如原材料供应短缺或物流问题，可能会对窗户电机的生产和供应造成不稳定。</w:t>
      </w:r>
    </w:p>
    <w:p>
      <w:pPr>
        <w:pStyle w:val="145"/>
        <w:rPr>
          <w:lang w:eastAsia="zh-CN"/>
        </w:rPr>
      </w:pPr>
      <w:r>
        <w:rPr>
          <w:rFonts w:hint="eastAsia"/>
          <w:lang w:eastAsia="zh-CN"/>
        </w:rPr>
        <w:t>汽车市场波动： 全球汽车市场会受到宏观经济波动的影响，汽车销售的波动可能会影响窗户电机的需求。</w:t>
      </w: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电动和自动化驾驶汽车： 随着电动汽车和自动化驾驶技术的发展，窗户电机制造商有机会提供更智能的电机系统，以满足这些车辆的需求。</w:t>
      </w:r>
    </w:p>
    <w:p>
      <w:pPr>
        <w:pStyle w:val="145"/>
        <w:rPr>
          <w:lang w:eastAsia="zh-CN"/>
        </w:rPr>
      </w:pPr>
      <w:r>
        <w:rPr>
          <w:rFonts w:hint="eastAsia"/>
          <w:lang w:eastAsia="zh-CN"/>
        </w:rPr>
        <w:t>可持续性趋势： 消费者对可持续性和能效的关注可能会促使汽车制造商寻找更高效的窗户电机解决方案，以降低燃料消耗和排放。</w:t>
      </w:r>
    </w:p>
    <w:p>
      <w:pPr>
        <w:pStyle w:val="145"/>
        <w:rPr>
          <w:lang w:eastAsia="zh-CN"/>
        </w:rPr>
      </w:pPr>
      <w:r>
        <w:rPr>
          <w:rFonts w:hint="eastAsia"/>
          <w:lang w:eastAsia="zh-CN"/>
        </w:rPr>
        <w:t>智能互联功能： 与车辆内部系统集成的智能窗户电机可能为用户提供更多的互联功能，如与智能手机或车载娱乐系统的集成。</w:t>
      </w:r>
    </w:p>
    <w:p>
      <w:pPr>
        <w:pStyle w:val="145"/>
        <w:rPr>
          <w:lang w:eastAsia="zh-CN"/>
        </w:rPr>
      </w:pPr>
      <w:r>
        <w:rPr>
          <w:rFonts w:hint="eastAsia"/>
          <w:lang w:eastAsia="zh-CN"/>
        </w:rPr>
        <w:t>新兴市场： 新兴市场的汽车销售增长可能会创造对窗户电机的新需求，尤其是在那些经济增长迅猛的地区。</w:t>
      </w:r>
    </w:p>
    <w:p>
      <w:pPr>
        <w:pStyle w:val="148"/>
        <w:rPr>
          <w:lang w:eastAsia="zh-CN"/>
        </w:rPr>
      </w:pPr>
      <w:r>
        <w:rPr>
          <w:lang w:eastAsia="zh-CN"/>
        </w:rPr>
        <w:t>汽车摇窗电机</w:t>
      </w:r>
      <w:r>
        <w:rPr>
          <w:rFonts w:hint="eastAsia"/>
          <w:lang w:eastAsia="zh-CN"/>
        </w:rPr>
        <w:t>，全球市场主要厂商排名，其中2</w:t>
      </w:r>
      <w:r>
        <w:rPr>
          <w:lang w:eastAsia="zh-CN"/>
        </w:rPr>
        <w:t>022</w:t>
      </w:r>
      <w:r>
        <w:rPr>
          <w:rFonts w:hint="eastAsia"/>
          <w:lang w:eastAsia="zh-CN"/>
        </w:rPr>
        <w:t>年前五大厂商占有全球大约</w:t>
      </w:r>
      <w:r>
        <w:rPr>
          <w:lang w:eastAsia="zh-CN"/>
        </w:rPr>
        <w:t>73%</w:t>
      </w:r>
      <w:r>
        <w:rPr>
          <w:rFonts w:hint="eastAsia"/>
          <w:lang w:eastAsia="zh-CN"/>
        </w:rPr>
        <w:t>的市场份额</w:t>
      </w:r>
    </w:p>
    <w:p>
      <w:pPr>
        <w:pStyle w:val="145"/>
        <w:jc w:val="center"/>
      </w:pPr>
      <w:r>
        <w:drawing>
          <wp:inline distT="0" distB="0" distL="0" distR="0">
            <wp:extent cx="4705350" cy="4638675"/>
            <wp:effectExtent l="0" t="0" r="0" b="0"/>
            <wp:docPr id="54761979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汽车摇窗电机</w:t>
      </w:r>
      <w:r>
        <w:rPr>
          <w:rFonts w:hint="eastAsia"/>
          <w:lang w:eastAsia="zh-CN"/>
        </w:rPr>
        <w:t>市场研究报告2023-2029</w:t>
      </w:r>
      <w:r>
        <w:rPr>
          <w:lang w:eastAsia="zh-CN"/>
        </w:rPr>
        <w:t>.</w:t>
      </w:r>
    </w:p>
    <w:p>
      <w:pPr>
        <w:pStyle w:val="145"/>
        <w:rPr>
          <w:lang w:eastAsia="zh-CN"/>
        </w:rPr>
      </w:pPr>
      <w:r>
        <w:rPr>
          <w:rFonts w:hint="eastAsia"/>
          <w:lang w:eastAsia="zh-CN"/>
        </w:rPr>
        <w:t>全球范围内汽车摇窗电机生产商主要包括Bosch、Brose、MITSUBA、Mabuchi、Denso、德昌电机、实业交通、Inteva Products、宁波精成、DY Auto等。2022年，全球前五大厂商占有大约73.0%的市场份额。目前，全球核心厂商主要分布在中国、德国等。</w:t>
      </w: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48"/>
        <w:rPr>
          <w:rFonts w:hint="eastAsia"/>
          <w:lang w:eastAsia="zh-CN"/>
        </w:rPr>
      </w:pPr>
      <w:r>
        <w:rPr>
          <w:lang w:eastAsia="zh-CN"/>
        </w:rPr>
        <w:t>汽车摇窗电机</w:t>
      </w:r>
      <w:r>
        <w:rPr>
          <w:rFonts w:hint="eastAsia"/>
          <w:lang w:eastAsia="zh-CN"/>
        </w:rPr>
        <w:t>，全球市场规模，按产品类型细分，</w:t>
      </w:r>
      <w:r>
        <w:rPr>
          <w:lang w:eastAsia="zh-CN"/>
        </w:rPr>
        <w:t>12V</w:t>
      </w:r>
      <w:r>
        <w:rPr>
          <w:rFonts w:hint="eastAsia"/>
          <w:lang w:eastAsia="zh-CN"/>
        </w:rPr>
        <w:t>直流电机处于主导地位</w:t>
      </w:r>
    </w:p>
    <w:p>
      <w:pPr>
        <w:pStyle w:val="145"/>
        <w:rPr>
          <w:lang w:eastAsia="zh-CN"/>
        </w:rPr>
      </w:pPr>
      <w:r>
        <w:drawing>
          <wp:inline distT="0" distB="0" distL="0" distR="0">
            <wp:extent cx="2943225" cy="2628900"/>
            <wp:effectExtent l="0" t="0" r="0" b="0"/>
            <wp:docPr id="134533879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t xml:space="preserve"> </w:t>
      </w:r>
      <w:r>
        <w:drawing>
          <wp:inline distT="0" distB="0" distL="0" distR="0">
            <wp:extent cx="2867025" cy="2620645"/>
            <wp:effectExtent l="0" t="0" r="0" b="8255"/>
            <wp:docPr id="110907436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t xml:space="preserve"> </w:t>
      </w:r>
      <w:r>
        <w:drawing>
          <wp:inline distT="0" distB="0" distL="0" distR="0">
            <wp:extent cx="5981700" cy="3905250"/>
            <wp:effectExtent l="0" t="0" r="0" b="0"/>
            <wp:docPr id="65746034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143"/>
        <w:rPr>
          <w:lang w:eastAsia="zh-CN"/>
        </w:rPr>
      </w:pPr>
      <w:r>
        <w:rPr>
          <w:rFonts w:hint="eastAsia"/>
          <w:lang w:eastAsia="zh-CN"/>
        </w:rPr>
        <w:t>如上图表/数据，摘自QYResearch最新报告“全球</w:t>
      </w:r>
      <w:r>
        <w:rPr>
          <w:lang w:eastAsia="zh-CN"/>
        </w:rPr>
        <w:t>汽车摇窗电机</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就产品类型而言，目前12V直流电机是最主要的细分产品，占据大约88.9%的份额。12 伏直流汽车车窗电机提供功率密度和小尺寸。由于这些优点，12伏直流车窗电机在小型车中备受青睐。</w:t>
      </w:r>
    </w:p>
    <w:p>
      <w:pPr>
        <w:pStyle w:val="145"/>
        <w:rPr>
          <w:lang w:eastAsia="zh-CN"/>
        </w:rPr>
      </w:pPr>
    </w:p>
    <w:p>
      <w:pPr>
        <w:pStyle w:val="145"/>
        <w:rPr>
          <w:lang w:eastAsia="zh-CN"/>
        </w:rPr>
      </w:pPr>
      <w:r>
        <w:rPr>
          <w:lang w:eastAsia="zh-CN"/>
        </w:rPr>
        <w:br w:type="page"/>
      </w:r>
    </w:p>
    <w:p>
      <w:pPr>
        <w:pStyle w:val="148"/>
        <w:rPr>
          <w:lang w:eastAsia="zh-CN"/>
        </w:rPr>
      </w:pPr>
      <w:r>
        <w:rPr>
          <w:lang w:eastAsia="zh-CN"/>
        </w:rPr>
        <w:t>汽车摇窗电机</w:t>
      </w:r>
      <w:r>
        <w:rPr>
          <w:rFonts w:hint="eastAsia"/>
          <w:lang w:eastAsia="zh-CN"/>
        </w:rPr>
        <w:t>，全球市场规模，按应用细分，乘用车是最大的下游市场，占有</w:t>
      </w:r>
      <w:r>
        <w:rPr>
          <w:lang w:eastAsia="zh-CN"/>
        </w:rPr>
        <w:t>90%</w:t>
      </w:r>
      <w:r>
        <w:rPr>
          <w:rFonts w:hint="eastAsia"/>
          <w:lang w:eastAsia="zh-CN"/>
        </w:rPr>
        <w:t>份额。</w:t>
      </w:r>
    </w:p>
    <w:p>
      <w:pPr>
        <w:pStyle w:val="145"/>
        <w:rPr>
          <w:lang w:eastAsia="zh-CN"/>
        </w:rPr>
      </w:pPr>
      <w:r>
        <w:drawing>
          <wp:inline distT="0" distB="0" distL="0" distR="0">
            <wp:extent cx="6257925" cy="3705225"/>
            <wp:effectExtent l="0" t="0" r="0" b="0"/>
            <wp:docPr id="77309835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43"/>
        <w:rPr>
          <w:lang w:eastAsia="zh-CN"/>
        </w:rPr>
      </w:pPr>
      <w:r>
        <w:rPr>
          <w:rFonts w:hint="eastAsia"/>
          <w:lang w:eastAsia="zh-CN"/>
        </w:rPr>
        <w:t>如上图表/数据，摘自QYResearch最新报告“全球</w:t>
      </w:r>
      <w:r>
        <w:rPr>
          <w:lang w:eastAsia="zh-CN"/>
        </w:rPr>
        <w:t>汽车摇窗电机</w:t>
      </w:r>
      <w:r>
        <w:rPr>
          <w:rFonts w:hint="eastAsia"/>
          <w:lang w:eastAsia="zh-CN"/>
        </w:rPr>
        <w:t>市场研究报告2023-2029</w:t>
      </w:r>
      <w:r>
        <w:rPr>
          <w:lang w:eastAsia="zh-CN"/>
        </w:rPr>
        <w:t>.</w:t>
      </w:r>
    </w:p>
    <w:p>
      <w:pPr>
        <w:pStyle w:val="145"/>
        <w:rPr>
          <w:lang w:eastAsia="zh-CN"/>
        </w:rPr>
      </w:pPr>
      <w:r>
        <w:rPr>
          <w:rFonts w:hint="eastAsia"/>
          <w:lang w:eastAsia="zh-CN"/>
        </w:rPr>
        <w:t>就产品应用而言，目前乘用车是最主要的需求来源，占据大约90.3%的份额。</w:t>
      </w:r>
    </w:p>
    <w:p>
      <w:pPr>
        <w:pStyle w:val="145"/>
        <w:rPr>
          <w:lang w:eastAsia="zh-CN"/>
        </w:rPr>
      </w:pPr>
      <w:r>
        <w:rPr>
          <w:lang w:eastAsia="zh-CN"/>
        </w:rPr>
        <w:br w:type="page"/>
      </w:r>
    </w:p>
    <w:p>
      <w:pPr>
        <w:pStyle w:val="148"/>
        <w:rPr>
          <w:lang w:eastAsia="zh-CN"/>
        </w:rPr>
      </w:pPr>
      <w:r>
        <w:rPr>
          <w:rFonts w:hint="eastAsia"/>
          <w:lang w:eastAsia="zh-CN"/>
        </w:rPr>
        <w:t>全球</w:t>
      </w:r>
      <w:r>
        <w:rPr>
          <w:lang w:eastAsia="zh-CN"/>
        </w:rPr>
        <w:t>汽车摇窗电机</w:t>
      </w:r>
      <w:r>
        <w:rPr>
          <w:rFonts w:hint="eastAsia"/>
          <w:lang w:eastAsia="zh-CN"/>
        </w:rPr>
        <w:t>规模，主要生产地区份额（按产值）</w:t>
      </w:r>
    </w:p>
    <w:p>
      <w:pPr>
        <w:pStyle w:val="145"/>
        <w:rPr>
          <w:lang w:val="en-US" w:eastAsia="zh-CN"/>
        </w:rPr>
      </w:pPr>
      <w:r>
        <w:drawing>
          <wp:inline distT="0" distB="0" distL="0" distR="0">
            <wp:extent cx="6286500" cy="3581400"/>
            <wp:effectExtent l="0" t="0" r="0" b="0"/>
            <wp:docPr id="59402772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45"/>
        <w:rPr>
          <w:lang w:val="en-US" w:eastAsia="zh-CN"/>
        </w:rPr>
      </w:pPr>
      <w:r>
        <w:drawing>
          <wp:inline distT="0" distB="0" distL="0" distR="0">
            <wp:extent cx="6343650" cy="3438525"/>
            <wp:effectExtent l="0" t="0" r="0" b="0"/>
            <wp:docPr id="195424353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143"/>
        <w:rPr>
          <w:lang w:eastAsia="zh-CN"/>
        </w:rPr>
      </w:pPr>
      <w:r>
        <w:rPr>
          <w:rFonts w:hint="eastAsia"/>
          <w:lang w:eastAsia="zh-CN"/>
        </w:rPr>
        <w:t>如上图表/数据，摘自QYResearch最新报告“全球</w:t>
      </w:r>
      <w:r>
        <w:rPr>
          <w:lang w:eastAsia="zh-CN"/>
        </w:rPr>
        <w:t>汽车摇窗电机</w:t>
      </w:r>
      <w:r>
        <w:rPr>
          <w:rFonts w:hint="eastAsia"/>
          <w:lang w:eastAsia="zh-CN"/>
        </w:rPr>
        <w:t>市场研究报告2023-2029</w:t>
      </w:r>
      <w:r>
        <w:rPr>
          <w:lang w:eastAsia="zh-CN"/>
        </w:rPr>
        <w:t>.</w:t>
      </w:r>
    </w:p>
    <w:p>
      <w:pPr>
        <w:pStyle w:val="145"/>
        <w:rPr>
          <w:lang w:eastAsia="zh-CN"/>
        </w:rPr>
      </w:pPr>
      <w:r>
        <w:rPr>
          <w:lang w:eastAsia="zh-CN"/>
        </w:rPr>
        <w:br w:type="page"/>
      </w:r>
    </w:p>
    <w:p>
      <w:pPr>
        <w:pStyle w:val="148"/>
        <w:rPr>
          <w:lang w:eastAsia="zh-CN"/>
        </w:rPr>
      </w:pPr>
      <w:r>
        <w:rPr>
          <w:rFonts w:hint="eastAsia"/>
          <w:lang w:eastAsia="zh-CN"/>
        </w:rPr>
        <w:t>全球主要市场</w:t>
      </w:r>
      <w:r>
        <w:rPr>
          <w:lang w:eastAsia="zh-CN"/>
        </w:rPr>
        <w:t>汽车摇窗电机</w:t>
      </w:r>
      <w:r>
        <w:rPr>
          <w:rFonts w:hint="eastAsia"/>
          <w:lang w:eastAsia="zh-CN"/>
        </w:rPr>
        <w:t>规模</w:t>
      </w:r>
    </w:p>
    <w:p>
      <w:pPr>
        <w:pStyle w:val="145"/>
        <w:rPr>
          <w:lang w:val="en-US" w:eastAsia="zh-CN"/>
        </w:rPr>
      </w:pPr>
      <w:r>
        <w:drawing>
          <wp:inline distT="0" distB="0" distL="0" distR="0">
            <wp:extent cx="6134100" cy="3743325"/>
            <wp:effectExtent l="0" t="0" r="0" b="0"/>
            <wp:docPr id="112582233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pStyle w:val="145"/>
        <w:rPr>
          <w:lang w:val="en-US" w:eastAsia="zh-CN"/>
        </w:rPr>
      </w:pPr>
      <w:r>
        <w:drawing>
          <wp:inline distT="0" distB="0" distL="0" distR="0">
            <wp:extent cx="6134100" cy="3819525"/>
            <wp:effectExtent l="0" t="0" r="0" b="0"/>
            <wp:docPr id="150095929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pPr>
        <w:pStyle w:val="143"/>
        <w:rPr>
          <w:lang w:eastAsia="zh-CN"/>
        </w:rPr>
      </w:pPr>
      <w:r>
        <w:rPr>
          <w:rFonts w:hint="eastAsia"/>
          <w:lang w:eastAsia="zh-CN"/>
        </w:rPr>
        <w:t>如上图表/数据，摘自QYResearch最新报告“全球</w:t>
      </w:r>
      <w:r>
        <w:rPr>
          <w:lang w:eastAsia="zh-CN"/>
        </w:rPr>
        <w:t>汽车摇窗电机</w:t>
      </w:r>
      <w:r>
        <w:rPr>
          <w:rFonts w:hint="eastAsia"/>
          <w:lang w:eastAsia="zh-CN"/>
        </w:rPr>
        <w:t>市场研究报告2023-2029</w:t>
      </w:r>
      <w:r>
        <w:rPr>
          <w:lang w:eastAsia="zh-CN"/>
        </w:rPr>
        <w:t>.</w:t>
      </w:r>
    </w:p>
    <w:bookmarkEnd w:id="1"/>
    <w:bookmarkEnd w:id="2"/>
    <w:bookmarkEnd w:id="3"/>
    <w:bookmarkEnd w:id="4"/>
    <w:bookmarkEnd w:id="5"/>
    <w:bookmarkEnd w:id="6"/>
    <w:bookmarkEnd w:id="7"/>
    <w:bookmarkEnd w:id="8"/>
    <w:bookmarkEnd w:id="9"/>
    <w:bookmarkEnd w:id="10"/>
    <w:bookmarkEnd w:id="11"/>
    <w:bookmarkEnd w:id="12"/>
    <w:bookmarkEnd w:id="13"/>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1CC6"/>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2E4"/>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765"/>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B27"/>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1FD"/>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9AE"/>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C8E"/>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DBA"/>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D6A"/>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2E2"/>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B09"/>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2F8B"/>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3EAF"/>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B0"/>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3F2D"/>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9E7"/>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442F3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unhideWhenUsed="0" w:uiPriority="0" w:semiHidden="0" w:name="Emphasis"/>
    <w:lsdException w:unhideWhenUsed="0" w:uiPriority="0" w:semiHidden="0"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unhideWhenUsed/>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uiPriority w:val="0"/>
    <w:pPr>
      <w:ind w:left="842" w:hanging="422"/>
    </w:pPr>
    <w:rPr>
      <w:rFonts w:cs="宋体"/>
    </w:rPr>
  </w:style>
  <w:style w:type="paragraph" w:customStyle="1" w:styleId="124">
    <w:name w:val="样式 图表目录 + 左侧:  2 字符 悬挂缩进: 2 字符1"/>
    <w:basedOn w:val="28"/>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chart" Target="charts/chart10.xml"/><Relationship Id="rId17" Type="http://schemas.openxmlformats.org/officeDocument/2006/relationships/chart" Target="charts/chart9.xml"/><Relationship Id="rId16" Type="http://schemas.openxmlformats.org/officeDocument/2006/relationships/chart" Target="charts/chart8.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5" Type="http://schemas.microsoft.com/office/2011/relationships/chartColorStyle" Target="colors5.xml"/><Relationship Id="rId4" Type="http://schemas.microsoft.com/office/2011/relationships/chartStyle" Target="style5.xml"/><Relationship Id="rId3" Type="http://schemas.openxmlformats.org/officeDocument/2006/relationships/chartUserShapes" Target="../drawings/drawing1.xml"/><Relationship Id="rId2" Type="http://schemas.openxmlformats.org/officeDocument/2006/relationships/themeOverride" Target="../theme/themeOverride5.xml"/><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4" Type="http://schemas.microsoft.com/office/2011/relationships/chartColorStyle" Target="colors8.xml"/><Relationship Id="rId3" Type="http://schemas.microsoft.com/office/2011/relationships/chartStyle" Target="style8.xml"/><Relationship Id="rId2" Type="http://schemas.openxmlformats.org/officeDocument/2006/relationships/themeOverride" Target="../theme/themeOverride8.xml"/><Relationship Id="rId1" Type="http://schemas.openxmlformats.org/officeDocument/2006/relationships/package" Target="../embeddings/Workbook8.xlsx"/></Relationships>
</file>

<file path=word/charts/_rels/chart3.xml.rels><?xml version="1.0" encoding="UTF-8" standalone="yes"?>
<Relationships xmlns="http://schemas.openxmlformats.org/package/2006/relationships"><Relationship Id="rId4" Type="http://schemas.microsoft.com/office/2011/relationships/chartColorStyle" Target="colors6.xml"/><Relationship Id="rId3" Type="http://schemas.microsoft.com/office/2011/relationships/chartStyle" Target="style6.xml"/><Relationship Id="rId2" Type="http://schemas.openxmlformats.org/officeDocument/2006/relationships/themeOverride" Target="../theme/themeOverride6.xml"/><Relationship Id="rId1" Type="http://schemas.openxmlformats.org/officeDocument/2006/relationships/package" Target="../embeddings/Workbook6.xlsx"/></Relationships>
</file>

<file path=word/charts/_rels/chart4.xml.rels><?xml version="1.0" encoding="UTF-8" standalone="yes"?>
<Relationships xmlns="http://schemas.openxmlformats.org/package/2006/relationships"><Relationship Id="rId4" Type="http://schemas.microsoft.com/office/2011/relationships/chartColorStyle" Target="colors10.xml"/><Relationship Id="rId3" Type="http://schemas.microsoft.com/office/2011/relationships/chartStyle" Target="style10.xml"/><Relationship Id="rId2" Type="http://schemas.openxmlformats.org/officeDocument/2006/relationships/themeOverride" Target="../theme/themeOverride10.xml"/><Relationship Id="rId1" Type="http://schemas.openxmlformats.org/officeDocument/2006/relationships/package" Target="../embeddings/Workbook10.xlsx"/></Relationships>
</file>

<file path=word/charts/_rels/chart5.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themeOverride" Target="../theme/themeOverride4.xml"/><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7.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themeOverride" Target="../theme/themeOverride2.xml"/><Relationship Id="rId1" Type="http://schemas.openxmlformats.org/officeDocument/2006/relationships/package" Target="../embeddings/Workbook2.xlsx"/></Relationships>
</file>

<file path=word/charts/_rels/chart8.xml.rels><?xml version="1.0" encoding="UTF-8" standalone="yes"?>
<Relationships xmlns="http://schemas.openxmlformats.org/package/2006/relationships"><Relationship Id="rId4" Type="http://schemas.microsoft.com/office/2011/relationships/chartColorStyle" Target="colors7.xml"/><Relationship Id="rId3" Type="http://schemas.microsoft.com/office/2011/relationships/chartStyle" Target="style7.xml"/><Relationship Id="rId2" Type="http://schemas.openxmlformats.org/officeDocument/2006/relationships/themeOverride" Target="../theme/themeOverride7.xml"/><Relationship Id="rId1" Type="http://schemas.openxmlformats.org/officeDocument/2006/relationships/package" Target="../embeddings/Workbook7.xlsx"/></Relationships>
</file>

<file path=word/charts/_rels/chart9.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themeOverride" Target="../theme/themeOverride3.xml"/><Relationship Id="rId1" Type="http://schemas.openxmlformats.org/officeDocument/2006/relationships/package" Target="../embeddings/Workbook3.xlsx"/></Relationships>
</file>

<file path=word/charts/_rels/chart10.xml.rels><?xml version="1.0" encoding="UTF-8" standalone="yes"?>
<Relationships xmlns="http://schemas.openxmlformats.org/package/2006/relationships"><Relationship Id="rId4" Type="http://schemas.microsoft.com/office/2011/relationships/chartColorStyle" Target="colors9.xml"/><Relationship Id="rId3" Type="http://schemas.microsoft.com/office/2011/relationships/chartStyle" Target="style9.xml"/><Relationship Id="rId2" Type="http://schemas.openxmlformats.org/officeDocument/2006/relationships/themeOverride" Target="../theme/themeOverride9.xml"/><Relationship Id="rId1" Type="http://schemas.openxmlformats.org/officeDocument/2006/relationships/package" Target="../embeddings/Workbook9.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1820801093785"/>
          <c:y val="0.0743906508300871"/>
          <c:w val="0.845512387307458"/>
          <c:h val="0.794607567572072"/>
        </c:manualLayout>
      </c:layout>
      <c:barChart>
        <c:barDir val="col"/>
        <c:grouping val="clustered"/>
        <c:varyColors val="0"/>
        <c:ser>
          <c:idx val="0"/>
          <c:order val="0"/>
          <c:tx>
            <c:strRef>
              <c:f>全球总体!$A$8</c:f>
              <c:strCache>
                <c:ptCount val="1"/>
                <c:pt idx="0">
                  <c:v>全球规模（百万美元）</c:v>
                </c:pt>
              </c:strCache>
            </c:strRef>
          </c:tx>
          <c:spPr>
            <a:solidFill>
              <a:schemeClr val="accent1"/>
            </a:solidFill>
            <a:ln>
              <a:noFill/>
            </a:ln>
            <a:effectLst/>
          </c:spPr>
          <c:invertIfNegative val="0"/>
          <c:dLbls>
            <c:delete val="1"/>
          </c:dLbls>
          <c:cat>
            <c:numRef>
              <c:f>全球总体!$B$7:$M$7</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全球总体!$B$8:$M$8</c:f>
              <c:numCache>
                <c:formatCode>#,##0_ </c:formatCode>
                <c:ptCount val="12"/>
                <c:pt idx="0">
                  <c:v>2638.9</c:v>
                </c:pt>
                <c:pt idx="1">
                  <c:v>2478.3</c:v>
                </c:pt>
                <c:pt idx="2">
                  <c:v>2075.5</c:v>
                </c:pt>
                <c:pt idx="3">
                  <c:v>2187.6</c:v>
                </c:pt>
                <c:pt idx="4">
                  <c:v>2386.8</c:v>
                </c:pt>
                <c:pt idx="5">
                  <c:v>2528.4</c:v>
                </c:pt>
                <c:pt idx="6">
                  <c:v>2585.9</c:v>
                </c:pt>
                <c:pt idx="7">
                  <c:v>2629.4</c:v>
                </c:pt>
                <c:pt idx="8">
                  <c:v>2678.9</c:v>
                </c:pt>
                <c:pt idx="9">
                  <c:v>2715.4</c:v>
                </c:pt>
                <c:pt idx="10">
                  <c:v>2770</c:v>
                </c:pt>
                <c:pt idx="11">
                  <c:v>2830.8</c:v>
                </c:pt>
              </c:numCache>
            </c:numRef>
          </c:val>
        </c:ser>
        <c:dLbls>
          <c:showLegendKey val="0"/>
          <c:showVal val="0"/>
          <c:showCatName val="0"/>
          <c:showSerName val="0"/>
          <c:showPercent val="0"/>
          <c:showBubbleSize val="0"/>
        </c:dLbls>
        <c:gapWidth val="25"/>
        <c:axId val="-1322419456"/>
        <c:axId val="-1322431424"/>
      </c:barChart>
      <c:lineChart>
        <c:grouping val="stacked"/>
        <c:varyColors val="0"/>
        <c:ser>
          <c:idx val="1"/>
          <c:order val="1"/>
          <c:tx>
            <c:strRef>
              <c:f>全球总体!$A$9</c:f>
              <c:strCache>
                <c:ptCount val="1"/>
                <c:pt idx="0">
                  <c:v>增速</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Pt>
            <c:idx val="0"/>
            <c:marker>
              <c:symbol val="circle"/>
              <c:size val="5"/>
              <c:spPr>
                <a:solidFill>
                  <a:schemeClr val="accent2"/>
                </a:solidFill>
                <a:ln w="9525">
                  <a:solidFill>
                    <a:schemeClr val="accent2"/>
                  </a:solidFill>
                </a:ln>
                <a:effectLst/>
              </c:spPr>
            </c:marker>
            <c:bubble3D val="0"/>
            <c:spPr>
              <a:ln w="28575" cap="rnd">
                <a:solidFill>
                  <a:schemeClr val="accent2"/>
                </a:solidFill>
                <a:round/>
              </a:ln>
              <a:effectLst/>
            </c:spPr>
          </c:dPt>
          <c:dPt>
            <c:idx val="2"/>
            <c:marker>
              <c:symbol val="circle"/>
              <c:size val="5"/>
              <c:spPr>
                <a:solidFill>
                  <a:schemeClr val="accent2"/>
                </a:solidFill>
                <a:ln w="9525">
                  <a:solidFill>
                    <a:schemeClr val="accent2"/>
                  </a:solidFill>
                </a:ln>
                <a:effectLst/>
              </c:spPr>
            </c:marker>
            <c:bubble3D val="0"/>
          </c:dPt>
          <c:dLbls>
            <c:delete val="1"/>
          </c:dLbls>
          <c:cat>
            <c:numRef>
              <c:f>全球总体!$B$7:$M$7</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全球总体!$B$9:$M$9</c:f>
              <c:numCache>
                <c:formatCode>General</c:formatCode>
                <c:ptCount val="12"/>
                <c:pt idx="1" c:formatCode="0.0%">
                  <c:v>-0.0608586911213007</c:v>
                </c:pt>
                <c:pt idx="2" c:formatCode="0.0%">
                  <c:v>-0.162530767058064</c:v>
                </c:pt>
                <c:pt idx="3" c:formatCode="0.0%">
                  <c:v>0.054011081667068</c:v>
                </c:pt>
                <c:pt idx="4" c:formatCode="0.0%">
                  <c:v>0.0910586944596821</c:v>
                </c:pt>
                <c:pt idx="5" c:formatCode="0.0%">
                  <c:v>0.0593262946204123</c:v>
                </c:pt>
                <c:pt idx="6" c:formatCode="0.0%">
                  <c:v>0.0227416548014554</c:v>
                </c:pt>
                <c:pt idx="7" c:formatCode="0.0%">
                  <c:v>0.016821996210217</c:v>
                </c:pt>
                <c:pt idx="8" c:formatCode="0.0%">
                  <c:v>0.0188255875865215</c:v>
                </c:pt>
                <c:pt idx="9" c:formatCode="0.0%">
                  <c:v>0.0136249953339056</c:v>
                </c:pt>
                <c:pt idx="10" c:formatCode="0.0%">
                  <c:v>0.0201075348015025</c:v>
                </c:pt>
                <c:pt idx="11" c:formatCode="0.0%">
                  <c:v>0.0219494584837545</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22431424"/>
        <c:crosses val="autoZero"/>
        <c:auto val="1"/>
        <c:lblAlgn val="ctr"/>
        <c:lblOffset val="100"/>
        <c:noMultiLvlLbl val="0"/>
      </c:catAx>
      <c:valAx>
        <c:axId val="-1322431424"/>
        <c:scaling>
          <c:orientation val="minMax"/>
        </c:scaling>
        <c:delete val="0"/>
        <c:axPos val="l"/>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22406944"/>
        <c:crosses val="autoZero"/>
        <c:auto val="1"/>
        <c:lblAlgn val="ctr"/>
        <c:lblOffset val="100"/>
        <c:noMultiLvlLbl val="0"/>
      </c:catAx>
      <c:valAx>
        <c:axId val="-1322406944"/>
        <c:scaling>
          <c:orientation val="minMax"/>
        </c:scaling>
        <c:delete val="0"/>
        <c:axPos val="r"/>
        <c:numFmt formatCode="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22429792"/>
        <c:crosses val="max"/>
        <c:crossBetween val="between"/>
      </c:valAx>
      <c:spPr>
        <a:noFill/>
        <a:ln>
          <a:noFill/>
        </a:ln>
        <a:effectLst/>
      </c:spPr>
    </c:plotArea>
    <c:legend>
      <c:legendPos val="b"/>
      <c:layout>
        <c:manualLayout>
          <c:xMode val="edge"/>
          <c:yMode val="edge"/>
          <c:x val="0.254794909680808"/>
          <c:y val="0.0334921568627451"/>
          <c:w val="0.447086708502457"/>
          <c:h val="0.0700372549019608"/>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Lbls>
            <c:delete val="1"/>
          </c:dLbls>
          <c:cat>
            <c:strRef>
              <c:f>(企业排序!$F$2:$F$13,企业排序!$F$17:$F$25)</c:f>
              <c:strCache>
                <c:ptCount val="12"/>
                <c:pt idx="0">
                  <c:v>南通联科</c:v>
                </c:pt>
                <c:pt idx="1">
                  <c:v>恒特电机</c:v>
                </c:pt>
                <c:pt idx="2">
                  <c:v>DY Auto</c:v>
                </c:pt>
                <c:pt idx="3">
                  <c:v>宁波精成</c:v>
                </c:pt>
                <c:pt idx="4">
                  <c:v>Inteva Products</c:v>
                </c:pt>
                <c:pt idx="5">
                  <c:v>实业交通</c:v>
                </c:pt>
                <c:pt idx="6">
                  <c:v>德昌电机</c:v>
                </c:pt>
                <c:pt idx="7">
                  <c:v>Denso</c:v>
                </c:pt>
                <c:pt idx="8">
                  <c:v>Mabuchi</c:v>
                </c:pt>
                <c:pt idx="9">
                  <c:v>MITSUBA</c:v>
                </c:pt>
                <c:pt idx="10">
                  <c:v>Brose</c:v>
                </c:pt>
                <c:pt idx="11">
                  <c:v>Bosch</c:v>
                </c:pt>
              </c:strCache>
            </c:strRef>
          </c:cat>
          <c:val>
            <c:numRef>
              <c:f>(企业排序!$G$2:$G$13,企业排序!$G$17:$G$25)</c:f>
              <c:numCache>
                <c:formatCode>#,##0.00_ </c:formatCode>
                <c:ptCount val="12"/>
                <c:pt idx="0">
                  <c:v>9.8</c:v>
                </c:pt>
                <c:pt idx="1">
                  <c:v>10.9</c:v>
                </c:pt>
                <c:pt idx="2">
                  <c:v>57.3</c:v>
                </c:pt>
                <c:pt idx="3">
                  <c:v>61.2</c:v>
                </c:pt>
                <c:pt idx="4">
                  <c:v>63.2</c:v>
                </c:pt>
                <c:pt idx="5">
                  <c:v>93.4</c:v>
                </c:pt>
                <c:pt idx="6">
                  <c:v>144.6</c:v>
                </c:pt>
                <c:pt idx="7">
                  <c:v>216.9</c:v>
                </c:pt>
                <c:pt idx="8">
                  <c:v>234.5</c:v>
                </c:pt>
                <c:pt idx="9">
                  <c:v>264.7</c:v>
                </c:pt>
                <c:pt idx="10">
                  <c:v>515.7</c:v>
                </c:pt>
                <c:pt idx="11">
                  <c:v>518.8</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27629104890317"/>
          <c:y val="0.457804887065173"/>
        </c:manualLayout>
      </c:layout>
      <c:overlay val="0"/>
      <c:spPr>
        <a:noFill/>
        <a:ln>
          <a:noFill/>
        </a:ln>
        <a:effectLst/>
      </c:spPr>
    </c:title>
    <c:autoTitleDeleted val="0"/>
    <c:plotArea>
      <c:layout/>
      <c:doughnutChart>
        <c:varyColors val="1"/>
        <c:ser>
          <c:idx val="0"/>
          <c:order val="0"/>
          <c:tx>
            <c:strRef>
              <c:f>分类!$AF$1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分类!$R$2:$R$3</c:f>
              <c:strCache>
                <c:ptCount val="2"/>
                <c:pt idx="0">
                  <c:v>12V 直流电机</c:v>
                </c:pt>
                <c:pt idx="1">
                  <c:v>24V 直流电机</c:v>
                </c:pt>
              </c:strCache>
            </c:strRef>
          </c:cat>
          <c:val>
            <c:numRef>
              <c:f>分类!$AF$2:$AF$3</c:f>
              <c:numCache>
                <c:formatCode>0.0%</c:formatCode>
                <c:ptCount val="2"/>
                <c:pt idx="0">
                  <c:v>0.889014580191051</c:v>
                </c:pt>
                <c:pt idx="1">
                  <c:v>0.110985419808949</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38339742415919"/>
          <c:y val="0.438512656235392"/>
        </c:manualLayout>
      </c:layout>
      <c:overlay val="0"/>
      <c:spPr>
        <a:noFill/>
        <a:ln>
          <a:noFill/>
        </a:ln>
        <a:effectLst/>
      </c:spPr>
    </c:title>
    <c:autoTitleDeleted val="0"/>
    <c:plotArea>
      <c:layout>
        <c:manualLayout>
          <c:layoutTarget val="inner"/>
          <c:xMode val="edge"/>
          <c:yMode val="edge"/>
          <c:x val="0.163445736434109"/>
          <c:y val="0.139518144977576"/>
          <c:w val="0.689517118863049"/>
          <c:h val="0.70224739430161"/>
        </c:manualLayout>
      </c:layout>
      <c:doughnutChart>
        <c:varyColors val="1"/>
        <c:ser>
          <c:idx val="0"/>
          <c:order val="0"/>
          <c:tx>
            <c:strRef>
              <c:f>分类!$AG$1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分类!$R$2:$R$3</c:f>
              <c:strCache>
                <c:ptCount val="2"/>
                <c:pt idx="0">
                  <c:v>12V 直流电机</c:v>
                </c:pt>
                <c:pt idx="1">
                  <c:v>24V 直流电机</c:v>
                </c:pt>
              </c:strCache>
            </c:strRef>
          </c:cat>
          <c:val>
            <c:numRef>
              <c:f>分类!$AG$2:$AG$3</c:f>
              <c:numCache>
                <c:formatCode>0.0%</c:formatCode>
                <c:ptCount val="2"/>
                <c:pt idx="0">
                  <c:v>0.883283877349159</c:v>
                </c:pt>
                <c:pt idx="1">
                  <c:v>0.116716122650841</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12V直流电机</c:v>
                </c:pt>
              </c:strCache>
            </c:strRef>
          </c:tx>
          <c:spPr>
            <a:solidFill>
              <a:srgbClr val="002060"/>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分类!$B$2:$M$2</c:f>
              <c:numCache>
                <c:formatCode>#,##0_);[Red]\(#,##0\)</c:formatCode>
                <c:ptCount val="12"/>
                <c:pt idx="0">
                  <c:v>2345.2</c:v>
                </c:pt>
                <c:pt idx="1">
                  <c:v>2204.7</c:v>
                </c:pt>
                <c:pt idx="2">
                  <c:v>1846.6</c:v>
                </c:pt>
                <c:pt idx="3">
                  <c:v>1942.1</c:v>
                </c:pt>
                <c:pt idx="4">
                  <c:v>2121.9</c:v>
                </c:pt>
                <c:pt idx="5">
                  <c:v>2247.9</c:v>
                </c:pt>
                <c:pt idx="6">
                  <c:v>2293.3</c:v>
                </c:pt>
                <c:pt idx="7">
                  <c:v>2326</c:v>
                </c:pt>
                <c:pt idx="8">
                  <c:v>2372.2</c:v>
                </c:pt>
                <c:pt idx="9">
                  <c:v>2407.4</c:v>
                </c:pt>
                <c:pt idx="10">
                  <c:v>2453.4</c:v>
                </c:pt>
                <c:pt idx="11">
                  <c:v>2500.4</c:v>
                </c:pt>
              </c:numCache>
            </c:numRef>
          </c:val>
        </c:ser>
        <c:ser>
          <c:idx val="1"/>
          <c:order val="1"/>
          <c:tx>
            <c:strRef>
              <c:f>分类!$A$3</c:f>
              <c:strCache>
                <c:ptCount val="1"/>
                <c:pt idx="0">
                  <c:v>24V直流电机</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分类!$B$3:$M$3</c:f>
              <c:numCache>
                <c:formatCode>#,##0_);[Red]\(#,##0\)</c:formatCode>
                <c:ptCount val="12"/>
                <c:pt idx="0">
                  <c:v>293.7</c:v>
                </c:pt>
                <c:pt idx="1">
                  <c:v>273.6</c:v>
                </c:pt>
                <c:pt idx="2">
                  <c:v>228.9</c:v>
                </c:pt>
                <c:pt idx="3">
                  <c:v>245.5</c:v>
                </c:pt>
                <c:pt idx="4">
                  <c:v>264.9</c:v>
                </c:pt>
                <c:pt idx="5">
                  <c:v>280.5</c:v>
                </c:pt>
                <c:pt idx="6">
                  <c:v>292.6</c:v>
                </c:pt>
                <c:pt idx="7">
                  <c:v>303.4</c:v>
                </c:pt>
                <c:pt idx="8">
                  <c:v>306.7</c:v>
                </c:pt>
                <c:pt idx="9">
                  <c:v>308</c:v>
                </c:pt>
                <c:pt idx="10">
                  <c:v>316.6</c:v>
                </c:pt>
                <c:pt idx="11">
                  <c:v>330.4</c:v>
                </c:pt>
              </c:numCache>
            </c:numRef>
          </c:val>
        </c:ser>
        <c:dLbls>
          <c:showLegendKey val="0"/>
          <c:showVal val="0"/>
          <c:showCatName val="0"/>
          <c:showSerName val="0"/>
          <c:showPercent val="0"/>
          <c:showBubbleSize val="0"/>
        </c:dLbls>
        <c:gapWidth val="25"/>
        <c:overlap val="100"/>
        <c:axId val="2101581920"/>
        <c:axId val="2101559456"/>
        <c:extLst>
          <c:ext xmlns:c15="http://schemas.microsoft.com/office/drawing/2012/chart" uri="{02D57815-91ED-43cb-92C2-25804820EDAC}">
            <c15:filteredBarSeries>
              <c15:ser>
                <c:idx val="2"/>
                <c:order val="2"/>
                <c:tx>
                  <c:strRef>
                    <c:extLst>
                      <c:ext uri="{02D57815-91ED-43cb-92C2-25804820EDAC}">
                        <c15:formulaRef>
                          <c15:sqref>分类!$A$4</c15:sqref>
                        </c15:formulaRef>
                      </c:ext>
                    </c:extLst>
                    <c:strCache>
                      <c:ptCount val="1"/>
                      <c:pt idx="0">
                        <c:v>Type 3</c:v>
                      </c:pt>
                    </c:strCache>
                  </c:strRef>
                </c:tx>
                <c:spPr>
                  <a:solidFill>
                    <a:schemeClr val="accent6">
                      <a:lumMod val="75000"/>
                    </a:schemeClr>
                  </a:solidFill>
                  <a:ln>
                    <a:noFill/>
                  </a:ln>
                  <a:effectLst/>
                </c:spPr>
                <c:invertIfNegative val="0"/>
                <c:dLbls>
                  <c:delete val="1"/>
                </c:dLbls>
                <c:cat>
                  <c:numRef>
                    <c:extLst>
                      <c:ext uri="{02D57815-91ED-43cb-92C2-25804820EDAC}">
                        <c15:fullRef>
                          <c15:sqref/>
                        </c15:fullRef>
                        <c15:formulaRef>
                          <c15:sqref>分类!$B$1:$M$1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分类!$B$4:$M$4</c15:sqref>
                        </c15:formulaRef>
                      </c:ext>
                    </c:extLst>
                    <c:numCache>
                      <c:formatCode>General</c:formatCode>
                      <c:ptCount val="12"/>
                    </c:numCache>
                  </c:numRef>
                </c:val>
              </c15:ser>
            </c15:filteredBarSeries>
            <c15:filteredBarSeries>
              <c15:ser>
                <c:idx val="3"/>
                <c:order val="3"/>
                <c:tx>
                  <c:strRef>
                    <c:extLst>
                      <c:ext uri="{02D57815-91ED-43cb-92C2-25804820EDAC}">
                        <c15:formulaRef>
                          <c15:sqref>分类!$A$5</c15:sqref>
                        </c15:formulaRef>
                      </c:ext>
                    </c:extLst>
                    <c:strCache>
                      <c:ptCount val="1"/>
                      <c:pt idx="0">
                        <c:v/>
                      </c:pt>
                    </c:strCache>
                  </c:strRef>
                </c:tx>
                <c:spPr>
                  <a:solidFill>
                    <a:schemeClr val="tx2">
                      <a:lumMod val="60000"/>
                      <a:lumOff val="40000"/>
                    </a:schemeClr>
                  </a:solidFill>
                  <a:ln>
                    <a:noFill/>
                  </a:ln>
                  <a:effectLst/>
                </c:spPr>
                <c:invertIfNegative val="0"/>
                <c:dLbls>
                  <c:delete val="1"/>
                </c:dLbls>
                <c:cat>
                  <c:numRef>
                    <c:extLst>
                      <c:ext uri="{02D57815-91ED-43cb-92C2-25804820EDAC}">
                        <c15:fullRef>
                          <c15:sqref/>
                        </c15:fullRef>
                        <c15:formulaRef>
                          <c15:sqref>分类!$B$1:$M$1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分类!$B$5:$M$5</c15:sqref>
                        </c15:formulaRef>
                      </c:ext>
                    </c:extLst>
                    <c:numCache>
                      <c:formatCode>General</c:formatCode>
                      <c:ptCount val="12"/>
                    </c:numCache>
                  </c:numRef>
                </c:val>
              </c15:ser>
            </c15:filteredBarSeries>
            <c15:filteredBarSeries>
              <c15:ser>
                <c:idx val="4"/>
                <c:order val="4"/>
                <c:tx>
                  <c:strRef>
                    <c:extLst>
                      <c:ext uri="{02D57815-91ED-43cb-92C2-25804820EDAC}">
                        <c15:formulaRef>
                          <c15:sqref>分类!$A$6</c15:sqref>
                        </c15:formulaRef>
                      </c:ext>
                    </c:extLst>
                    <c:strCache>
                      <c:ptCount val="1"/>
                      <c:pt idx="0">
                        <c:v/>
                      </c:pt>
                    </c:strCache>
                  </c:strRef>
                </c:tx>
                <c:spPr>
                  <a:solidFill>
                    <a:schemeClr val="accent1">
                      <a:lumMod val="75000"/>
                    </a:schemeClr>
                  </a:solidFill>
                  <a:ln>
                    <a:noFill/>
                  </a:ln>
                  <a:effectLst/>
                </c:spPr>
                <c:invertIfNegative val="0"/>
                <c:dLbls>
                  <c:delete val="1"/>
                </c:dLbls>
                <c:cat>
                  <c:numRef>
                    <c:extLst>
                      <c:ext uri="{02D57815-91ED-43cb-92C2-25804820EDAC}">
                        <c15:fullRef>
                          <c15:sqref/>
                        </c15:fullRef>
                        <c15:formulaRef>
                          <c15:sqref>分类!$B$1:$M$1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分类!$B$6:$M$6</c15:sqref>
                        </c15:formulaRef>
                      </c:ext>
                    </c:extLst>
                    <c:numCache>
                      <c:formatCode>General</c:formatCode>
                      <c:ptCount val="12"/>
                    </c:numCache>
                  </c:numRef>
                </c:val>
              </c15:ser>
            </c15:filteredBarSeries>
            <c15:filteredBarSeries>
              <c15:ser>
                <c:idx val="5"/>
                <c:order val="5"/>
                <c:tx>
                  <c:strRef>
                    <c:extLst>
                      <c:ext uri="{02D57815-91ED-43cb-92C2-25804820EDAC}">
                        <c15:formulaRef>
                          <c15:sqref>分类!$A$7</c15:sqref>
                        </c15:formulaRef>
                      </c:ext>
                    </c:extLst>
                    <c:strCache>
                      <c:ptCount val="1"/>
                      <c:pt idx="0">
                        <c:v/>
                      </c:pt>
                    </c:strCache>
                  </c:strRef>
                </c:tx>
                <c:spPr>
                  <a:solidFill>
                    <a:schemeClr val="accent4">
                      <a:lumMod val="60000"/>
                      <a:lumOff val="40000"/>
                    </a:schemeClr>
                  </a:solidFill>
                  <a:ln>
                    <a:noFill/>
                  </a:ln>
                  <a:effectLst/>
                </c:spPr>
                <c:invertIfNegative val="0"/>
                <c:dLbls>
                  <c:delete val="1"/>
                </c:dLbls>
                <c:cat>
                  <c:numRef>
                    <c:extLst>
                      <c:ext uri="{02D57815-91ED-43cb-92C2-25804820EDAC}">
                        <c15:fullRef>
                          <c15:sqref/>
                        </c15:fullRef>
                        <c15:formulaRef>
                          <c15:sqref>分类!$B$1:$M$1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分类!$B$7:$M$7</c15:sqref>
                        </c15:formulaRef>
                      </c:ext>
                    </c:extLst>
                    <c:numCache>
                      <c:formatCode>General</c:formatCode>
                      <c:ptCount val="12"/>
                    </c:numCache>
                  </c:numRef>
                </c:val>
              </c15:ser>
            </c15:filteredBarSeries>
            <c15:filteredBarSeries>
              <c15:ser>
                <c:idx val="6"/>
                <c:order val="6"/>
                <c:tx>
                  <c:strRef>
                    <c:extLst>
                      <c:ext uri="{02D57815-91ED-43cb-92C2-25804820EDAC}">
                        <c15:formulaRef>
                          <c15:sqref>分类!$A$8</c15:sqref>
                        </c15:formulaRef>
                      </c:ext>
                    </c:extLst>
                    <c:strCache>
                      <c:ptCount val="1"/>
                      <c:pt idx="0">
                        <c:v/>
                      </c:pt>
                    </c:strCache>
                  </c:strRef>
                </c:tx>
                <c:spPr>
                  <a:solidFill>
                    <a:schemeClr val="accent2">
                      <a:lumMod val="60000"/>
                      <a:lumOff val="40000"/>
                    </a:schemeClr>
                  </a:solidFill>
                  <a:ln>
                    <a:noFill/>
                  </a:ln>
                  <a:effectLst/>
                </c:spPr>
                <c:invertIfNegative val="0"/>
                <c:dLbls>
                  <c:delete val="1"/>
                </c:dLbls>
                <c:cat>
                  <c:numRef>
                    <c:extLst>
                      <c:ext uri="{02D57815-91ED-43cb-92C2-25804820EDAC}">
                        <c15:fullRef>
                          <c15:sqref/>
                        </c15:fullRef>
                        <c15:formulaRef>
                          <c15:sqref>分类!$B$1:$M$1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分类!$B$8:$M$8</c15:sqref>
                        </c15:formulaRef>
                      </c:ext>
                    </c:extLst>
                    <c:numCache>
                      <c:formatCode>General</c:formatCode>
                      <c:ptCount val="12"/>
                    </c:numCache>
                  </c:numRef>
                </c:val>
              </c15:ser>
            </c15:filteredBarSeries>
            <c15:filteredBarSeries>
              <c15:ser>
                <c:idx val="7"/>
                <c:order val="7"/>
                <c:tx>
                  <c:strRef>
                    <c:extLst>
                      <c:ext uri="{02D57815-91ED-43cb-92C2-25804820EDAC}">
                        <c15:formulaRef>
                          <c15:sqref>分类!$A$9</c15:sqref>
                        </c15:formulaRef>
                      </c:ext>
                    </c:extLst>
                    <c:strCache>
                      <c:ptCount val="1"/>
                      <c:pt idx="0">
                        <c:v/>
                      </c:pt>
                    </c:strCache>
                  </c:strRef>
                </c:tx>
                <c:spPr>
                  <a:solidFill>
                    <a:schemeClr val="bg2">
                      <a:lumMod val="50000"/>
                    </a:schemeClr>
                  </a:solidFill>
                  <a:ln>
                    <a:noFill/>
                  </a:ln>
                  <a:effectLst/>
                </c:spPr>
                <c:invertIfNegative val="0"/>
                <c:dLbls>
                  <c:delete val="1"/>
                </c:dLbls>
                <c:cat>
                  <c:numRef>
                    <c:extLst>
                      <c:ext uri="{02D57815-91ED-43cb-92C2-25804820EDAC}">
                        <c15:fullRef>
                          <c15:sqref/>
                        </c15:fullRef>
                        <c15:formulaRef>
                          <c15:sqref>分类!$B$1:$M$1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分类!$B$9:$M$9</c15:sqref>
                        </c15:formulaRef>
                      </c:ext>
                    </c:extLst>
                    <c:numCache>
                      <c:formatCode>General</c:formatCode>
                      <c:ptCount val="12"/>
                    </c:numCache>
                  </c:numRef>
                </c:val>
              </c15:ser>
            </c15:filteredBarSeries>
            <c15:filteredBarSeries>
              <c15:ser>
                <c:idx val="8"/>
                <c:order val="8"/>
                <c:tx>
                  <c:strRef>
                    <c:extLst>
                      <c:ext uri="{02D57815-91ED-43cb-92C2-25804820EDAC}">
                        <c15:formulaRef>
                          <c15:sqref>分类!$A$10</c15:sqref>
                        </c15:formulaRef>
                      </c:ext>
                    </c:extLst>
                    <c:strCache>
                      <c:ptCount val="1"/>
                      <c:pt idx="0">
                        <c:v/>
                      </c:pt>
                    </c:strCache>
                  </c:strRef>
                </c:tx>
                <c:spPr>
                  <a:solidFill>
                    <a:schemeClr val="accent5">
                      <a:lumMod val="60000"/>
                      <a:lumOff val="40000"/>
                    </a:schemeClr>
                  </a:solidFill>
                  <a:ln>
                    <a:noFill/>
                  </a:ln>
                  <a:effectLst/>
                </c:spPr>
                <c:invertIfNegative val="0"/>
                <c:dLbls>
                  <c:delete val="1"/>
                </c:dLbls>
                <c:cat>
                  <c:numRef>
                    <c:extLst>
                      <c:ext uri="{02D57815-91ED-43cb-92C2-25804820EDAC}">
                        <c15:fullRef>
                          <c15:sqref/>
                        </c15:fullRef>
                        <c15:formulaRef>
                          <c15:sqref>分类!$B$1:$M$1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分类!$B$10:$M$10</c15:sqref>
                        </c15:formulaRef>
                      </c:ext>
                    </c:extLst>
                    <c:numCache>
                      <c:formatCode>General</c:formatCode>
                      <c:ptCount val="12"/>
                    </c:numCache>
                  </c:numRef>
                </c:val>
              </c15:ser>
            </c15:filteredBarSeries>
          </c:ext>
        </c:extLst>
      </c:barChart>
      <c:lineChart>
        <c:grouping val="stacked"/>
        <c:varyColors val="0"/>
        <c:ser>
          <c:idx val="9"/>
          <c:order val="9"/>
          <c:tx>
            <c:strRef>
              <c:f>分类!$A$11</c:f>
              <c:strCache>
                <c:ptCount val="1"/>
                <c:pt idx="0">
                  <c:v>合计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分类!$B$11:$M$11</c:f>
              <c:numCache>
                <c:formatCode>#,##0_);[Red]\(#,##0\)</c:formatCode>
                <c:ptCount val="12"/>
                <c:pt idx="0">
                  <c:v>2638.9</c:v>
                </c:pt>
                <c:pt idx="1">
                  <c:v>2478.3</c:v>
                </c:pt>
                <c:pt idx="2">
                  <c:v>2075.5</c:v>
                </c:pt>
                <c:pt idx="3">
                  <c:v>2187.6</c:v>
                </c:pt>
                <c:pt idx="4">
                  <c:v>2386.8</c:v>
                </c:pt>
                <c:pt idx="5">
                  <c:v>2528.4</c:v>
                </c:pt>
                <c:pt idx="6">
                  <c:v>2585.9</c:v>
                </c:pt>
                <c:pt idx="7">
                  <c:v>2629.4</c:v>
                </c:pt>
                <c:pt idx="8">
                  <c:v>2678.9</c:v>
                </c:pt>
                <c:pt idx="9">
                  <c:v>2715.4</c:v>
                </c:pt>
                <c:pt idx="10">
                  <c:v>2770</c:v>
                </c:pt>
                <c:pt idx="11">
                  <c:v>2830.8</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乘用车</c:v>
                </c:pt>
              </c:strCache>
            </c:strRef>
          </c:tx>
          <c:spPr>
            <a:solidFill>
              <a:srgbClr val="00206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应用!$B$2:$M$2</c:f>
              <c:numCache>
                <c:formatCode>#,##0_);[Red]\(#,##0\)</c:formatCode>
                <c:ptCount val="12"/>
                <c:pt idx="0">
                  <c:v>2382.3</c:v>
                </c:pt>
                <c:pt idx="1">
                  <c:v>2237</c:v>
                </c:pt>
                <c:pt idx="2">
                  <c:v>1874.1</c:v>
                </c:pt>
                <c:pt idx="3">
                  <c:v>1973.8</c:v>
                </c:pt>
                <c:pt idx="4">
                  <c:v>2155.4</c:v>
                </c:pt>
                <c:pt idx="5">
                  <c:v>2282.7</c:v>
                </c:pt>
                <c:pt idx="6">
                  <c:v>2336.4</c:v>
                </c:pt>
                <c:pt idx="7">
                  <c:v>2378.6</c:v>
                </c:pt>
                <c:pt idx="8">
                  <c:v>2426</c:v>
                </c:pt>
                <c:pt idx="9">
                  <c:v>2461.4</c:v>
                </c:pt>
                <c:pt idx="10">
                  <c:v>2510.1</c:v>
                </c:pt>
                <c:pt idx="11">
                  <c:v>2568.1</c:v>
                </c:pt>
              </c:numCache>
            </c:numRef>
          </c:val>
        </c:ser>
        <c:ser>
          <c:idx val="1"/>
          <c:order val="1"/>
          <c:tx>
            <c:strRef>
              <c:f>应用!$A$3</c:f>
              <c:strCache>
                <c:ptCount val="1"/>
                <c:pt idx="0">
                  <c:v>商用车</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应用!$B$3:$M$3</c:f>
              <c:numCache>
                <c:formatCode>#,##0_);[Red]\(#,##0\)</c:formatCode>
                <c:ptCount val="12"/>
                <c:pt idx="0">
                  <c:v>256.6</c:v>
                </c:pt>
                <c:pt idx="1">
                  <c:v>241.3</c:v>
                </c:pt>
                <c:pt idx="2">
                  <c:v>201.4</c:v>
                </c:pt>
                <c:pt idx="3">
                  <c:v>213.8</c:v>
                </c:pt>
                <c:pt idx="4">
                  <c:v>231.4</c:v>
                </c:pt>
                <c:pt idx="5">
                  <c:v>245.7</c:v>
                </c:pt>
                <c:pt idx="6">
                  <c:v>249.5</c:v>
                </c:pt>
                <c:pt idx="7">
                  <c:v>250.8</c:v>
                </c:pt>
                <c:pt idx="8">
                  <c:v>252.9</c:v>
                </c:pt>
                <c:pt idx="9">
                  <c:v>254</c:v>
                </c:pt>
                <c:pt idx="10">
                  <c:v>259.9</c:v>
                </c:pt>
                <c:pt idx="11">
                  <c:v>262.7</c:v>
                </c:pt>
              </c:numCache>
            </c:numRef>
          </c:val>
        </c:ser>
        <c:dLbls>
          <c:showLegendKey val="0"/>
          <c:showVal val="0"/>
          <c:showCatName val="0"/>
          <c:showSerName val="0"/>
          <c:showPercent val="0"/>
          <c:showBubbleSize val="0"/>
        </c:dLbls>
        <c:gapWidth val="25"/>
        <c:overlap val="100"/>
        <c:axId val="2101581920"/>
        <c:axId val="2101559456"/>
        <c:extLst>
          <c:ext xmlns:c15="http://schemas.microsoft.com/office/drawing/2012/chart" uri="{02D57815-91ED-43cb-92C2-25804820EDAC}">
            <c15:filteredBarSeries>
              <c15:ser>
                <c:idx val="2"/>
                <c:order val="2"/>
                <c:tx>
                  <c:strRef>
                    <c:extLst>
                      <c:ext uri="{02D57815-91ED-43cb-92C2-25804820EDAC}">
                        <c15:formulaRef>
                          <c15:sqref>应用!$A$4</c15:sqref>
                        </c15:formulaRef>
                      </c:ext>
                    </c:extLst>
                    <c:strCache>
                      <c:ptCount val="1"/>
                      <c:pt idx="0">
                        <c:v>Application 3</c:v>
                      </c:pt>
                    </c:strCache>
                  </c:strRef>
                </c:tx>
                <c:spPr>
                  <a:solidFill>
                    <a:schemeClr val="accent6">
                      <a:lumMod val="75000"/>
                    </a:schemeClr>
                  </a:solidFill>
                  <a:ln>
                    <a:noFill/>
                  </a:ln>
                  <a:effectLst/>
                </c:spPr>
                <c:invertIfNegative val="0"/>
                <c:dLbls>
                  <c:delete val="1"/>
                </c:dLbls>
                <c:cat>
                  <c:numRef>
                    <c:extLst>
                      <c:ext uri="{02D57815-91ED-43cb-92C2-25804820EDAC}">
                        <c15:fullRef>
                          <c15:sqref/>
                        </c15:fullRef>
                        <c15:formulaRef>
                          <c15:sqref>应用!$B$1:$M$1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应用!$B$4:$M$4</c15:sqref>
                        </c15:formulaRef>
                      </c:ext>
                    </c:extLst>
                    <c:numCache>
                      <c:formatCode>General</c:formatCode>
                      <c:ptCount val="12"/>
                    </c:numCache>
                  </c:numRef>
                </c:val>
              </c15:ser>
            </c15:filteredBarSeries>
            <c15:filteredBarSeries>
              <c15:ser>
                <c:idx val="3"/>
                <c:order val="3"/>
                <c:tx>
                  <c:strRef>
                    <c:extLst>
                      <c:ext uri="{02D57815-91ED-43cb-92C2-25804820EDAC}">
                        <c15:formulaRef>
                          <c15:sqref>应用!$A$5</c15:sqref>
                        </c15:formulaRef>
                      </c:ext>
                    </c:extLst>
                    <c:strCache>
                      <c:ptCount val="1"/>
                      <c:pt idx="0">
                        <c:v/>
                      </c:pt>
                    </c:strCache>
                  </c:strRef>
                </c:tx>
                <c:spPr>
                  <a:solidFill>
                    <a:schemeClr val="tx2">
                      <a:lumMod val="60000"/>
                      <a:lumOff val="40000"/>
                    </a:schemeClr>
                  </a:solidFill>
                  <a:ln>
                    <a:noFill/>
                  </a:ln>
                  <a:effectLst/>
                </c:spPr>
                <c:invertIfNegative val="0"/>
                <c:dLbls>
                  <c:delete val="1"/>
                </c:dLbls>
                <c:cat>
                  <c:numRef>
                    <c:extLst>
                      <c:ext uri="{02D57815-91ED-43cb-92C2-25804820EDAC}">
                        <c15:fullRef>
                          <c15:sqref/>
                        </c15:fullRef>
                        <c15:formulaRef>
                          <c15:sqref>应用!$B$1:$M$1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应用!$B$5:$M$5</c15:sqref>
                        </c15:formulaRef>
                      </c:ext>
                    </c:extLst>
                    <c:numCache>
                      <c:formatCode>General</c:formatCode>
                      <c:ptCount val="12"/>
                    </c:numCache>
                  </c:numRef>
                </c:val>
              </c15:ser>
            </c15:filteredBarSeries>
            <c15:filteredBarSeries>
              <c15:ser>
                <c:idx val="4"/>
                <c:order val="4"/>
                <c:tx>
                  <c:strRef>
                    <c:extLst>
                      <c:ext uri="{02D57815-91ED-43cb-92C2-25804820EDAC}">
                        <c15:formulaRef>
                          <c15:sqref>应用!$A$6</c15:sqref>
                        </c15:formulaRef>
                      </c:ext>
                    </c:extLst>
                    <c:strCache>
                      <c:ptCount val="1"/>
                      <c:pt idx="0">
                        <c:v/>
                      </c:pt>
                    </c:strCache>
                  </c:strRef>
                </c:tx>
                <c:spPr>
                  <a:solidFill>
                    <a:schemeClr val="accent1">
                      <a:lumMod val="75000"/>
                    </a:schemeClr>
                  </a:solidFill>
                  <a:ln>
                    <a:noFill/>
                  </a:ln>
                  <a:effectLst/>
                </c:spPr>
                <c:invertIfNegative val="0"/>
                <c:dLbls>
                  <c:delete val="1"/>
                </c:dLbls>
                <c:cat>
                  <c:numRef>
                    <c:extLst>
                      <c:ext uri="{02D57815-91ED-43cb-92C2-25804820EDAC}">
                        <c15:fullRef>
                          <c15:sqref/>
                        </c15:fullRef>
                        <c15:formulaRef>
                          <c15:sqref>应用!$B$1:$M$1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应用!$B$6:$M$6</c15:sqref>
                        </c15:formulaRef>
                      </c:ext>
                    </c:extLst>
                    <c:numCache>
                      <c:formatCode>General</c:formatCode>
                      <c:ptCount val="12"/>
                    </c:numCache>
                  </c:numRef>
                </c:val>
              </c15:ser>
            </c15:filteredBarSeries>
            <c15:filteredBarSeries>
              <c15:ser>
                <c:idx val="5"/>
                <c:order val="5"/>
                <c:tx>
                  <c:strRef>
                    <c:extLst>
                      <c:ext uri="{02D57815-91ED-43cb-92C2-25804820EDAC}">
                        <c15:formulaRef>
                          <c15:sqref>应用!$A$7</c15:sqref>
                        </c15:formulaRef>
                      </c:ext>
                    </c:extLst>
                    <c:strCache>
                      <c:ptCount val="1"/>
                      <c:pt idx="0">
                        <c:v/>
                      </c:pt>
                    </c:strCache>
                  </c:strRef>
                </c:tx>
                <c:spPr>
                  <a:solidFill>
                    <a:schemeClr val="accent4">
                      <a:lumMod val="60000"/>
                      <a:lumOff val="40000"/>
                    </a:schemeClr>
                  </a:solidFill>
                  <a:ln>
                    <a:noFill/>
                  </a:ln>
                  <a:effectLst/>
                </c:spPr>
                <c:invertIfNegative val="0"/>
                <c:dLbls>
                  <c:delete val="1"/>
                </c:dLbls>
                <c:cat>
                  <c:numRef>
                    <c:extLst>
                      <c:ext uri="{02D57815-91ED-43cb-92C2-25804820EDAC}">
                        <c15:fullRef>
                          <c15:sqref/>
                        </c15:fullRef>
                        <c15:formulaRef>
                          <c15:sqref>应用!$B$1:$M$1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应用!$B$7:$M$7</c15:sqref>
                        </c15:formulaRef>
                      </c:ext>
                    </c:extLst>
                    <c:numCache>
                      <c:formatCode>General</c:formatCode>
                      <c:ptCount val="12"/>
                    </c:numCache>
                  </c:numRef>
                </c:val>
              </c15:ser>
            </c15:filteredBarSeries>
            <c15:filteredBarSeries>
              <c15:ser>
                <c:idx val="6"/>
                <c:order val="6"/>
                <c:tx>
                  <c:strRef>
                    <c:extLst>
                      <c:ext uri="{02D57815-91ED-43cb-92C2-25804820EDAC}">
                        <c15:formulaRef>
                          <c15:sqref>应用!$A$8</c15:sqref>
                        </c15:formulaRef>
                      </c:ext>
                    </c:extLst>
                    <c:strCache>
                      <c:ptCount val="1"/>
                      <c:pt idx="0">
                        <c:v/>
                      </c:pt>
                    </c:strCache>
                  </c:strRef>
                </c:tx>
                <c:spPr>
                  <a:solidFill>
                    <a:schemeClr val="accent2">
                      <a:lumMod val="60000"/>
                      <a:lumOff val="40000"/>
                    </a:schemeClr>
                  </a:solidFill>
                  <a:ln>
                    <a:noFill/>
                  </a:ln>
                  <a:effectLst/>
                </c:spPr>
                <c:invertIfNegative val="0"/>
                <c:dLbls>
                  <c:delete val="1"/>
                </c:dLbls>
                <c:cat>
                  <c:numRef>
                    <c:extLst>
                      <c:ext uri="{02D57815-91ED-43cb-92C2-25804820EDAC}">
                        <c15:fullRef>
                          <c15:sqref/>
                        </c15:fullRef>
                        <c15:formulaRef>
                          <c15:sqref>应用!$B$1:$M$1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应用!$B$8:$M$8</c15:sqref>
                        </c15:formulaRef>
                      </c:ext>
                    </c:extLst>
                    <c:numCache>
                      <c:formatCode>General</c:formatCode>
                      <c:ptCount val="12"/>
                    </c:numCache>
                  </c:numRef>
                </c:val>
              </c15:ser>
            </c15:filteredBarSeries>
            <c15:filteredBarSeries>
              <c15:ser>
                <c:idx val="7"/>
                <c:order val="7"/>
                <c:tx>
                  <c:strRef>
                    <c:extLst>
                      <c:ext uri="{02D57815-91ED-43cb-92C2-25804820EDAC}">
                        <c15:formulaRef>
                          <c15:sqref>应用!$A$9</c15:sqref>
                        </c15:formulaRef>
                      </c:ext>
                    </c:extLst>
                    <c:strCache>
                      <c:ptCount val="1"/>
                      <c:pt idx="0">
                        <c:v/>
                      </c:pt>
                    </c:strCache>
                  </c:strRef>
                </c:tx>
                <c:spPr>
                  <a:solidFill>
                    <a:schemeClr val="bg2">
                      <a:lumMod val="50000"/>
                    </a:schemeClr>
                  </a:solidFill>
                  <a:ln>
                    <a:noFill/>
                  </a:ln>
                  <a:effectLst/>
                </c:spPr>
                <c:invertIfNegative val="0"/>
                <c:dLbls>
                  <c:delete val="1"/>
                </c:dLbls>
                <c:cat>
                  <c:numRef>
                    <c:extLst>
                      <c:ext uri="{02D57815-91ED-43cb-92C2-25804820EDAC}">
                        <c15:fullRef>
                          <c15:sqref/>
                        </c15:fullRef>
                        <c15:formulaRef>
                          <c15:sqref>应用!$B$1:$M$1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应用!$B$9:$M$9</c15:sqref>
                        </c15:formulaRef>
                      </c:ext>
                    </c:extLst>
                    <c:numCache>
                      <c:formatCode>General</c:formatCode>
                      <c:ptCount val="12"/>
                    </c:numCache>
                  </c:numRef>
                </c:val>
              </c15:ser>
            </c15:filteredBarSeries>
            <c15:filteredBarSeries>
              <c15:ser>
                <c:idx val="8"/>
                <c:order val="8"/>
                <c:tx>
                  <c:strRef>
                    <c:extLst>
                      <c:ext uri="{02D57815-91ED-43cb-92C2-25804820EDAC}">
                        <c15:formulaRef>
                          <c15:sqref>应用!$A$10</c15:sqref>
                        </c15:formulaRef>
                      </c:ext>
                    </c:extLst>
                    <c:strCache>
                      <c:ptCount val="1"/>
                      <c:pt idx="0">
                        <c:v/>
                      </c:pt>
                    </c:strCache>
                  </c:strRef>
                </c:tx>
                <c:spPr>
                  <a:solidFill>
                    <a:schemeClr val="accent5">
                      <a:lumMod val="60000"/>
                      <a:lumOff val="40000"/>
                    </a:schemeClr>
                  </a:solidFill>
                  <a:ln>
                    <a:noFill/>
                  </a:ln>
                  <a:effectLst/>
                </c:spPr>
                <c:invertIfNegative val="0"/>
                <c:dLbls>
                  <c:delete val="1"/>
                </c:dLbls>
                <c:cat>
                  <c:numRef>
                    <c:extLst>
                      <c:ext uri="{02D57815-91ED-43cb-92C2-25804820EDAC}">
                        <c15:fullRef>
                          <c15:sqref/>
                        </c15:fullRef>
                        <c15:formulaRef>
                          <c15:sqref>应用!$B$1:$M$1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应用!$B$10:$M$10</c15:sqref>
                        </c15:formulaRef>
                      </c:ext>
                    </c:extLst>
                    <c:numCache>
                      <c:formatCode>General</c:formatCode>
                      <c:ptCount val="12"/>
                    </c:numCache>
                  </c:numRef>
                </c:val>
              </c15:ser>
            </c15:filteredBarSeries>
          </c:ext>
        </c:extLst>
      </c:barChart>
      <c:lineChart>
        <c:grouping val="stacked"/>
        <c:varyColors val="0"/>
        <c:ser>
          <c:idx val="9"/>
          <c:order val="9"/>
          <c:tx>
            <c:strRef>
              <c:f>应用!$A$11</c:f>
              <c:strCache>
                <c:ptCount val="1"/>
                <c:pt idx="0">
                  <c:v>合计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应用!$B$11:$M$11</c:f>
              <c:numCache>
                <c:formatCode>#,##0_);[Red]\(#,##0\)</c:formatCode>
                <c:ptCount val="12"/>
                <c:pt idx="0">
                  <c:v>2638.9</c:v>
                </c:pt>
                <c:pt idx="1">
                  <c:v>2478.3</c:v>
                </c:pt>
                <c:pt idx="2">
                  <c:v>2075.5</c:v>
                </c:pt>
                <c:pt idx="3">
                  <c:v>2187.6</c:v>
                </c:pt>
                <c:pt idx="4">
                  <c:v>2386.8</c:v>
                </c:pt>
                <c:pt idx="5">
                  <c:v>2528.4</c:v>
                </c:pt>
                <c:pt idx="6">
                  <c:v>2585.9</c:v>
                </c:pt>
                <c:pt idx="7">
                  <c:v>2629.4</c:v>
                </c:pt>
                <c:pt idx="8">
                  <c:v>2678.9</c:v>
                </c:pt>
                <c:pt idx="9">
                  <c:v>2715.4</c:v>
                </c:pt>
                <c:pt idx="10">
                  <c:v>2770</c:v>
                </c:pt>
                <c:pt idx="11">
                  <c:v>2830.8</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percentStacked"/>
        <c:varyColors val="0"/>
        <c:ser>
          <c:idx val="0"/>
          <c:order val="0"/>
          <c:tx>
            <c:strRef>
              <c:f>'地区-生产'!$A$2</c:f>
              <c:strCache>
                <c:ptCount val="1"/>
                <c:pt idx="0">
                  <c:v>北美</c:v>
                </c:pt>
              </c:strCache>
            </c:strRef>
          </c:tx>
          <c:spPr>
            <a:solidFill>
              <a:srgbClr val="00206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'地区-生产'!$B$2:$M$2</c:f>
              <c:numCache>
                <c:formatCode>#,##0_);[Red]\(#,##0\)</c:formatCode>
                <c:ptCount val="12"/>
                <c:pt idx="0">
                  <c:v>54.41</c:v>
                </c:pt>
                <c:pt idx="1">
                  <c:v>51.42</c:v>
                </c:pt>
                <c:pt idx="2">
                  <c:v>41.64</c:v>
                </c:pt>
                <c:pt idx="3">
                  <c:v>41.59</c:v>
                </c:pt>
                <c:pt idx="4">
                  <c:v>45.48</c:v>
                </c:pt>
                <c:pt idx="5">
                  <c:v>50.94</c:v>
                </c:pt>
                <c:pt idx="6">
                  <c:v>51.57</c:v>
                </c:pt>
                <c:pt idx="7">
                  <c:v>52.06</c:v>
                </c:pt>
                <c:pt idx="8">
                  <c:v>52.66</c:v>
                </c:pt>
                <c:pt idx="9">
                  <c:v>53.18</c:v>
                </c:pt>
                <c:pt idx="10">
                  <c:v>53.85</c:v>
                </c:pt>
                <c:pt idx="11">
                  <c:v>54.42</c:v>
                </c:pt>
              </c:numCache>
            </c:numRef>
          </c:val>
        </c:ser>
        <c:ser>
          <c:idx val="1"/>
          <c:order val="1"/>
          <c:tx>
            <c:strRef>
              <c:f>'地区-生产'!$A$3</c:f>
              <c:strCache>
                <c:ptCount val="1"/>
                <c:pt idx="0">
                  <c:v>欧洲</c:v>
                </c:pt>
              </c:strCache>
            </c:strRef>
          </c:tx>
          <c:spPr>
            <a:solidFill>
              <a:schemeClr val="bg1">
                <a:lumMod val="5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'地区-生产'!$B$3:$M$3</c:f>
              <c:numCache>
                <c:formatCode>#,##0_);[Red]\(#,##0\)</c:formatCode>
                <c:ptCount val="12"/>
                <c:pt idx="0">
                  <c:v>70.74</c:v>
                </c:pt>
                <c:pt idx="1">
                  <c:v>65.58</c:v>
                </c:pt>
                <c:pt idx="2">
                  <c:v>52.42</c:v>
                </c:pt>
                <c:pt idx="3">
                  <c:v>50.88</c:v>
                </c:pt>
                <c:pt idx="4">
                  <c:v>48.17</c:v>
                </c:pt>
                <c:pt idx="5">
                  <c:v>54.07</c:v>
                </c:pt>
                <c:pt idx="6">
                  <c:v>55.32</c:v>
                </c:pt>
                <c:pt idx="7">
                  <c:v>56.43</c:v>
                </c:pt>
                <c:pt idx="8">
                  <c:v>57.71</c:v>
                </c:pt>
                <c:pt idx="9">
                  <c:v>58.9</c:v>
                </c:pt>
                <c:pt idx="10">
                  <c:v>60.32</c:v>
                </c:pt>
                <c:pt idx="11">
                  <c:v>61.56</c:v>
                </c:pt>
              </c:numCache>
            </c:numRef>
          </c:val>
        </c:ser>
        <c:ser>
          <c:idx val="2"/>
          <c:order val="2"/>
          <c:tx>
            <c:strRef>
              <c:f>'地区-生产'!$A$4</c:f>
              <c:strCache>
                <c:ptCount val="1"/>
                <c:pt idx="0">
                  <c:v>中国</c:v>
                </c:pt>
              </c:strCache>
            </c:strRef>
          </c:tx>
          <c:spPr>
            <a:solidFill>
              <a:srgbClr val="0070C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'地区-生产'!$B$4:$M$4</c:f>
              <c:numCache>
                <c:formatCode>#,##0_);[Red]\(#,##0\)</c:formatCode>
                <c:ptCount val="12"/>
                <c:pt idx="0">
                  <c:v>153.01</c:v>
                </c:pt>
                <c:pt idx="1">
                  <c:v>146.87</c:v>
                </c:pt>
                <c:pt idx="2">
                  <c:v>132.16</c:v>
                </c:pt>
                <c:pt idx="3">
                  <c:v>137.07</c:v>
                </c:pt>
                <c:pt idx="4">
                  <c:v>144.82</c:v>
                </c:pt>
                <c:pt idx="5">
                  <c:v>154.49</c:v>
                </c:pt>
                <c:pt idx="6">
                  <c:v>161.4</c:v>
                </c:pt>
                <c:pt idx="7">
                  <c:v>167.58</c:v>
                </c:pt>
                <c:pt idx="8">
                  <c:v>174.5</c:v>
                </c:pt>
                <c:pt idx="9">
                  <c:v>181.19</c:v>
                </c:pt>
                <c:pt idx="10">
                  <c:v>188.98</c:v>
                </c:pt>
                <c:pt idx="11">
                  <c:v>196.28</c:v>
                </c:pt>
              </c:numCache>
            </c:numRef>
          </c:val>
        </c:ser>
        <c:ser>
          <c:idx val="3"/>
          <c:order val="3"/>
          <c:tx>
            <c:strRef>
              <c:f>'地区-生产'!$A$5</c:f>
              <c:strCache>
                <c:ptCount val="1"/>
                <c:pt idx="0">
                  <c:v>日本</c:v>
                </c:pt>
              </c:strCache>
            </c:strRef>
          </c:tx>
          <c:spPr>
            <a:solidFill>
              <a:srgbClr val="FFC00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'地区-生产'!$B$5:$M$5</c:f>
              <c:numCache>
                <c:formatCode>#,##0_);[Red]\(#,##0\)</c:formatCode>
                <c:ptCount val="12"/>
                <c:pt idx="0">
                  <c:v>31.53</c:v>
                </c:pt>
                <c:pt idx="1">
                  <c:v>31.23</c:v>
                </c:pt>
                <c:pt idx="2">
                  <c:v>26.44</c:v>
                </c:pt>
                <c:pt idx="3">
                  <c:v>25.57</c:v>
                </c:pt>
                <c:pt idx="4">
                  <c:v>25.42</c:v>
                </c:pt>
                <c:pt idx="5">
                  <c:v>26.07</c:v>
                </c:pt>
                <c:pt idx="6">
                  <c:v>26.8</c:v>
                </c:pt>
                <c:pt idx="7">
                  <c:v>27</c:v>
                </c:pt>
                <c:pt idx="8">
                  <c:v>27.44</c:v>
                </c:pt>
                <c:pt idx="9">
                  <c:v>28.2</c:v>
                </c:pt>
                <c:pt idx="10">
                  <c:v>28.19</c:v>
                </c:pt>
                <c:pt idx="11">
                  <c:v>28.61</c:v>
                </c:pt>
              </c:numCache>
            </c:numRef>
          </c:val>
        </c:ser>
        <c:ser>
          <c:idx val="4"/>
          <c:order val="4"/>
          <c:tx>
            <c:strRef>
              <c:f>'地区-生产'!$A$6</c:f>
              <c:strCache>
                <c:ptCount val="1"/>
                <c:pt idx="0">
                  <c:v>东南亚</c:v>
                </c:pt>
              </c:strCache>
            </c:strRef>
          </c:tx>
          <c:spPr>
            <a:solidFill>
              <a:schemeClr val="tx1">
                <a:lumMod val="65000"/>
                <a:lumOff val="35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'地区-生产'!$B$6:$M$6</c:f>
              <c:numCache>
                <c:formatCode>#,##0_);[Red]\(#,##0\)</c:formatCode>
                <c:ptCount val="12"/>
                <c:pt idx="0">
                  <c:v>14.26</c:v>
                </c:pt>
                <c:pt idx="1">
                  <c:v>13.57</c:v>
                </c:pt>
                <c:pt idx="2">
                  <c:v>9.41</c:v>
                </c:pt>
                <c:pt idx="3">
                  <c:v>12.06</c:v>
                </c:pt>
                <c:pt idx="4">
                  <c:v>14.67</c:v>
                </c:pt>
                <c:pt idx="5">
                  <c:v>15.4</c:v>
                </c:pt>
                <c:pt idx="6">
                  <c:v>15.98</c:v>
                </c:pt>
                <c:pt idx="7">
                  <c:v>16.81</c:v>
                </c:pt>
                <c:pt idx="8">
                  <c:v>17.56</c:v>
                </c:pt>
                <c:pt idx="9">
                  <c:v>18.3</c:v>
                </c:pt>
                <c:pt idx="10">
                  <c:v>19.02</c:v>
                </c:pt>
                <c:pt idx="11">
                  <c:v>19.68</c:v>
                </c:pt>
              </c:numCache>
            </c:numRef>
          </c:val>
        </c:ser>
        <c:ser>
          <c:idx val="5"/>
          <c:order val="5"/>
          <c:tx>
            <c:strRef>
              <c:f>'地区-生产'!$A$7</c:f>
              <c:strCache>
                <c:ptCount val="1"/>
                <c:pt idx="0">
                  <c:v>印度</c:v>
                </c:pt>
              </c:strCache>
            </c:strRef>
          </c:tx>
          <c:spPr>
            <a:solidFill>
              <a:srgbClr val="C0000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'地区-生产'!$B$7:$M$7</c:f>
              <c:numCache>
                <c:formatCode>#,##0_);[Red]\(#,##0\)</c:formatCode>
                <c:ptCount val="12"/>
                <c:pt idx="0">
                  <c:v>17.84</c:v>
                </c:pt>
                <c:pt idx="1">
                  <c:v>15.2</c:v>
                </c:pt>
                <c:pt idx="2">
                  <c:v>11.6</c:v>
                </c:pt>
                <c:pt idx="3">
                  <c:v>15.02</c:v>
                </c:pt>
                <c:pt idx="4">
                  <c:v>18.58</c:v>
                </c:pt>
                <c:pt idx="5">
                  <c:v>20.5</c:v>
                </c:pt>
                <c:pt idx="6">
                  <c:v>21.45</c:v>
                </c:pt>
                <c:pt idx="7">
                  <c:v>22.39</c:v>
                </c:pt>
                <c:pt idx="8">
                  <c:v>23.36</c:v>
                </c:pt>
                <c:pt idx="9">
                  <c:v>24.22</c:v>
                </c:pt>
                <c:pt idx="10">
                  <c:v>25.33</c:v>
                </c:pt>
                <c:pt idx="11">
                  <c:v>26.35</c:v>
                </c:pt>
              </c:numCache>
            </c:numRef>
          </c:val>
        </c:ser>
        <c:ser>
          <c:idx val="6"/>
          <c:order val="6"/>
          <c:tx>
            <c:strRef>
              <c:f>'地区-生产'!$A$8</c:f>
              <c:strCache>
                <c:ptCount val="1"/>
                <c:pt idx="0">
                  <c:v>其他地区</c:v>
                </c:pt>
              </c:strCache>
            </c:strRef>
          </c:tx>
          <c:spPr>
            <a:solidFill>
              <a:srgbClr val="7030A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'地区-生产'!$B$8:$M$8</c:f>
              <c:numCache>
                <c:formatCode>#,##0_);[Red]\(#,##0\)</c:formatCode>
                <c:ptCount val="12"/>
                <c:pt idx="0">
                  <c:v>40.73</c:v>
                </c:pt>
                <c:pt idx="1">
                  <c:v>38.36</c:v>
                </c:pt>
                <c:pt idx="2">
                  <c:v>32.9</c:v>
                </c:pt>
                <c:pt idx="3">
                  <c:v>32.79</c:v>
                </c:pt>
                <c:pt idx="4">
                  <c:v>35.76</c:v>
                </c:pt>
                <c:pt idx="5">
                  <c:v>37.59</c:v>
                </c:pt>
                <c:pt idx="6">
                  <c:v>38.85</c:v>
                </c:pt>
                <c:pt idx="7">
                  <c:v>39.93</c:v>
                </c:pt>
                <c:pt idx="8">
                  <c:v>41.28</c:v>
                </c:pt>
                <c:pt idx="9">
                  <c:v>41.98</c:v>
                </c:pt>
                <c:pt idx="10">
                  <c:v>42.58</c:v>
                </c:pt>
                <c:pt idx="11">
                  <c:v>43.42</c:v>
                </c:pt>
              </c:numCache>
            </c:numRef>
          </c:val>
        </c:ser>
        <c:dLbls>
          <c:showLegendKey val="0"/>
          <c:showVal val="0"/>
          <c:showCatName val="0"/>
          <c:showSerName val="0"/>
          <c:showPercent val="0"/>
          <c:showBubbleSize val="0"/>
        </c:dLbls>
        <c:gapWidth val="45"/>
        <c:overlap val="100"/>
        <c:axId val="1897692240"/>
        <c:axId val="1897707216"/>
        <c:extLst>
          <c:ext xmlns:c15="http://schemas.microsoft.com/office/drawing/2012/chart" uri="{02D57815-91ED-43cb-92C2-25804820EDAC}">
            <c15:filteredBarSeries>
              <c15:ser>
                <c:idx val="7"/>
                <c:order val="7"/>
                <c:tx>
                  <c:strRef>
                    <c:extLst>
                      <c:ext uri="{02D57815-91ED-43cb-92C2-25804820EDAC}">
                        <c15:formulaRef>
                          <c15:sqref>'地区-生产'!$A$9</c15:sqref>
                        </c15:formulaRef>
                      </c:ext>
                    </c:extLst>
                    <c:strCache>
                      <c:ptCount val="1"/>
                      <c:pt idx="0">
                        <c:v/>
                      </c:pt>
                    </c:strCache>
                  </c:strRef>
                </c:tx>
                <c:spPr>
                  <a:solidFill>
                    <a:schemeClr val="tx2">
                      <a:lumMod val="60000"/>
                      <a:lumOff val="40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'地区-生产'!$B$9:$M$9</c15:sqref>
                        </c15:formulaRef>
                      </c:ext>
                    </c:extLst>
                    <c:numCache>
                      <c:formatCode>General</c:formatCode>
                      <c:ptCount val="12"/>
                    </c:numCache>
                  </c:numRef>
                </c:val>
              </c15:ser>
            </c15:filteredBarSeries>
            <c15:filteredBarSeries>
              <c15:ser>
                <c:idx val="8"/>
                <c:order val="8"/>
                <c:tx>
                  <c:strRef>
                    <c:extLst>
                      <c:ext uri="{02D57815-91ED-43cb-92C2-25804820EDAC}">
                        <c15:formulaRef>
                          <c15:sqref>'地区-生产'!$A$10</c15:sqref>
                        </c15:formulaRef>
                      </c:ext>
                    </c:extLst>
                    <c:strCache>
                      <c:ptCount val="1"/>
                      <c:pt idx="0">
                        <c:v/>
                      </c:pt>
                    </c:strCache>
                  </c:strRef>
                </c:tx>
                <c:spPr>
                  <a:solidFill>
                    <a:schemeClr val="accent6">
                      <a:lumMod val="75000"/>
                    </a:schemeClr>
                  </a:solidFill>
                  <a:ln>
                    <a:noFill/>
                  </a:ln>
                  <a:effectLst/>
                </c:spPr>
                <c:invertIfNegative val="0"/>
                <c:dLbls>
                  <c:delete val="1"/>
                </c:dLbls>
                <c:cat>
                  <c:numRef>
                    <c:extLst>
                      <c:ext uri="{02D57815-91ED-43cb-92C2-25804820EDAC}">
                        <c15:fullRef>
                          <c15:sqref/>
                        </c15:fullRef>
                        <c15:formulaRef>
                          <c15:sqref>'地区-生产'!$B$1:$M$1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'地区-生产'!$B$10:$M$10</c15:sqref>
                        </c15:formulaRef>
                      </c:ext>
                    </c:extLst>
                    <c:numCache>
                      <c:formatCode>General</c:formatCode>
                      <c:ptCount val="12"/>
                    </c:numCache>
                  </c:numRef>
                </c:val>
              </c15:ser>
            </c15:filteredBarSeries>
          </c:ext>
        </c:extLst>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'地区-生产'!$AF$1</c:f>
              <c:strCache>
                <c:ptCount val="1"/>
                <c:pt idx="0">
                  <c:v>2022</c:v>
                </c:pt>
              </c:strCache>
            </c:strRef>
          </c:tx>
          <c:spPr>
            <a:solidFill>
              <a:srgbClr val="FFC000"/>
            </a:solidFill>
            <a:ln>
              <a:noFill/>
            </a:ln>
            <a:effectLst/>
          </c:spPr>
          <c:invertIfNegative val="0"/>
          <c:dLbls>
            <c:delete val="1"/>
          </c:dLbls>
          <c:cat>
            <c:strRef>
              <c:f>'地区-生产'!$AD$2:$AD$8</c:f>
              <c:strCache>
                <c:ptCount val="7"/>
                <c:pt idx="0">
                  <c:v>北美</c:v>
                </c:pt>
                <c:pt idx="1">
                  <c:v>欧洲</c:v>
                </c:pt>
                <c:pt idx="2">
                  <c:v>中国</c:v>
                </c:pt>
                <c:pt idx="3">
                  <c:v>日本</c:v>
                </c:pt>
                <c:pt idx="4">
                  <c:v>东南亚</c:v>
                </c:pt>
                <c:pt idx="5">
                  <c:v>印度</c:v>
                </c:pt>
                <c:pt idx="6">
                  <c:v>其他地区</c:v>
                </c:pt>
              </c:strCache>
            </c:strRef>
          </c:cat>
          <c:val>
            <c:numRef>
              <c:f>'地区-生产'!$AF$2:$AF$8</c:f>
              <c:numCache>
                <c:formatCode>#,##0_);[Red]\(#,##0\)</c:formatCode>
                <c:ptCount val="7"/>
                <c:pt idx="0">
                  <c:v>45.48</c:v>
                </c:pt>
                <c:pt idx="1">
                  <c:v>48.17</c:v>
                </c:pt>
                <c:pt idx="2">
                  <c:v>144.82</c:v>
                </c:pt>
                <c:pt idx="3">
                  <c:v>25.42</c:v>
                </c:pt>
                <c:pt idx="4">
                  <c:v>14.67</c:v>
                </c:pt>
                <c:pt idx="5">
                  <c:v>18.58</c:v>
                </c:pt>
                <c:pt idx="6">
                  <c:v>35.76</c:v>
                </c:pt>
              </c:numCache>
            </c:numRef>
          </c:val>
        </c:ser>
        <c:ser>
          <c:idx val="1"/>
          <c:order val="1"/>
          <c:tx>
            <c:strRef>
              <c:f>'地区-生产'!$AG$1</c:f>
              <c:strCache>
                <c:ptCount val="1"/>
                <c:pt idx="0">
                  <c:v>2029</c:v>
                </c:pt>
              </c:strCache>
            </c:strRef>
          </c:tx>
          <c:spPr>
            <a:solidFill>
              <a:schemeClr val="bg1">
                <a:lumMod val="50000"/>
              </a:schemeClr>
            </a:solidFill>
            <a:ln>
              <a:noFill/>
            </a:ln>
            <a:effectLst/>
          </c:spPr>
          <c:invertIfNegative val="0"/>
          <c:dLbls>
            <c:delete val="1"/>
          </c:dLbls>
          <c:cat>
            <c:strRef>
              <c:f>'地区-生产'!$AD$2:$AD$8</c:f>
              <c:strCache>
                <c:ptCount val="7"/>
                <c:pt idx="0">
                  <c:v>北美</c:v>
                </c:pt>
                <c:pt idx="1">
                  <c:v>欧洲</c:v>
                </c:pt>
                <c:pt idx="2">
                  <c:v>中国</c:v>
                </c:pt>
                <c:pt idx="3">
                  <c:v>日本</c:v>
                </c:pt>
                <c:pt idx="4">
                  <c:v>东南亚</c:v>
                </c:pt>
                <c:pt idx="5">
                  <c:v>印度</c:v>
                </c:pt>
                <c:pt idx="6">
                  <c:v>其他地区</c:v>
                </c:pt>
              </c:strCache>
            </c:strRef>
          </c:cat>
          <c:val>
            <c:numRef>
              <c:f>'地区-生产'!$AG$2:$AG$8</c:f>
              <c:numCache>
                <c:formatCode>#,##0_);[Red]\(#,##0\)</c:formatCode>
                <c:ptCount val="7"/>
                <c:pt idx="0">
                  <c:v>54.42</c:v>
                </c:pt>
                <c:pt idx="1">
                  <c:v>61.56</c:v>
                </c:pt>
                <c:pt idx="2">
                  <c:v>196.28</c:v>
                </c:pt>
                <c:pt idx="3">
                  <c:v>28.61</c:v>
                </c:pt>
                <c:pt idx="4">
                  <c:v>19.68</c:v>
                </c:pt>
                <c:pt idx="5">
                  <c:v>26.35</c:v>
                </c:pt>
                <c:pt idx="6">
                  <c:v>43.42</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percentStacked"/>
        <c:varyColors val="0"/>
        <c:ser>
          <c:idx val="0"/>
          <c:order val="0"/>
          <c:tx>
            <c:strRef>
              <c:f>'地区-消费'!$A$2</c:f>
              <c:strCache>
                <c:ptCount val="1"/>
                <c:pt idx="0">
                  <c:v>北美</c:v>
                </c:pt>
              </c:strCache>
            </c:strRef>
          </c:tx>
          <c:spPr>
            <a:solidFill>
              <a:srgbClr val="00206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'地区-消费'!$B$2:$M$2</c:f>
              <c:numCache>
                <c:formatCode>#,##0_);[Red]\(#,##0\)</c:formatCode>
                <c:ptCount val="12"/>
                <c:pt idx="0">
                  <c:v>462.1</c:v>
                </c:pt>
                <c:pt idx="1">
                  <c:v>434.1</c:v>
                </c:pt>
                <c:pt idx="2">
                  <c:v>350</c:v>
                </c:pt>
                <c:pt idx="3">
                  <c:v>361.7</c:v>
                </c:pt>
                <c:pt idx="4">
                  <c:v>413.1</c:v>
                </c:pt>
                <c:pt idx="5">
                  <c:v>455.1</c:v>
                </c:pt>
                <c:pt idx="6">
                  <c:v>458.1</c:v>
                </c:pt>
                <c:pt idx="7">
                  <c:v>458.6</c:v>
                </c:pt>
                <c:pt idx="8">
                  <c:v>456.8</c:v>
                </c:pt>
                <c:pt idx="9">
                  <c:v>454.8</c:v>
                </c:pt>
                <c:pt idx="10">
                  <c:v>460.2</c:v>
                </c:pt>
                <c:pt idx="11">
                  <c:v>464.8</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'地区-消费'!$B$3:$M$3</c:f>
              <c:numCache>
                <c:formatCode>#,##0_);[Red]\(#,##0\)</c:formatCode>
                <c:ptCount val="12"/>
                <c:pt idx="0">
                  <c:v>583.8</c:v>
                </c:pt>
                <c:pt idx="1">
                  <c:v>538.8</c:v>
                </c:pt>
                <c:pt idx="2">
                  <c:v>426.6</c:v>
                </c:pt>
                <c:pt idx="3">
                  <c:v>428.8</c:v>
                </c:pt>
                <c:pt idx="4">
                  <c:v>422.4</c:v>
                </c:pt>
                <c:pt idx="5">
                  <c:v>466.6</c:v>
                </c:pt>
                <c:pt idx="6">
                  <c:v>475.3</c:v>
                </c:pt>
                <c:pt idx="7">
                  <c:v>480.5</c:v>
                </c:pt>
                <c:pt idx="8">
                  <c:v>487</c:v>
                </c:pt>
                <c:pt idx="9">
                  <c:v>491</c:v>
                </c:pt>
                <c:pt idx="10">
                  <c:v>500.4</c:v>
                </c:pt>
                <c:pt idx="11">
                  <c:v>508.1</c:v>
                </c:pt>
              </c:numCache>
            </c:numRef>
          </c:val>
        </c:ser>
        <c:ser>
          <c:idx val="2"/>
          <c:order val="2"/>
          <c:tx>
            <c:strRef>
              <c:f>'地区-消费'!$A$4</c:f>
              <c:strCache>
                <c:ptCount val="1"/>
                <c:pt idx="0">
                  <c:v>中国</c:v>
                </c:pt>
              </c:strCache>
            </c:strRef>
          </c:tx>
          <c:spPr>
            <a:solidFill>
              <a:srgbClr val="0070C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'地区-消费'!$B$4:$M$4</c:f>
              <c:numCache>
                <c:formatCode>#,##0_);[Red]\(#,##0\)</c:formatCode>
                <c:ptCount val="12"/>
                <c:pt idx="0">
                  <c:v>809.9</c:v>
                </c:pt>
                <c:pt idx="1">
                  <c:v>770</c:v>
                </c:pt>
                <c:pt idx="2">
                  <c:v>702.3</c:v>
                </c:pt>
                <c:pt idx="3">
                  <c:v>743.7</c:v>
                </c:pt>
                <c:pt idx="4">
                  <c:v>802.9</c:v>
                </c:pt>
                <c:pt idx="5">
                  <c:v>833</c:v>
                </c:pt>
                <c:pt idx="6">
                  <c:v>861.7</c:v>
                </c:pt>
                <c:pt idx="7">
                  <c:v>884.5</c:v>
                </c:pt>
                <c:pt idx="8">
                  <c:v>913.5</c:v>
                </c:pt>
                <c:pt idx="9">
                  <c:v>937.7</c:v>
                </c:pt>
                <c:pt idx="10">
                  <c:v>968.1</c:v>
                </c:pt>
                <c:pt idx="11">
                  <c:v>1000.7</c:v>
                </c:pt>
              </c:numCache>
            </c:numRef>
          </c:val>
        </c:ser>
        <c:ser>
          <c:idx val="3"/>
          <c:order val="3"/>
          <c:tx>
            <c:strRef>
              <c:f>'地区-消费'!$A$5</c:f>
              <c:strCache>
                <c:ptCount val="1"/>
                <c:pt idx="0">
                  <c:v>日本</c:v>
                </c:pt>
              </c:strCache>
            </c:strRef>
          </c:tx>
          <c:spPr>
            <a:solidFill>
              <a:srgbClr val="FFC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'地区-消费'!$B$5:$M$5</c:f>
              <c:numCache>
                <c:formatCode>#,##0_);[Red]\(#,##0\)</c:formatCode>
                <c:ptCount val="12"/>
                <c:pt idx="0">
                  <c:v>255.5</c:v>
                </c:pt>
                <c:pt idx="1">
                  <c:v>251.6</c:v>
                </c:pt>
                <c:pt idx="2">
                  <c:v>211.5</c:v>
                </c:pt>
                <c:pt idx="3">
                  <c:v>210.7</c:v>
                </c:pt>
                <c:pt idx="4">
                  <c:v>218</c:v>
                </c:pt>
                <c:pt idx="5">
                  <c:v>220.2</c:v>
                </c:pt>
                <c:pt idx="6">
                  <c:v>223.4</c:v>
                </c:pt>
                <c:pt idx="7">
                  <c:v>222.4</c:v>
                </c:pt>
                <c:pt idx="8">
                  <c:v>222.5</c:v>
                </c:pt>
                <c:pt idx="9">
                  <c:v>224.9</c:v>
                </c:pt>
                <c:pt idx="10">
                  <c:v>223.6</c:v>
                </c:pt>
                <c:pt idx="11">
                  <c:v>225.9</c:v>
                </c:pt>
              </c:numCache>
            </c:numRef>
          </c:val>
        </c:ser>
        <c:ser>
          <c:idx val="4"/>
          <c:order val="4"/>
          <c:tx>
            <c:strRef>
              <c:f>'地区-消费'!$A$6</c:f>
              <c:strCache>
                <c:ptCount val="1"/>
                <c:pt idx="0">
                  <c:v>东南亚</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'地区-消费'!$B$6:$M$6</c:f>
              <c:numCache>
                <c:formatCode>#,##0_);[Red]\(#,##0\)</c:formatCode>
                <c:ptCount val="12"/>
                <c:pt idx="0">
                  <c:v>106.9</c:v>
                </c:pt>
                <c:pt idx="1">
                  <c:v>101.3</c:v>
                </c:pt>
                <c:pt idx="2">
                  <c:v>69.8</c:v>
                </c:pt>
                <c:pt idx="3">
                  <c:v>92.7</c:v>
                </c:pt>
                <c:pt idx="4">
                  <c:v>117.3</c:v>
                </c:pt>
                <c:pt idx="5">
                  <c:v>119.8</c:v>
                </c:pt>
                <c:pt idx="6">
                  <c:v>121.7</c:v>
                </c:pt>
                <c:pt idx="7">
                  <c:v>126.4</c:v>
                </c:pt>
                <c:pt idx="8">
                  <c:v>129.8</c:v>
                </c:pt>
                <c:pt idx="9">
                  <c:v>133.6</c:v>
                </c:pt>
                <c:pt idx="10">
                  <c:v>136.9</c:v>
                </c:pt>
                <c:pt idx="11">
                  <c:v>140.4</c:v>
                </c:pt>
              </c:numCache>
            </c:numRef>
          </c:val>
        </c:ser>
        <c:ser>
          <c:idx val="5"/>
          <c:order val="5"/>
          <c:tx>
            <c:strRef>
              <c:f>'地区-消费'!$A$7</c:f>
              <c:strCache>
                <c:ptCount val="1"/>
                <c:pt idx="0">
                  <c:v>印度</c:v>
                </c:pt>
              </c:strCache>
            </c:strRef>
          </c:tx>
          <c:spPr>
            <a:solidFill>
              <a:srgbClr val="C00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'地区-消费'!$B$7:$M$7</c:f>
              <c:numCache>
                <c:formatCode>#,##0_);[Red]\(#,##0\)</c:formatCode>
                <c:ptCount val="12"/>
                <c:pt idx="0">
                  <c:v>127.1</c:v>
                </c:pt>
                <c:pt idx="1">
                  <c:v>107.7</c:v>
                </c:pt>
                <c:pt idx="2">
                  <c:v>81.9</c:v>
                </c:pt>
                <c:pt idx="3">
                  <c:v>109.2</c:v>
                </c:pt>
                <c:pt idx="4">
                  <c:v>140.3</c:v>
                </c:pt>
                <c:pt idx="5">
                  <c:v>151.7</c:v>
                </c:pt>
                <c:pt idx="6">
                  <c:v>156.1</c:v>
                </c:pt>
                <c:pt idx="7">
                  <c:v>160.9</c:v>
                </c:pt>
                <c:pt idx="8">
                  <c:v>166.1</c:v>
                </c:pt>
                <c:pt idx="9">
                  <c:v>170.1</c:v>
                </c:pt>
                <c:pt idx="10">
                  <c:v>176.3</c:v>
                </c:pt>
                <c:pt idx="11">
                  <c:v>181.3</c:v>
                </c:pt>
              </c:numCache>
            </c:numRef>
          </c:val>
        </c:ser>
        <c:ser>
          <c:idx val="6"/>
          <c:order val="6"/>
          <c:tx>
            <c:strRef>
              <c:f>'地区-消费'!$A$8</c:f>
              <c:strCache>
                <c:ptCount val="1"/>
                <c:pt idx="0">
                  <c:v>其他地区</c:v>
                </c:pt>
              </c:strCache>
            </c:strRef>
          </c:tx>
          <c:spPr>
            <a:solidFill>
              <a:srgbClr val="7030A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'地区-消费'!$B$8:$M$8</c:f>
              <c:numCache>
                <c:formatCode>#,##0_);[Red]\(#,##0\)</c:formatCode>
                <c:ptCount val="12"/>
                <c:pt idx="0">
                  <c:v>293.6</c:v>
                </c:pt>
                <c:pt idx="1">
                  <c:v>274.8</c:v>
                </c:pt>
                <c:pt idx="2">
                  <c:v>233.4</c:v>
                </c:pt>
                <c:pt idx="3">
                  <c:v>240.8</c:v>
                </c:pt>
                <c:pt idx="4">
                  <c:v>272.8</c:v>
                </c:pt>
                <c:pt idx="5">
                  <c:v>282</c:v>
                </c:pt>
                <c:pt idx="6">
                  <c:v>289.6</c:v>
                </c:pt>
                <c:pt idx="7">
                  <c:v>296.1</c:v>
                </c:pt>
                <c:pt idx="8">
                  <c:v>303.2</c:v>
                </c:pt>
                <c:pt idx="9">
                  <c:v>303.3</c:v>
                </c:pt>
                <c:pt idx="10">
                  <c:v>304.5</c:v>
                </c:pt>
                <c:pt idx="11">
                  <c:v>309.6</c:v>
                </c:pt>
              </c:numCache>
            </c:numRef>
          </c:val>
        </c:ser>
        <c:dLbls>
          <c:showLegendKey val="0"/>
          <c:showVal val="0"/>
          <c:showCatName val="0"/>
          <c:showSerName val="0"/>
          <c:showPercent val="0"/>
          <c:showBubbleSize val="0"/>
        </c:dLbls>
        <c:gapWidth val="45"/>
        <c:overlap val="100"/>
        <c:axId val="1897692240"/>
        <c:axId val="1897707216"/>
        <c:extLst>
          <c:ext xmlns:c15="http://schemas.microsoft.com/office/drawing/2012/chart" uri="{02D57815-91ED-43cb-92C2-25804820EDAC}">
            <c15:filteredBarSeries>
              <c15:ser>
                <c:idx val="7"/>
                <c:order val="7"/>
                <c:tx>
                  <c:strRef>
                    <c:extLst>
                      <c:ext uri="{02D57815-91ED-43cb-92C2-25804820EDAC}">
                        <c15:formulaRef>
                          <c15:sqref>'地区-消费'!$A$9</c15:sqref>
                        </c15:formulaRef>
                      </c:ext>
                    </c:extLst>
                    <c:strCache>
                      <c:ptCount val="1"/>
                      <c:pt idx="0">
                        <c:v/>
                      </c:pt>
                    </c:strCache>
                  </c:strRef>
                </c:tx>
                <c:spPr>
                  <a:solidFill>
                    <a:schemeClr val="tx2">
                      <a:lumMod val="60000"/>
                      <a:lumOff val="40000"/>
                    </a:schemeClr>
                  </a:solidFill>
                  <a:ln>
                    <a:noFill/>
                  </a:ln>
                  <a:effectLst/>
                </c:spPr>
                <c:invertIfNegative val="0"/>
                <c:dLbls>
                  <c:delete val="1"/>
                </c:dLbls>
                <c:cat>
                  <c:numRef>
                    <c:extLst>
                      <c:ext uri="{02D57815-91ED-43cb-92C2-25804820EDAC}">
                        <c15:fullRef>
                          <c15:sqref/>
                        </c15:fullRef>
                        <c15:formulaRef>
                          <c15:sqref>'地区-消费'!$B$1:$M$1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'地区-消费'!$B$9:$M$9</c15:sqref>
                        </c15:formulaRef>
                      </c:ext>
                    </c:extLst>
                    <c:numCache>
                      <c:formatCode>General</c:formatCode>
                      <c:ptCount val="12"/>
                    </c:numCache>
                  </c:numRef>
                </c:val>
              </c15:ser>
            </c15:filteredBarSeries>
            <c15:filteredBarSeries>
              <c15:ser>
                <c:idx val="8"/>
                <c:order val="8"/>
                <c:tx>
                  <c:strRef>
                    <c:extLst>
                      <c:ext uri="{02D57815-91ED-43cb-92C2-25804820EDAC}">
                        <c15:formulaRef>
                          <c15:sqref>'地区-消费'!$A$10</c15:sqref>
                        </c15:formulaRef>
                      </c:ext>
                    </c:extLst>
                    <c:strCache>
                      <c:ptCount val="1"/>
                      <c:pt idx="0">
                        <c:v/>
                      </c:pt>
                    </c:strCache>
                  </c:strRef>
                </c:tx>
                <c:spPr>
                  <a:solidFill>
                    <a:schemeClr val="accent6">
                      <a:lumMod val="75000"/>
                    </a:schemeClr>
                  </a:solidFill>
                  <a:ln>
                    <a:noFill/>
                  </a:ln>
                  <a:effectLst/>
                </c:spPr>
                <c:invertIfNegative val="0"/>
                <c:dLbls>
                  <c:delete val="1"/>
                </c:dLbls>
                <c:cat>
                  <c:numRef>
                    <c:extLst>
                      <c:ext uri="{02D57815-91ED-43cb-92C2-25804820EDAC}">
                        <c15:fullRef>
                          <c15:sqref/>
                        </c15:fullRef>
                        <c15:formulaRef>
                          <c15:sqref>'地区-消费'!$B$1:$M$1</c15:sqref>
                        </c15:formulaRef>
                      </c:ext>
                    </c:extLst>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extLst>
                      <c:ext uri="{02D57815-91ED-43cb-92C2-25804820EDAC}">
                        <c15:formulaRef>
                          <c15:sqref>'地区-消费'!$B$10:$M$10</c15:sqref>
                        </c15:formulaRef>
                      </c:ext>
                    </c:extLst>
                    <c:numCache>
                      <c:formatCode>General</c:formatCode>
                      <c:ptCount val="12"/>
                    </c:numCache>
                  </c:numRef>
                </c:val>
              </c15:ser>
            </c15:filteredBarSeries>
          </c:ext>
        </c:extLst>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'地区-消费'!$AE$1</c:f>
              <c:strCache>
                <c:ptCount val="1"/>
                <c:pt idx="0">
                  <c:v>2018</c:v>
                </c:pt>
              </c:strCache>
            </c:strRef>
          </c:tx>
          <c:spPr>
            <a:solidFill>
              <a:srgbClr val="FFC000"/>
            </a:solidFill>
            <a:ln>
              <a:noFill/>
            </a:ln>
            <a:effectLst/>
          </c:spPr>
          <c:invertIfNegative val="0"/>
          <c:dLbls>
            <c:delete val="1"/>
          </c:dLbls>
          <c:cat>
            <c:strRef>
              <c:f>'地区-消费'!$AD$2:$AD$8</c:f>
              <c:strCache>
                <c:ptCount val="7"/>
                <c:pt idx="0">
                  <c:v>北美</c:v>
                </c:pt>
                <c:pt idx="1">
                  <c:v>欧洲</c:v>
                </c:pt>
                <c:pt idx="2">
                  <c:v>中国</c:v>
                </c:pt>
                <c:pt idx="3">
                  <c:v>日本</c:v>
                </c:pt>
                <c:pt idx="4">
                  <c:v>东南亚</c:v>
                </c:pt>
                <c:pt idx="5">
                  <c:v>印度</c:v>
                </c:pt>
                <c:pt idx="6">
                  <c:v>其他地区</c:v>
                </c:pt>
              </c:strCache>
            </c:strRef>
          </c:cat>
          <c:val>
            <c:numRef>
              <c:f>'地区-消费'!$AE$2:$AE$8</c:f>
              <c:numCache>
                <c:formatCode>#,##0_);[Red]\(#,##0\)</c:formatCode>
                <c:ptCount val="7"/>
                <c:pt idx="0">
                  <c:v>462.1</c:v>
                </c:pt>
                <c:pt idx="1">
                  <c:v>583.8</c:v>
                </c:pt>
                <c:pt idx="2">
                  <c:v>809.9</c:v>
                </c:pt>
                <c:pt idx="3">
                  <c:v>255.5</c:v>
                </c:pt>
                <c:pt idx="4">
                  <c:v>106.9</c:v>
                </c:pt>
                <c:pt idx="5">
                  <c:v>127.1</c:v>
                </c:pt>
                <c:pt idx="6">
                  <c:v>293.6</c:v>
                </c:pt>
              </c:numCache>
            </c:numRef>
          </c:val>
        </c:ser>
        <c:ser>
          <c:idx val="1"/>
          <c:order val="1"/>
          <c:tx>
            <c:strRef>
              <c:f>'地区-消费'!$AF$1</c:f>
              <c:strCache>
                <c:ptCount val="1"/>
                <c:pt idx="0">
                  <c:v>2022</c:v>
                </c:pt>
              </c:strCache>
            </c:strRef>
          </c:tx>
          <c:spPr>
            <a:solidFill>
              <a:schemeClr val="bg1">
                <a:lumMod val="50000"/>
              </a:schemeClr>
            </a:solidFill>
            <a:ln>
              <a:noFill/>
            </a:ln>
            <a:effectLst/>
          </c:spPr>
          <c:invertIfNegative val="0"/>
          <c:dLbls>
            <c:delete val="1"/>
          </c:dLbls>
          <c:cat>
            <c:strRef>
              <c:f>'地区-消费'!$AD$2:$AD$8</c:f>
              <c:strCache>
                <c:ptCount val="7"/>
                <c:pt idx="0">
                  <c:v>北美</c:v>
                </c:pt>
                <c:pt idx="1">
                  <c:v>欧洲</c:v>
                </c:pt>
                <c:pt idx="2">
                  <c:v>中国</c:v>
                </c:pt>
                <c:pt idx="3">
                  <c:v>日本</c:v>
                </c:pt>
                <c:pt idx="4">
                  <c:v>东南亚</c:v>
                </c:pt>
                <c:pt idx="5">
                  <c:v>印度</c:v>
                </c:pt>
                <c:pt idx="6">
                  <c:v>其他地区</c:v>
                </c:pt>
              </c:strCache>
            </c:strRef>
          </c:cat>
          <c:val>
            <c:numRef>
              <c:f>'地区-消费'!$AF$2:$AF$8</c:f>
              <c:numCache>
                <c:formatCode>#,##0_);[Red]\(#,##0\)</c:formatCode>
                <c:ptCount val="7"/>
                <c:pt idx="0">
                  <c:v>413.1</c:v>
                </c:pt>
                <c:pt idx="1">
                  <c:v>422.4</c:v>
                </c:pt>
                <c:pt idx="2">
                  <c:v>802.9</c:v>
                </c:pt>
                <c:pt idx="3">
                  <c:v>218</c:v>
                </c:pt>
                <c:pt idx="4">
                  <c:v>117.3</c:v>
                </c:pt>
                <c:pt idx="5">
                  <c:v>140.3</c:v>
                </c:pt>
                <c:pt idx="6">
                  <c:v>272.8</c:v>
                </c:pt>
              </c:numCache>
            </c:numRef>
          </c:val>
        </c:ser>
        <c:ser>
          <c:idx val="2"/>
          <c:order val="2"/>
          <c:tx>
            <c:strRef>
              <c:f>'地区-消费'!$AG$1</c:f>
              <c:strCache>
                <c:ptCount val="1"/>
                <c:pt idx="0">
                  <c:v>2029</c:v>
                </c:pt>
              </c:strCache>
            </c:strRef>
          </c:tx>
          <c:spPr>
            <a:solidFill>
              <a:srgbClr val="002060"/>
            </a:solidFill>
            <a:ln>
              <a:noFill/>
            </a:ln>
            <a:effectLst/>
          </c:spPr>
          <c:invertIfNegative val="0"/>
          <c:dLbls>
            <c:delete val="1"/>
          </c:dLbls>
          <c:cat>
            <c:strRef>
              <c:f>'地区-消费'!$AD$2:$AD$8</c:f>
              <c:strCache>
                <c:ptCount val="7"/>
                <c:pt idx="0">
                  <c:v>北美</c:v>
                </c:pt>
                <c:pt idx="1">
                  <c:v>欧洲</c:v>
                </c:pt>
                <c:pt idx="2">
                  <c:v>中国</c:v>
                </c:pt>
                <c:pt idx="3">
                  <c:v>日本</c:v>
                </c:pt>
                <c:pt idx="4">
                  <c:v>东南亚</c:v>
                </c:pt>
                <c:pt idx="5">
                  <c:v>印度</c:v>
                </c:pt>
                <c:pt idx="6">
                  <c:v>其他地区</c:v>
                </c:pt>
              </c:strCache>
            </c:strRef>
          </c:cat>
          <c:val>
            <c:numRef>
              <c:f>'地区-消费'!$AG$2:$AG$8</c:f>
              <c:numCache>
                <c:formatCode>#,##0_);[Red]\(#,##0\)</c:formatCode>
                <c:ptCount val="7"/>
                <c:pt idx="0">
                  <c:v>464.8</c:v>
                </c:pt>
                <c:pt idx="1">
                  <c:v>508.1</c:v>
                </c:pt>
                <c:pt idx="2">
                  <c:v>1000.7</c:v>
                </c:pt>
                <c:pt idx="3">
                  <c:v>225.9</c:v>
                </c:pt>
                <c:pt idx="4">
                  <c:v>140.4</c:v>
                </c:pt>
                <c:pt idx="5">
                  <c:v>181.3</c:v>
                </c:pt>
                <c:pt idx="6">
                  <c:v>309.6</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007 - 2010">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 - 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2"/>
    <customShpInfo spid="_x0000_s1031"/>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9</Pages>
  <Words>345</Words>
  <Characters>1971</Characters>
  <Lines>16</Lines>
  <Paragraphs>4</Paragraphs>
  <TotalTime>0</TotalTime>
  <ScaleCrop>false</ScaleCrop>
  <LinksUpToDate>false</LinksUpToDate>
  <CharactersWithSpaces>2312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2023-11-07T08:44:38Z</dcterms:modified>
  <cp:revision>780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910706199F5C414796E643A6146A4803_13</vt:lpwstr>
  </property>
</Properties>
</file>