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colors3.xml" ContentType="application/vnd.ms-office.chartcolorstyle+xml"/>
  <Override PartName="/word/charts/colors4.xml" ContentType="application/vnd.ms-office.chartcolorstyle+xml"/>
  <Override PartName="/word/charts/colors5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charts/style3.xml" ContentType="application/vnd.ms-office.chartstyle+xml"/>
  <Override PartName="/word/charts/style4.xml" ContentType="application/vnd.ms-office.chartstyle+xml"/>
  <Override PartName="/word/charts/style5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cs="Calibri"/>
        </w:rPr>
      </w:pPr>
      <w:bookmarkStart w:id="0" w:name="_Hlk23501351"/>
      <w:bookmarkStart w:id="1" w:name="_Toc481801204"/>
      <w:bookmarkStart w:id="2" w:name="OLE_LINK15"/>
      <w:bookmarkStart w:id="3" w:name="_Toc418070112"/>
      <w:bookmarkStart w:id="4" w:name="_Toc415818939"/>
      <w:bookmarkStart w:id="5" w:name="_Toc438987549"/>
      <w:bookmarkStart w:id="6" w:name="_Toc453597319"/>
      <w:bookmarkStart w:id="7" w:name="_Toc517262917"/>
      <w:bookmarkStart w:id="8" w:name="OLE_LINK24"/>
      <w:bookmarkStart w:id="9" w:name="OLE_LINK13"/>
      <w:bookmarkStart w:id="10" w:name="OLE_LINK40"/>
      <w:bookmarkStart w:id="11" w:name="_Toc415142861"/>
      <w:bookmarkStart w:id="12" w:name="OLE_LINK39"/>
      <w:bookmarkStart w:id="13" w:name="_Toc415143481"/>
      <w:r>
        <w:drawing>
          <wp:inline distT="0" distB="0" distL="114300" distR="114300">
            <wp:extent cx="2412365" cy="1097915"/>
            <wp:effectExtent l="0" t="0" r="6985" b="6985"/>
            <wp:docPr id="9" name="图片 9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logo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12365" cy="109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-770890</wp:posOffset>
            </wp:positionH>
            <wp:positionV relativeFrom="paragraph">
              <wp:posOffset>-1134110</wp:posOffset>
            </wp:positionV>
            <wp:extent cx="7702550" cy="10934700"/>
            <wp:effectExtent l="0" t="0" r="12700" b="0"/>
            <wp:wrapNone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8863965</wp:posOffset>
                </wp:positionV>
                <wp:extent cx="5048250" cy="327660"/>
                <wp:effectExtent l="0" t="0" r="0" b="0"/>
                <wp:wrapNone/>
                <wp:docPr id="1438" name="Text Box 14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278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szCs w:val="22"/>
                              </w:rPr>
                              <w:t>Copyright © QYResearch |</w:t>
                            </w:r>
                            <w:r>
                              <w:rPr>
                                <w:rFonts w:hint="eastAsia"/>
                                <w:b/>
                                <w:szCs w:val="22"/>
                              </w:rPr>
                              <w:t>market@qyresearch.com</w:t>
                            </w:r>
                            <w:r>
                              <w:rPr>
                                <w:b/>
                                <w:szCs w:val="22"/>
                              </w:rPr>
                              <w:t xml:space="preserve"> | </w:t>
                            </w:r>
                            <w:r>
                              <w:rPr>
                                <w:b/>
                                <w:color w:val="FFFFFF" w:themeColor="background1"/>
                                <w:szCs w:val="22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www.qyresearch.com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38" o:spid="_x0000_s1026" o:spt="202" type="#_x0000_t202" style="position:absolute;left:0pt;margin-top:697.95pt;height:25.8pt;width:397.5pt;mso-position-horizontal:center;mso-position-horizontal-relative:margin;z-index:251659264;mso-width-relative:page;mso-height-relative:page;" filled="f" stroked="f" coordsize="21600,21600" o:gfxdata="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eRDn/toAAAAKAQAADwAAAAAAAAABACAAAAAiAAAAZHJzL2Rvd25yZXYu&#10;eG1sUEsBAhQAFAAAAAgAh07iQMHwJl0yAgAAeQ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b/>
                          <w:szCs w:val="22"/>
                        </w:rPr>
                        <w:t>Copyright © QYResearch |</w:t>
                      </w:r>
                      <w:r>
                        <w:rPr>
                          <w:rFonts w:hint="eastAsia"/>
                          <w:b/>
                          <w:szCs w:val="22"/>
                        </w:rPr>
                        <w:t>market@qyresearch.com</w:t>
                      </w:r>
                      <w:r>
                        <w:rPr>
                          <w:b/>
                          <w:szCs w:val="22"/>
                        </w:rPr>
                        <w:t xml:space="preserve"> | </w:t>
                      </w:r>
                      <w:r>
                        <w:rPr>
                          <w:b/>
                          <w:color w:val="FFFFFF" w:themeColor="background1"/>
                          <w:szCs w:val="22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www.qyresearch.com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-283845</wp:posOffset>
                </wp:positionH>
                <wp:positionV relativeFrom="paragraph">
                  <wp:posOffset>2054860</wp:posOffset>
                </wp:positionV>
                <wp:extent cx="6337300" cy="1769110"/>
                <wp:effectExtent l="0" t="0" r="0" b="2540"/>
                <wp:wrapNone/>
                <wp:docPr id="1346" name="Text Box 4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7005" cy="1769423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6"/>
                                <w:szCs w:val="56"/>
                              </w:rPr>
                              <w:t>碳酸二乙基己酯</w:t>
                            </w:r>
                          </w:p>
                          <w:p>
                            <w:pPr>
                              <w:widowControl/>
                              <w:topLinePunct w:val="0"/>
                              <w:jc w:val="left"/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全球市场研究报告</w:t>
                            </w:r>
                            <w:r>
                              <w:rPr>
                                <w:rFonts w:ascii="Century Gothic" w:hAnsi="Century Gothic" w:cs="Arial"/>
                                <w:b/>
                                <w:color w:val="002060"/>
                                <w:spacing w:val="-30"/>
                                <w:kern w:val="0"/>
                                <w:sz w:val="52"/>
                                <w:szCs w:val="52"/>
                              </w:rPr>
                              <w:t>2023-2029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79" o:spid="_x0000_s1026" o:spt="202" type="#_x0000_t202" style="position:absolute;left:0pt;margin-left:-22.35pt;margin-top:161.8pt;height:139.3pt;width:499pt;z-index:251660288;mso-width-relative:page;mso-height-relative:page;" filled="f" stroked="f" coordsize="21600,21600" o:gfxdata="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">
                <v:fill on="f" focussize="0,0"/>
                <v:stroke on="f" miterlimit="8" joinstyle="miter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</w:pP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6"/>
                          <w:szCs w:val="56"/>
                        </w:rPr>
                        <w:t>碳酸二乙基己酯</w:t>
                      </w:r>
                    </w:p>
                    <w:p>
                      <w:pPr>
                        <w:widowControl/>
                        <w:topLinePunct w:val="0"/>
                        <w:jc w:val="left"/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全球市场研究报告</w:t>
                      </w:r>
                      <w:r>
                        <w:rPr>
                          <w:rFonts w:ascii="Century Gothic" w:hAnsi="Century Gothic" w:cs="Arial"/>
                          <w:b/>
                          <w:color w:val="002060"/>
                          <w:spacing w:val="-30"/>
                          <w:kern w:val="0"/>
                          <w:sz w:val="52"/>
                          <w:szCs w:val="52"/>
                        </w:rPr>
                        <w:t>2023-2029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Calibri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-153035</wp:posOffset>
                </wp:positionH>
                <wp:positionV relativeFrom="paragraph">
                  <wp:posOffset>3918585</wp:posOffset>
                </wp:positionV>
                <wp:extent cx="4971415" cy="0"/>
                <wp:effectExtent l="0" t="19050" r="19685" b="19050"/>
                <wp:wrapNone/>
                <wp:docPr id="134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971415" cy="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accent4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o:spt="20" style="position:absolute;left:0pt;margin-left:-12.05pt;margin-top:308.55pt;height:0pt;width:391.45pt;z-index:251661312;mso-width-relative:page;mso-height-relative:page;" filled="f" stroked="t" coordsize="21600,21600" o:gfxdata="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">
                <v:fill on="f" focussize="0,0"/>
                <v:stroke weight="2.25pt" color="#FFC000 [3207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cs="Calibri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-62230</wp:posOffset>
            </wp:positionH>
            <wp:positionV relativeFrom="page">
              <wp:posOffset>-37465</wp:posOffset>
            </wp:positionV>
            <wp:extent cx="7665085" cy="10734675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5079" cy="1073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</w:p>
    <w:bookmarkEnd w:id="0"/>
    <w:p>
      <w:pPr>
        <w:pStyle w:val="167"/>
        <w:rPr>
          <w:lang w:eastAsia="zh-CN"/>
        </w:rPr>
      </w:pPr>
      <w:r>
        <w:rPr>
          <w:lang w:eastAsia="zh-CN"/>
        </w:rPr>
        <w:t>碳酸二乙基己酯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碳酸二乙基己酯是一种合成油状酯，可作为皮肤调理剂和润肤剂。也用于防晒配方，以帮助保持活性成分分散在整个配方中。为皮肤提供轻盈、不油腻的润肤效果。它以低粘度质地和良好的铺展性而著称，经常被用作有机硅和硅氧烷成分(如环戊硅氢烷)的替代品。常用关于粉底、防晒霜、面部保湿霜、遮瑕膏、抗衰老产品、古铜色/荧光笔和润肤露。其风险系数为1，比较安全，可以放心使用，对于孕妇一般没有影响，没有致痘性。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4923790" cy="1704340"/>
            <wp:effectExtent l="0" t="0" r="0" b="0"/>
            <wp:docPr id="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23809" cy="1704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根据QYResearch最新调研报告显示，预计2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年全球</w:t>
      </w:r>
      <w:r>
        <w:rPr>
          <w:lang w:eastAsia="zh-CN"/>
        </w:rPr>
        <w:t>碳酸二乙基己酯</w:t>
      </w:r>
      <w:r>
        <w:rPr>
          <w:rFonts w:hint="eastAsia"/>
          <w:lang w:eastAsia="zh-CN"/>
        </w:rPr>
        <w:t>市场规模将达到</w:t>
      </w:r>
      <w:r>
        <w:rPr>
          <w:lang w:eastAsia="zh-CN"/>
        </w:rPr>
        <w:t>182</w:t>
      </w:r>
      <w:r>
        <w:rPr>
          <w:rFonts w:hint="eastAsia"/>
          <w:lang w:eastAsia="zh-CN"/>
        </w:rPr>
        <w:t>百万美元，未来几年年复合增长率CAGR为3</w:t>
      </w:r>
      <w:r>
        <w:rPr>
          <w:lang w:eastAsia="zh-CN"/>
        </w:rPr>
        <w:t>.3</w:t>
      </w:r>
      <w:r>
        <w:rPr>
          <w:rFonts w:hint="eastAsia"/>
          <w:lang w:eastAsia="zh-CN"/>
        </w:rPr>
        <w:t>%。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lang w:eastAsia="zh-CN"/>
        </w:rPr>
        <w:t>碳酸二乙基己酯</w:t>
      </w:r>
      <w:r>
        <w:rPr>
          <w:rFonts w:hint="eastAsia"/>
          <w:lang w:eastAsia="zh-CN"/>
        </w:rPr>
        <w:t>，全球市场总体规模，预计2</w:t>
      </w:r>
      <w:r>
        <w:rPr>
          <w:lang w:eastAsia="zh-CN"/>
        </w:rPr>
        <w:t>029</w:t>
      </w:r>
      <w:r>
        <w:rPr>
          <w:rFonts w:hint="eastAsia"/>
          <w:lang w:eastAsia="zh-CN"/>
        </w:rPr>
        <w:t>年达到</w:t>
      </w:r>
      <w:r>
        <w:rPr>
          <w:lang w:eastAsia="zh-CN"/>
        </w:rPr>
        <w:t>182</w:t>
      </w:r>
      <w:r>
        <w:rPr>
          <w:rFonts w:hint="eastAsia"/>
          <w:lang w:eastAsia="zh-CN"/>
        </w:rPr>
        <w:t>百万美元</w:t>
      </w:r>
    </w:p>
    <w:p>
      <w:pPr>
        <w:pStyle w:val="145"/>
      </w:pPr>
      <w:r>
        <w:drawing>
          <wp:inline distT="0" distB="0" distL="0" distR="0">
            <wp:extent cx="6188710" cy="2935605"/>
            <wp:effectExtent l="0" t="0" r="254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碳酸二乙基己酯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b/>
          <w:lang w:eastAsia="zh-CN"/>
        </w:rPr>
      </w:pPr>
      <w:r>
        <w:rPr>
          <w:rFonts w:hint="eastAsia"/>
          <w:b/>
          <w:lang w:eastAsia="zh-CN"/>
        </w:rPr>
        <w:t>主要驱动因素</w:t>
      </w:r>
      <w:r>
        <w:rPr>
          <w:b/>
          <w:lang w:eastAsia="zh-CN"/>
        </w:rPr>
        <w:t>: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替代传统溶剂：DBE可以替代传统的有机溶剂，如丙酮、甲苯等。由于DBE的低挥发性和低毒性，它被认为是更安全和更可持续的选择。许多行业正在转向使用DBE作为溶剂，以减少对有害溶剂的依赖。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高效性能：DBE具有良好的可溶性和溶解性，可以在广泛的应用中提供高效的性能。它可以用作溶剂、稀释剂、清洁剂等，具有出色的溶解能力和清洁效果。这使得DBE在许多工业领域中成为首选选择。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技术进步：随着科学技术的不断进步，DBE的生产和应用技术也在不断改进和创新。新的生产方法和工艺可以提高DBE的质量和效率，降低生产成本。这促进了DBE市场的发展，并为其应用领域的扩大提供了机会。</w:t>
      </w:r>
    </w:p>
    <w:p>
      <w:pPr>
        <w:pStyle w:val="145"/>
        <w:rPr>
          <w:b/>
          <w:lang w:eastAsia="zh-CN"/>
        </w:rPr>
      </w:pPr>
      <w:r>
        <w:rPr>
          <w:rFonts w:hint="eastAsia"/>
          <w:b/>
          <w:lang w:eastAsia="zh-CN"/>
        </w:rPr>
        <w:t>主要阻碍因素</w:t>
      </w:r>
      <w:r>
        <w:rPr>
          <w:b/>
          <w:lang w:eastAsia="zh-CN"/>
        </w:rPr>
        <w:t>: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市场竞争：DBE市场存在激烈的竞争，许多其他替代品也在不断涌现。其他溶剂和清洁剂的开发和改进可能对DBE的市场份额构成威胁。企业需要不断创新和提高产品性能，以在竞争激烈的市场中保持竞争优势。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环境和健康问题：尽管DBE被认为是一种相对环保和低毒性的溶剂，但仍然存在一些环境和健康问题。长期暴露于DBE可能对人体健康产生一定的影响。这可能引起一些消费者和企业的担忧，限制了DBE的市场接受度。</w:t>
      </w:r>
    </w:p>
    <w:p>
      <w:pPr>
        <w:pStyle w:val="145"/>
        <w:rPr>
          <w:b/>
          <w:lang w:eastAsia="zh-CN"/>
        </w:rPr>
      </w:pPr>
      <w:r>
        <w:rPr>
          <w:rFonts w:hint="eastAsia"/>
          <w:b/>
          <w:lang w:eastAsia="zh-CN"/>
        </w:rPr>
        <w:t>行业发展机遇</w:t>
      </w:r>
      <w:r>
        <w:rPr>
          <w:b/>
          <w:lang w:eastAsia="zh-CN"/>
        </w:rPr>
        <w:t>: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新兴市场需求：随着新兴市场的快速发展，对涂料、油墨、胶粘剂等产品的需求也在增加。DBE作为一种高效的溶剂，可以满足这些市场的需求。特别是在亚太地区和中东地区，DBE市场有着巨大的潜力。</w:t>
      </w:r>
    </w:p>
    <w:p>
      <w:pPr>
        <w:pStyle w:val="145"/>
        <w:rPr>
          <w:lang w:val="en-US" w:eastAsia="zh-CN"/>
        </w:rPr>
      </w:pPr>
      <w:r>
        <w:rPr>
          <w:rFonts w:hint="eastAsia"/>
          <w:lang w:val="en-US" w:eastAsia="zh-CN"/>
        </w:rPr>
        <w:t>技术创新：随着科技的进步，DBE的生产技术和应用技术也在不断创新和改进。新的生产方法和应用领域的开发将为DBE市场带来新的机遇。例如，DBE在电子材料、医药领域的应用潜力正在逐渐被发掘。</w:t>
      </w: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碳酸二乙基己酯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2</w:t>
      </w:r>
      <w:r>
        <w:rPr>
          <w:rFonts w:hint="eastAsia"/>
          <w:lang w:eastAsia="zh-CN"/>
        </w:rPr>
        <w:t>强生产商排名及市场占有率（持续更新）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2000250"/>
            <wp:effectExtent l="0" t="0" r="0" b="0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碳酸二乙基己酯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全球范围内，</w:t>
      </w:r>
      <w:r>
        <w:rPr>
          <w:lang w:eastAsia="zh-CN"/>
        </w:rPr>
        <w:t>碳酸二乙基己酯</w:t>
      </w:r>
      <w:r>
        <w:rPr>
          <w:rFonts w:hint="eastAsia"/>
          <w:lang w:eastAsia="zh-CN"/>
        </w:rPr>
        <w:t>主要生产商包括</w:t>
      </w:r>
      <w:r>
        <w:rPr>
          <w:lang w:eastAsia="zh-CN"/>
        </w:rPr>
        <w:t>Evonik</w:t>
      </w:r>
      <w:r>
        <w:rPr>
          <w:rFonts w:hint="eastAsia"/>
          <w:lang w:eastAsia="zh-CN"/>
        </w:rPr>
        <w:t>,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北京灵宝科技等，其中前2厂商占有大约</w:t>
      </w:r>
      <w:r>
        <w:rPr>
          <w:lang w:eastAsia="zh-CN"/>
        </w:rPr>
        <w:t>67.8%</w:t>
      </w:r>
      <w:r>
        <w:rPr>
          <w:rFonts w:hint="eastAsia"/>
          <w:lang w:eastAsia="zh-CN"/>
        </w:rPr>
        <w:t>的市场份额。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目前，全球核心厂商主要分布在德国、中国。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碳酸二乙基己酯</w:t>
      </w:r>
      <w:r>
        <w:rPr>
          <w:rFonts w:hint="eastAsia"/>
          <w:lang w:eastAsia="zh-CN"/>
        </w:rPr>
        <w:t>，全球市场规模，按产品类型细分，Purity≥99%处于主导地位</w:t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6188710" cy="3174365"/>
            <wp:effectExtent l="0" t="0" r="2540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174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  <w:rPr>
          <w:lang w:eastAsia="zh-CN"/>
        </w:rPr>
      </w:pPr>
      <w:r>
        <w:drawing>
          <wp:inline distT="0" distB="0" distL="0" distR="0">
            <wp:extent cx="6188710" cy="2895600"/>
            <wp:effectExtent l="0" t="0" r="2540" b="0"/>
            <wp:docPr id="5" name="图表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碳酸二乙基己酯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就产品类型而言，目前Purity≥99%是最主要的细分产品，占据大约</w:t>
      </w:r>
      <w:r>
        <w:rPr>
          <w:lang w:eastAsia="zh-CN"/>
        </w:rPr>
        <w:t>65%</w:t>
      </w:r>
      <w:r>
        <w:rPr>
          <w:rFonts w:hint="eastAsia"/>
          <w:lang w:eastAsia="zh-CN"/>
        </w:rPr>
        <w:t>的份额。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lang w:eastAsia="zh-CN"/>
        </w:rPr>
        <w:br w:type="page"/>
      </w:r>
    </w:p>
    <w:p>
      <w:pPr>
        <w:pStyle w:val="148"/>
        <w:rPr>
          <w:lang w:eastAsia="zh-CN"/>
        </w:rPr>
      </w:pPr>
      <w:r>
        <w:rPr>
          <w:lang w:eastAsia="zh-CN"/>
        </w:rPr>
        <w:t>碳酸二乙基己酯</w:t>
      </w:r>
      <w:r>
        <w:rPr>
          <w:rFonts w:hint="eastAsia"/>
          <w:lang w:eastAsia="zh-CN"/>
        </w:rPr>
        <w:t>，全球市场规模，按应用细分，护肤品是最大的下游市场，占有</w:t>
      </w:r>
      <w:r>
        <w:rPr>
          <w:lang w:eastAsia="zh-CN"/>
        </w:rPr>
        <w:t>75%</w:t>
      </w:r>
      <w:r>
        <w:rPr>
          <w:rFonts w:hint="eastAsia"/>
          <w:lang w:eastAsia="zh-CN"/>
        </w:rPr>
        <w:t>份额。</w:t>
      </w:r>
    </w:p>
    <w:p>
      <w:pPr>
        <w:pStyle w:val="145"/>
      </w:pPr>
      <w:r>
        <w:drawing>
          <wp:inline distT="0" distB="0" distL="0" distR="0">
            <wp:extent cx="6188710" cy="3255645"/>
            <wp:effectExtent l="0" t="0" r="2540" b="190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325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5"/>
      </w:pPr>
      <w:r>
        <w:drawing>
          <wp:inline distT="0" distB="0" distL="0" distR="0">
            <wp:extent cx="6188710" cy="2912110"/>
            <wp:effectExtent l="0" t="0" r="2540" b="2540"/>
            <wp:docPr id="7" name="图表 7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碳酸二乙基己酯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就产品应用而言，目前护肤品是最主要的需求来源，占据大约</w:t>
      </w:r>
      <w:r>
        <w:rPr>
          <w:lang w:eastAsia="zh-CN"/>
        </w:rPr>
        <w:t>75%</w:t>
      </w:r>
      <w:r>
        <w:rPr>
          <w:rFonts w:hint="eastAsia"/>
          <w:lang w:eastAsia="zh-CN"/>
        </w:rPr>
        <w:t>的份额。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全球主要市场</w:t>
      </w:r>
      <w:r>
        <w:rPr>
          <w:lang w:eastAsia="zh-CN"/>
        </w:rPr>
        <w:t>碳酸二乙基己酯</w:t>
      </w:r>
      <w:r>
        <w:rPr>
          <w:rFonts w:hint="eastAsia"/>
          <w:lang w:eastAsia="zh-CN"/>
        </w:rPr>
        <w:t>规模</w:t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6188710" cy="2922270"/>
            <wp:effectExtent l="0" t="0" r="2540" b="0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>
      <w:pPr>
        <w:pStyle w:val="145"/>
        <w:rPr>
          <w:lang w:val="en-US" w:eastAsia="zh-CN"/>
        </w:rPr>
      </w:pPr>
      <w:r>
        <w:drawing>
          <wp:inline distT="0" distB="0" distL="0" distR="0">
            <wp:extent cx="5908040" cy="3059430"/>
            <wp:effectExtent l="0" t="0" r="0" b="7620"/>
            <wp:docPr id="10" name="图表 1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碳酸二乙基己酯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消费层面来说，目前亚太地区是全球最大的消费市场，</w:t>
      </w:r>
      <w:r>
        <w:rPr>
          <w:lang w:eastAsia="zh-CN"/>
        </w:rPr>
        <w:t>2022</w:t>
      </w:r>
      <w:r>
        <w:rPr>
          <w:rFonts w:hint="eastAsia"/>
          <w:lang w:eastAsia="zh-CN"/>
        </w:rPr>
        <w:t>年占有</w:t>
      </w:r>
      <w:r>
        <w:rPr>
          <w:lang w:eastAsia="zh-CN"/>
        </w:rPr>
        <w:t>47.4%</w:t>
      </w:r>
      <w:r>
        <w:rPr>
          <w:rFonts w:hint="eastAsia"/>
          <w:lang w:eastAsia="zh-CN"/>
        </w:rPr>
        <w:t>的市场份额，之后是欧洲地区，占有</w:t>
      </w:r>
      <w:r>
        <w:rPr>
          <w:lang w:eastAsia="zh-CN"/>
        </w:rPr>
        <w:t>23.4%</w:t>
      </w:r>
      <w:r>
        <w:rPr>
          <w:rFonts w:hint="eastAsia"/>
          <w:lang w:eastAsia="zh-CN"/>
        </w:rPr>
        <w:t>的市场份额。</w:t>
      </w:r>
    </w:p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bookmarkStart w:id="14" w:name="_GoBack"/>
      <w:bookmarkEnd w:id="14"/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107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209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ZTA5ZDQ3NWE4ZjMxYjI3YzM5ZGFlMGQxODk1NDA3MmI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129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6F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CDE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7BD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5C8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97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45B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1FFD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8AD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6A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957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3881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47B6E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58C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B4B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E9E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2C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37E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63E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686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29754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uiPriority w:val="1"/>
  </w:style>
  <w:style w:type="table" w:default="1" w:styleId="3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uiPriority w:val="39"/>
    <w:pPr>
      <w:ind w:left="2520" w:leftChars="1200"/>
    </w:pPr>
  </w:style>
  <w:style w:type="paragraph" w:styleId="11">
    <w:name w:val="Document Map"/>
    <w:basedOn w:val="1"/>
    <w:link w:val="91"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chart" Target="charts/chart6.xml"/><Relationship Id="rId17" Type="http://schemas.openxmlformats.org/officeDocument/2006/relationships/chart" Target="charts/chart5.xml"/><Relationship Id="rId16" Type="http://schemas.openxmlformats.org/officeDocument/2006/relationships/chart" Target="charts/chart4.xml"/><Relationship Id="rId15" Type="http://schemas.openxmlformats.org/officeDocument/2006/relationships/image" Target="media/image7.png"/><Relationship Id="rId14" Type="http://schemas.openxmlformats.org/officeDocument/2006/relationships/chart" Target="charts/chart3.xml"/><Relationship Id="rId13" Type="http://schemas.openxmlformats.org/officeDocument/2006/relationships/image" Target="media/image6.png"/><Relationship Id="rId12" Type="http://schemas.openxmlformats.org/officeDocument/2006/relationships/chart" Target="charts/chart2.xml"/><Relationship Id="rId11" Type="http://schemas.openxmlformats.org/officeDocument/2006/relationships/chart" Target="charts/chart1.xml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5266;&#28857;\202310\&#30899;&#37240;&#20108;&#20057;&#22522;&#24049;&#37231;\&#30899;&#37240;&#20108;&#20057;&#22522;&#24049;&#37231;%20&#25968;&#25454;&#34920;.xlsx" TargetMode="External"/></Relationships>
</file>

<file path=word/charts/_rels/chart2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oleObject" Target="file:///D:\&#35266;&#28857;\202310\&#30899;&#37240;&#20108;&#20057;&#22522;&#24049;&#37231;\&#30899;&#37240;&#20108;&#20057;&#22522;&#24049;&#37231;%20&#25968;&#25454;&#34920;.xlsx" TargetMode="External"/></Relationships>
</file>

<file path=word/charts/_rels/chart3.xml.rels><?xml version="1.0" encoding="UTF-8" standalone="yes"?>
<Relationships xmlns="http://schemas.openxmlformats.org/package/2006/relationships"><Relationship Id="rId3" Type="http://schemas.microsoft.com/office/2011/relationships/chartColorStyle" Target="colors3.xml"/><Relationship Id="rId2" Type="http://schemas.microsoft.com/office/2011/relationships/chartStyle" Target="style3.xml"/><Relationship Id="rId1" Type="http://schemas.openxmlformats.org/officeDocument/2006/relationships/oleObject" Target="file:///D:\&#35266;&#28857;\202310\&#30899;&#37240;&#20108;&#20057;&#22522;&#24049;&#37231;\&#30899;&#37240;&#20108;&#20057;&#22522;&#24049;&#37231;%20&#25968;&#25454;&#34920;.xlsx" TargetMode="Externa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D:\&#35266;&#28857;\202310\&#30899;&#37240;&#20108;&#20057;&#22522;&#24049;&#37231;\&#30899;&#37240;&#20108;&#20057;&#22522;&#24049;&#37231;%20&#25968;&#25454;&#34920;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5.xml"/><Relationship Id="rId2" Type="http://schemas.microsoft.com/office/2011/relationships/chartStyle" Target="style5.xml"/><Relationship Id="rId1" Type="http://schemas.openxmlformats.org/officeDocument/2006/relationships/oleObject" Target="file:///D:\&#35266;&#28857;\202310\&#30899;&#37240;&#20108;&#20057;&#22522;&#24049;&#37231;\&#30899;&#37240;&#20108;&#20057;&#22522;&#24049;&#37231;%20&#25968;&#25454;&#34920;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D:\&#35266;&#28857;\202310\&#30899;&#37240;&#20108;&#20057;&#22522;&#24049;&#37231;\&#30899;&#37240;&#20108;&#20057;&#22522;&#24049;&#37231;%20&#25968;&#25454;&#3492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01820801093785"/>
          <c:y val="0.0743906508300871"/>
          <c:w val="0.845512387307458"/>
          <c:h val="0.79460756757207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全球总体!$A$12</c:f>
              <c:strCache>
                <c:ptCount val="1"/>
                <c:pt idx="0">
                  <c:v>全球规模（百万美元</c:v>
                </c:pt>
              </c:strCache>
            </c:strRef>
          </c:tx>
          <c:spPr>
            <a:solidFill>
              <a:srgbClr val="002060"/>
            </a:solidFill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dLbl>
              <c:idx val="0"/>
              <c:delete val="1"/>
            </c:dLbl>
            <c:dLbl>
              <c:idx val="1"/>
              <c:delete val="1"/>
            </c:dLbl>
            <c:dLbl>
              <c:idx val="2"/>
              <c:delete val="1"/>
            </c:dLbl>
            <c:dLbl>
              <c:idx val="3"/>
              <c:delete val="1"/>
            </c:dLbl>
            <c:dLbl>
              <c:idx val="4"/>
              <c:layout>
                <c:manualLayout>
                  <c:x val="0.00196924168534216"/>
                  <c:y val="-0.087156862745098"/>
                </c:manualLayout>
              </c:layout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layout/>
                </c:ext>
              </c:extLst>
            </c:dLbl>
            <c:dLbl>
              <c:idx val="5"/>
              <c:delete val="1"/>
            </c:dLbl>
            <c:dLbl>
              <c:idx val="6"/>
              <c:delete val="1"/>
            </c:dLbl>
            <c:dLbl>
              <c:idx val="7"/>
              <c:delete val="1"/>
            </c:dLbl>
            <c:dLbl>
              <c:idx val="8"/>
              <c:delete val="1"/>
            </c:dLbl>
            <c:dLbl>
              <c:idx val="9"/>
              <c:delete val="1"/>
            </c:dLbl>
            <c:dLbl>
              <c:idx val="10"/>
              <c:delete val="1"/>
            </c:dLbl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1000" b="0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全球总体!$B$7:$M$7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全球总体!$B$12:$M$12</c:f>
              <c:numCache>
                <c:formatCode>#,##0_ </c:formatCode>
                <c:ptCount val="12"/>
                <c:pt idx="0">
                  <c:v>125.4</c:v>
                </c:pt>
                <c:pt idx="1">
                  <c:v>133.77</c:v>
                </c:pt>
                <c:pt idx="2">
                  <c:v>122.92</c:v>
                </c:pt>
                <c:pt idx="3">
                  <c:v>134.92</c:v>
                </c:pt>
                <c:pt idx="4">
                  <c:v>143.87</c:v>
                </c:pt>
                <c:pt idx="5">
                  <c:v>150.27</c:v>
                </c:pt>
                <c:pt idx="6">
                  <c:v>153.93</c:v>
                </c:pt>
                <c:pt idx="7">
                  <c:v>158.36</c:v>
                </c:pt>
                <c:pt idx="8">
                  <c:v>162.04</c:v>
                </c:pt>
                <c:pt idx="9">
                  <c:v>165.19</c:v>
                </c:pt>
                <c:pt idx="10">
                  <c:v>173.77</c:v>
                </c:pt>
                <c:pt idx="11">
                  <c:v>182.39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全球总体!$A$13</c:f>
              <c:strCache>
                <c:ptCount val="1"/>
                <c:pt idx="0">
                  <c:v>增速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32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0.0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Book Antiqua" panose="02040602050305030304" pitchFamily="1" charset="0"/>
                    <a:ea typeface="+mn-ea"/>
                    <a:cs typeface="+mn-cs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全球总体!$B$7:$M$7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全球总体!$B$13:$M$13</c:f>
              <c:numCache>
                <c:formatCode>0.0%</c:formatCode>
                <c:ptCount val="12"/>
                <c:pt idx="0">
                  <c:v>0.0723197368421053</c:v>
                </c:pt>
                <c:pt idx="1">
                  <c:v>0.0667464114832537</c:v>
                </c:pt>
                <c:pt idx="2">
                  <c:v>-0.0811093668236526</c:v>
                </c:pt>
                <c:pt idx="3">
                  <c:v>0.0976244712007808</c:v>
                </c:pt>
                <c:pt idx="4">
                  <c:v>0.0663356062852061</c:v>
                </c:pt>
                <c:pt idx="5">
                  <c:v>0.0444846041565303</c:v>
                </c:pt>
                <c:pt idx="6">
                  <c:v>0.0243561589139549</c:v>
                </c:pt>
                <c:pt idx="7">
                  <c:v>0.0287793152731761</c:v>
                </c:pt>
                <c:pt idx="8">
                  <c:v>0.0232381914624904</c:v>
                </c:pt>
                <c:pt idx="9">
                  <c:v>0.0194396445322143</c:v>
                </c:pt>
                <c:pt idx="10">
                  <c:v>0.0519401900841456</c:v>
                </c:pt>
                <c:pt idx="11">
                  <c:v>0.0496058007711342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#,##0_ " sourceLinked="1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legend>
      <c:legendPos val="t"/>
      <c:layout/>
      <c:overlay val="0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Book Antiqua" panose="02040602050305030304" pitchFamily="1" charset="0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企业排序!$F$2:$F$3</c:f>
              <c:strCache>
                <c:ptCount val="2"/>
                <c:pt idx="0">
                  <c:v>北京灵宝科技</c:v>
                </c:pt>
                <c:pt idx="1">
                  <c:v>Evonik</c:v>
                </c:pt>
              </c:strCache>
            </c:strRef>
          </c:cat>
          <c:val>
            <c:numRef>
              <c:f>企业排序!$G$2:$G$3</c:f>
              <c:numCache>
                <c:formatCode>#,##0_ </c:formatCode>
                <c:ptCount val="2"/>
                <c:pt idx="0">
                  <c:v>8</c:v>
                </c:pt>
                <c:pt idx="1">
                  <c:v>89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分类!$A$2</c:f>
              <c:strCache>
                <c:ptCount val="1"/>
                <c:pt idx="0">
                  <c:v>纯度＜99%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分类!$B$2:$M$2</c:f>
              <c:numCache>
                <c:formatCode>#,##0_);[Red]\(#,##0\)</c:formatCode>
                <c:ptCount val="12"/>
                <c:pt idx="0">
                  <c:v>44.86</c:v>
                </c:pt>
                <c:pt idx="1">
                  <c:v>47.94</c:v>
                </c:pt>
                <c:pt idx="2">
                  <c:v>43.47</c:v>
                </c:pt>
                <c:pt idx="3">
                  <c:v>47.44</c:v>
                </c:pt>
                <c:pt idx="4">
                  <c:v>50.29</c:v>
                </c:pt>
                <c:pt idx="5">
                  <c:v>51.64</c:v>
                </c:pt>
                <c:pt idx="6">
                  <c:v>52.83</c:v>
                </c:pt>
                <c:pt idx="7">
                  <c:v>53.71</c:v>
                </c:pt>
                <c:pt idx="8">
                  <c:v>54.1</c:v>
                </c:pt>
                <c:pt idx="9">
                  <c:v>54.77</c:v>
                </c:pt>
                <c:pt idx="10">
                  <c:v>57.22</c:v>
                </c:pt>
                <c:pt idx="11">
                  <c:v>59.64</c:v>
                </c:pt>
              </c:numCache>
            </c:numRef>
          </c:val>
        </c:ser>
        <c:ser>
          <c:idx val="1"/>
          <c:order val="1"/>
          <c:tx>
            <c:strRef>
              <c:f>分类!$A$3</c:f>
              <c:strCache>
                <c:ptCount val="1"/>
                <c:pt idx="0">
                  <c:v>纯度≥99%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分类!$B$3:$M$3</c:f>
              <c:numCache>
                <c:formatCode>#,##0_);[Red]\(#,##0\)</c:formatCode>
                <c:ptCount val="12"/>
                <c:pt idx="0">
                  <c:v>80.54</c:v>
                </c:pt>
                <c:pt idx="1">
                  <c:v>85.83</c:v>
                </c:pt>
                <c:pt idx="2">
                  <c:v>79.45</c:v>
                </c:pt>
                <c:pt idx="3">
                  <c:v>87.48</c:v>
                </c:pt>
                <c:pt idx="4">
                  <c:v>93.58</c:v>
                </c:pt>
                <c:pt idx="5">
                  <c:v>98.63</c:v>
                </c:pt>
                <c:pt idx="6">
                  <c:v>101.1</c:v>
                </c:pt>
                <c:pt idx="7">
                  <c:v>104.65</c:v>
                </c:pt>
                <c:pt idx="8">
                  <c:v>107.94</c:v>
                </c:pt>
                <c:pt idx="9">
                  <c:v>110.42</c:v>
                </c:pt>
                <c:pt idx="10">
                  <c:v>116.55</c:v>
                </c:pt>
                <c:pt idx="11">
                  <c:v>122.75</c:v>
                </c:pt>
              </c:numCache>
            </c:numRef>
          </c:val>
        </c:ser>
        <c:ser>
          <c:idx val="2"/>
          <c:order val="2"/>
          <c:tx>
            <c:strRef>
              <c:f>分类!$A$4</c:f>
              <c:strCache>
                <c:ptCount val="1"/>
                <c:pt idx="0">
                  <c:v>Tin Electroplating Solution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分类!$B$4:$M$4</c:f>
            </c:numRef>
          </c:val>
        </c:ser>
        <c:ser>
          <c:idx val="3"/>
          <c:order val="3"/>
          <c:tx>
            <c:strRef>
              <c:f>分类!$A$5</c:f>
              <c:strCache>
                <c:ptCount val="1"/>
                <c:pt idx="0">
                  <c:v>Other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分类!$B$5:$M$5</c:f>
            </c:numRef>
          </c:val>
        </c:ser>
        <c:ser>
          <c:idx val="4"/>
          <c:order val="4"/>
          <c:tx>
            <c:strRef>
              <c:f>分类!$A$6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分类!$B$6:$M$6</c:f>
            </c:numRef>
          </c:val>
        </c:ser>
        <c:ser>
          <c:idx val="5"/>
          <c:order val="5"/>
          <c:tx>
            <c:strRef>
              <c:f>分类!$A$7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分类!$B$7:$M$7</c:f>
            </c:numRef>
          </c:val>
        </c:ser>
        <c:ser>
          <c:idx val="6"/>
          <c:order val="6"/>
          <c:tx>
            <c:strRef>
              <c:f>分类!$A$8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分类!$B$8:$M$8</c:f>
            </c:numRef>
          </c:val>
        </c:ser>
        <c:ser>
          <c:idx val="7"/>
          <c:order val="7"/>
          <c:tx>
            <c:strRef>
              <c:f>分类!$A$9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分类!$B$9:$M$9</c:f>
            </c:numRef>
          </c:val>
        </c:ser>
        <c:ser>
          <c:idx val="8"/>
          <c:order val="8"/>
          <c:tx>
            <c:strRef>
              <c:f>分类!$A$10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2101581920"/>
        <c:axId val="2101559456"/>
      </c:barChart>
      <c:lineChart>
        <c:grouping val="stacked"/>
        <c:varyColors val="0"/>
        <c:ser>
          <c:idx val="9"/>
          <c:order val="9"/>
          <c:tx>
            <c:strRef>
              <c:f>分类!$A$11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cat>
            <c:numRef>
              <c:f>分类!$B$1:$M$1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分类!$B$11:$M$11</c:f>
              <c:numCache>
                <c:formatCode>#,##0_);[Red]\(#,##0\)</c:formatCode>
                <c:ptCount val="12"/>
                <c:pt idx="0">
                  <c:v>125.4</c:v>
                </c:pt>
                <c:pt idx="1">
                  <c:v>133.77</c:v>
                </c:pt>
                <c:pt idx="2">
                  <c:v>122.92</c:v>
                </c:pt>
                <c:pt idx="3">
                  <c:v>134.92</c:v>
                </c:pt>
                <c:pt idx="4">
                  <c:v>143.87</c:v>
                </c:pt>
                <c:pt idx="5">
                  <c:v>150.27</c:v>
                </c:pt>
                <c:pt idx="6">
                  <c:v>153.93</c:v>
                </c:pt>
                <c:pt idx="7">
                  <c:v>158.36</c:v>
                </c:pt>
                <c:pt idx="8">
                  <c:v>162.04</c:v>
                </c:pt>
                <c:pt idx="9">
                  <c:v>165.19</c:v>
                </c:pt>
                <c:pt idx="10">
                  <c:v>173.77</c:v>
                </c:pt>
                <c:pt idx="11">
                  <c:v>182.39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stacked"/>
        <c:varyColors val="0"/>
        <c:ser>
          <c:idx val="0"/>
          <c:order val="0"/>
          <c:tx>
            <c:strRef>
              <c:f>应用!$A$2</c:f>
              <c:strCache>
                <c:ptCount val="1"/>
                <c:pt idx="0">
                  <c:v>护肤品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应用!$B$2:$M$2</c:f>
              <c:numCache>
                <c:formatCode>#,##0_);[Red]\(#,##0\)</c:formatCode>
                <c:ptCount val="12"/>
                <c:pt idx="0">
                  <c:v>96.41</c:v>
                </c:pt>
                <c:pt idx="1">
                  <c:v>101.92</c:v>
                </c:pt>
                <c:pt idx="2">
                  <c:v>92.57</c:v>
                </c:pt>
                <c:pt idx="3">
                  <c:v>101.56</c:v>
                </c:pt>
                <c:pt idx="4">
                  <c:v>107.85</c:v>
                </c:pt>
                <c:pt idx="5">
                  <c:v>112.72</c:v>
                </c:pt>
                <c:pt idx="6">
                  <c:v>115.17</c:v>
                </c:pt>
                <c:pt idx="7">
                  <c:v>118.38</c:v>
                </c:pt>
                <c:pt idx="8">
                  <c:v>121.51</c:v>
                </c:pt>
                <c:pt idx="9">
                  <c:v>123.33</c:v>
                </c:pt>
                <c:pt idx="10">
                  <c:v>129.2</c:v>
                </c:pt>
                <c:pt idx="11">
                  <c:v>135.61</c:v>
                </c:pt>
              </c:numCache>
            </c:numRef>
          </c:val>
        </c:ser>
        <c:ser>
          <c:idx val="1"/>
          <c:order val="1"/>
          <c:tx>
            <c:strRef>
              <c:f>应用!$A$3</c:f>
              <c:strCache>
                <c:ptCount val="1"/>
                <c:pt idx="0">
                  <c:v>化妆品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应用!$B$3:$M$3</c:f>
              <c:numCache>
                <c:formatCode>#,##0_);[Red]\(#,##0\)</c:formatCode>
                <c:ptCount val="12"/>
                <c:pt idx="0">
                  <c:v>28.99</c:v>
                </c:pt>
                <c:pt idx="1">
                  <c:v>31.85</c:v>
                </c:pt>
                <c:pt idx="2">
                  <c:v>30.35</c:v>
                </c:pt>
                <c:pt idx="3">
                  <c:v>33.36</c:v>
                </c:pt>
                <c:pt idx="4">
                  <c:v>36.02</c:v>
                </c:pt>
                <c:pt idx="5">
                  <c:v>37.55</c:v>
                </c:pt>
                <c:pt idx="6">
                  <c:v>38.76</c:v>
                </c:pt>
                <c:pt idx="7">
                  <c:v>39.98</c:v>
                </c:pt>
                <c:pt idx="8">
                  <c:v>40.53</c:v>
                </c:pt>
                <c:pt idx="9">
                  <c:v>41.86</c:v>
                </c:pt>
                <c:pt idx="10">
                  <c:v>44.57</c:v>
                </c:pt>
                <c:pt idx="11">
                  <c:v>46.78</c:v>
                </c:pt>
              </c:numCache>
            </c:numRef>
          </c:val>
        </c:ser>
        <c:ser>
          <c:idx val="2"/>
          <c:order val="2"/>
          <c:tx>
            <c:strRef>
              <c:f>应用!$A$4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应用!$B$4:$M$4</c:f>
            </c:numRef>
          </c:val>
        </c:ser>
        <c:ser>
          <c:idx val="3"/>
          <c:order val="3"/>
          <c:tx>
            <c:strRef>
              <c:f>应用!$A$5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应用!$B$5:$M$5</c:f>
            </c:numRef>
          </c:val>
        </c:ser>
        <c:ser>
          <c:idx val="4"/>
          <c:order val="4"/>
          <c:tx>
            <c:strRef>
              <c:f>应用!$A$6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应用!$B$6:$M$6</c:f>
            </c:numRef>
          </c:val>
        </c:ser>
        <c:ser>
          <c:idx val="5"/>
          <c:order val="5"/>
          <c:tx>
            <c:strRef>
              <c:f>应用!$A$7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应用!$B$7:$M$7</c:f>
            </c:numRef>
          </c:val>
        </c:ser>
        <c:ser>
          <c:idx val="6"/>
          <c:order val="6"/>
          <c:tx>
            <c:strRef>
              <c:f>应用!$A$8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应用!$B$8:$M$8</c:f>
            </c:numRef>
          </c:val>
        </c:ser>
        <c:ser>
          <c:idx val="7"/>
          <c:order val="7"/>
          <c:tx>
            <c:strRef>
              <c:f>应用!$A$9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应用!$B$9:$M$9</c:f>
            </c:numRef>
          </c:val>
        </c:ser>
        <c:ser>
          <c:idx val="8"/>
          <c:order val="8"/>
          <c:tx>
            <c:strRef>
              <c:f>应用!$A$10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应用!$B$10:$M$10</c:f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overlap val="100"/>
        <c:axId val="2101581920"/>
        <c:axId val="2101559456"/>
      </c:barChart>
      <c:lineChart>
        <c:grouping val="stacked"/>
        <c:varyColors val="0"/>
        <c:ser>
          <c:idx val="9"/>
          <c:order val="9"/>
          <c:tx>
            <c:strRef>
              <c:f>应用!$A$11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cat>
            <c:numRef>
              <c:f>应用!$B$1:$M$1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应用!$B$11:$M$11</c:f>
              <c:numCache>
                <c:formatCode>#,##0_);[Red]\(#,##0\)</c:formatCode>
                <c:ptCount val="12"/>
                <c:pt idx="0">
                  <c:v>125.4</c:v>
                </c:pt>
                <c:pt idx="1">
                  <c:v>133.77</c:v>
                </c:pt>
                <c:pt idx="2">
                  <c:v>122.92</c:v>
                </c:pt>
                <c:pt idx="3">
                  <c:v>134.92</c:v>
                </c:pt>
                <c:pt idx="4">
                  <c:v>143.87</c:v>
                </c:pt>
                <c:pt idx="5">
                  <c:v>150.27</c:v>
                </c:pt>
                <c:pt idx="6">
                  <c:v>153.93</c:v>
                </c:pt>
                <c:pt idx="7">
                  <c:v>158.36</c:v>
                </c:pt>
                <c:pt idx="8">
                  <c:v>162.04</c:v>
                </c:pt>
                <c:pt idx="9">
                  <c:v>165.19</c:v>
                </c:pt>
                <c:pt idx="10">
                  <c:v>173.77</c:v>
                </c:pt>
                <c:pt idx="11">
                  <c:v>182.39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1"/>
        <c:axPos val="r"/>
        <c:numFmt formatCode="0.0%" sourceLinked="0"/>
        <c:majorTickMark val="out"/>
        <c:minorTickMark val="none"/>
        <c:tickLblPos val="none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'地区-消费'!$A$2</c:f>
              <c:strCache>
                <c:ptCount val="1"/>
                <c:pt idx="0">
                  <c:v>北美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'地区-消费'!$Q$1:$AB$1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'地区-消费'!$Q$2:$AB$2</c:f>
              <c:numCache>
                <c:formatCode>0.0%</c:formatCode>
                <c:ptCount val="12"/>
                <c:pt idx="0">
                  <c:v>0.2452</c:v>
                </c:pt>
                <c:pt idx="1">
                  <c:v>0.24089552238806</c:v>
                </c:pt>
                <c:pt idx="2">
                  <c:v>0.234208600926754</c:v>
                </c:pt>
                <c:pt idx="3">
                  <c:v>0.243037037037037</c:v>
                </c:pt>
                <c:pt idx="4">
                  <c:v>0.234722222222222</c:v>
                </c:pt>
                <c:pt idx="5">
                  <c:v>0.233702173043594</c:v>
                </c:pt>
                <c:pt idx="6">
                  <c:v>0.236168831168831</c:v>
                </c:pt>
                <c:pt idx="7">
                  <c:v>0.241012658227848</c:v>
                </c:pt>
                <c:pt idx="8">
                  <c:v>0.248071106721807</c:v>
                </c:pt>
                <c:pt idx="9">
                  <c:v>0.24289437003818</c:v>
                </c:pt>
                <c:pt idx="10">
                  <c:v>0.230274122176886</c:v>
                </c:pt>
                <c:pt idx="11">
                  <c:v>0.242595747019067</c:v>
                </c:pt>
              </c:numCache>
            </c:numRef>
          </c:val>
        </c:ser>
        <c:ser>
          <c:idx val="1"/>
          <c:order val="1"/>
          <c:tx>
            <c:strRef>
              <c:f>'地区-消费'!$A$3</c:f>
              <c:strCache>
                <c:ptCount val="1"/>
                <c:pt idx="0">
                  <c:v>欧洲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'地区-消费'!$Q$1:$AB$1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'地区-消费'!$Q$3:$AB$3</c:f>
              <c:numCache>
                <c:formatCode>0.0%</c:formatCode>
                <c:ptCount val="12"/>
                <c:pt idx="0">
                  <c:v>0.2256</c:v>
                </c:pt>
                <c:pt idx="1">
                  <c:v>0.220820895522388</c:v>
                </c:pt>
                <c:pt idx="2">
                  <c:v>0.235997073408666</c:v>
                </c:pt>
                <c:pt idx="3">
                  <c:v>0.238074074074074</c:v>
                </c:pt>
                <c:pt idx="4">
                  <c:v>0.233680555555556</c:v>
                </c:pt>
                <c:pt idx="5">
                  <c:v>0.222703639514731</c:v>
                </c:pt>
                <c:pt idx="6">
                  <c:v>0.229805194805195</c:v>
                </c:pt>
                <c:pt idx="7">
                  <c:v>0.236075949367089</c:v>
                </c:pt>
                <c:pt idx="8">
                  <c:v>0.236898956854515</c:v>
                </c:pt>
                <c:pt idx="9">
                  <c:v>0.232410156960184</c:v>
                </c:pt>
                <c:pt idx="10">
                  <c:v>0.225791621171197</c:v>
                </c:pt>
                <c:pt idx="11">
                  <c:v>0.237100939612067</c:v>
                </c:pt>
              </c:numCache>
            </c:numRef>
          </c:val>
        </c:ser>
        <c:ser>
          <c:idx val="2"/>
          <c:order val="2"/>
          <c:tx>
            <c:strRef>
              <c:f>'地区-消费'!$A$4</c:f>
              <c:strCache>
                <c:ptCount val="1"/>
                <c:pt idx="0">
                  <c:v>亚太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'地区-消费'!$Q$1:$AB$1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'地区-消费'!$Q$4:$AB$4</c:f>
              <c:numCache>
                <c:formatCode>0.0%</c:formatCode>
                <c:ptCount val="12"/>
                <c:pt idx="0">
                  <c:v>0.4704</c:v>
                </c:pt>
                <c:pt idx="1">
                  <c:v>0.474477611940298</c:v>
                </c:pt>
                <c:pt idx="2">
                  <c:v>0.46996179172425</c:v>
                </c:pt>
                <c:pt idx="3">
                  <c:v>0.487185185185185</c:v>
                </c:pt>
                <c:pt idx="4">
                  <c:v>0.476597222222222</c:v>
                </c:pt>
                <c:pt idx="5">
                  <c:v>0.488934808692174</c:v>
                </c:pt>
                <c:pt idx="6">
                  <c:v>0.477792207792208</c:v>
                </c:pt>
                <c:pt idx="7">
                  <c:v>0.481772151898734</c:v>
                </c:pt>
                <c:pt idx="8">
                  <c:v>0.474600333312759</c:v>
                </c:pt>
                <c:pt idx="9">
                  <c:v>0.483001030240592</c:v>
                </c:pt>
                <c:pt idx="10">
                  <c:v>0.472099304637665</c:v>
                </c:pt>
                <c:pt idx="11">
                  <c:v>0.471399527446563</c:v>
                </c:pt>
              </c:numCache>
            </c:numRef>
          </c:val>
        </c:ser>
        <c:ser>
          <c:idx val="3"/>
          <c:order val="3"/>
          <c:tx>
            <c:strRef>
              <c:f>'地区-消费'!$A$5</c:f>
              <c:strCache>
                <c:ptCount val="1"/>
                <c:pt idx="0">
                  <c:v>拉美</c:v>
                </c:pt>
              </c:strCache>
            </c:strRef>
          </c:tx>
          <c:spPr>
            <a:solidFill>
              <a:srgbClr val="FFC00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'地区-消费'!$Q$1:$AB$1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'地区-消费'!$Q$5:$AB$5</c:f>
              <c:numCache>
                <c:formatCode>0.0%</c:formatCode>
                <c:ptCount val="12"/>
                <c:pt idx="0">
                  <c:v>0.03688</c:v>
                </c:pt>
                <c:pt idx="1">
                  <c:v>0.0273880597014925</c:v>
                </c:pt>
                <c:pt idx="2">
                  <c:v>0.022518494431347</c:v>
                </c:pt>
                <c:pt idx="3">
                  <c:v>0.0248148148148148</c:v>
                </c:pt>
                <c:pt idx="4">
                  <c:v>0.0343055555555556</c:v>
                </c:pt>
                <c:pt idx="5">
                  <c:v>0.0397280362618318</c:v>
                </c:pt>
                <c:pt idx="6">
                  <c:v>0.0383116883116883</c:v>
                </c:pt>
                <c:pt idx="7">
                  <c:v>0.0244303797468354</c:v>
                </c:pt>
                <c:pt idx="8">
                  <c:v>0.0232084439232146</c:v>
                </c:pt>
                <c:pt idx="9">
                  <c:v>0.0239985455426944</c:v>
                </c:pt>
                <c:pt idx="10">
                  <c:v>0.0290213206137578</c:v>
                </c:pt>
                <c:pt idx="11">
                  <c:v>0.0207154239243914</c:v>
                </c:pt>
              </c:numCache>
            </c:numRef>
          </c:val>
        </c:ser>
        <c:ser>
          <c:idx val="4"/>
          <c:order val="4"/>
          <c:tx>
            <c:strRef>
              <c:f>'地区-消费'!$A$6</c:f>
              <c:strCache>
                <c:ptCount val="1"/>
                <c:pt idx="0">
                  <c:v>中东及非洲</c:v>
                </c:pt>
              </c:strCache>
            </c:strRef>
          </c:tx>
          <c:spPr>
            <a:solidFill>
              <a:schemeClr val="tx1">
                <a:lumMod val="65000"/>
                <a:lumOff val="3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'地区-消费'!$Q$1:$AB$1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'地区-消费'!$Q$6:$AB$6</c:f>
              <c:numCache>
                <c:formatCode>0.0%</c:formatCode>
                <c:ptCount val="12"/>
                <c:pt idx="0">
                  <c:v>0.02192</c:v>
                </c:pt>
                <c:pt idx="1">
                  <c:v>0.0364179104477612</c:v>
                </c:pt>
                <c:pt idx="2">
                  <c:v>0.037314039508983</c:v>
                </c:pt>
                <c:pt idx="3">
                  <c:v>0.00688888888888889</c:v>
                </c:pt>
                <c:pt idx="4">
                  <c:v>0.0206944444444444</c:v>
                </c:pt>
                <c:pt idx="5">
                  <c:v>0.0149313424876683</c:v>
                </c:pt>
                <c:pt idx="6">
                  <c:v>0.0179220779220779</c:v>
                </c:pt>
                <c:pt idx="7">
                  <c:v>0.0167088607594937</c:v>
                </c:pt>
                <c:pt idx="8">
                  <c:v>0.0172211591877045</c:v>
                </c:pt>
                <c:pt idx="9">
                  <c:v>0.0176958972183504</c:v>
                </c:pt>
                <c:pt idx="10">
                  <c:v>0.0428136314004942</c:v>
                </c:pt>
                <c:pt idx="11">
                  <c:v>0.028188361997912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897692240"/>
        <c:axId val="1897707216"/>
      </c:barChart>
      <c:catAx>
        <c:axId val="18976922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707216"/>
        <c:crosses val="autoZero"/>
        <c:auto val="1"/>
        <c:lblAlgn val="ctr"/>
        <c:lblOffset val="100"/>
        <c:noMultiLvlLbl val="0"/>
      </c:catAx>
      <c:valAx>
        <c:axId val="189770721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18976922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691853448275862"/>
          <c:y val="0.03175"/>
          <c:w val="0.897009594053696"/>
          <c:h val="0.75544166666666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'地区-消费'!$A$2</c:f>
              <c:strCache>
                <c:ptCount val="1"/>
                <c:pt idx="0">
                  <c:v>北美</c:v>
                </c:pt>
              </c:strCache>
            </c:strRef>
          </c:tx>
          <c:spPr>
            <a:solidFill>
              <a:srgbClr val="002060"/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'地区-消费'!$B$2:$M$2</c:f>
              <c:numCache>
                <c:formatCode>0_ </c:formatCode>
                <c:ptCount val="12"/>
                <c:pt idx="0">
                  <c:v>30.65</c:v>
                </c:pt>
                <c:pt idx="1">
                  <c:v>32.28</c:v>
                </c:pt>
                <c:pt idx="2">
                  <c:v>28.81</c:v>
                </c:pt>
                <c:pt idx="3">
                  <c:v>32.81</c:v>
                </c:pt>
                <c:pt idx="4">
                  <c:v>33.8</c:v>
                </c:pt>
                <c:pt idx="5">
                  <c:v>35.06</c:v>
                </c:pt>
                <c:pt idx="6">
                  <c:v>36.37</c:v>
                </c:pt>
                <c:pt idx="7">
                  <c:v>38.08</c:v>
                </c:pt>
                <c:pt idx="8">
                  <c:v>40.19</c:v>
                </c:pt>
                <c:pt idx="9">
                  <c:v>40.08</c:v>
                </c:pt>
                <c:pt idx="10">
                  <c:v>40.07</c:v>
                </c:pt>
                <c:pt idx="11">
                  <c:v>44.15</c:v>
                </c:pt>
              </c:numCache>
            </c:numRef>
          </c:val>
        </c:ser>
        <c:ser>
          <c:idx val="1"/>
          <c:order val="1"/>
          <c:tx>
            <c:strRef>
              <c:f>'地区-消费'!$A$3</c:f>
              <c:strCache>
                <c:ptCount val="1"/>
                <c:pt idx="0">
                  <c:v>欧洲</c:v>
                </c:pt>
              </c:strCache>
            </c:strRef>
          </c:tx>
          <c:spPr>
            <a:solidFill>
              <a:schemeClr val="bg1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'地区-消费'!$B$3:$M$3</c:f>
              <c:numCache>
                <c:formatCode>0_ </c:formatCode>
                <c:ptCount val="12"/>
                <c:pt idx="0">
                  <c:v>28.2</c:v>
                </c:pt>
                <c:pt idx="1">
                  <c:v>29.59</c:v>
                </c:pt>
                <c:pt idx="2">
                  <c:v>29.03</c:v>
                </c:pt>
                <c:pt idx="3">
                  <c:v>32.14</c:v>
                </c:pt>
                <c:pt idx="4">
                  <c:v>33.65</c:v>
                </c:pt>
                <c:pt idx="5">
                  <c:v>33.41</c:v>
                </c:pt>
                <c:pt idx="6">
                  <c:v>35.39</c:v>
                </c:pt>
                <c:pt idx="7">
                  <c:v>37.3</c:v>
                </c:pt>
                <c:pt idx="8">
                  <c:v>38.38</c:v>
                </c:pt>
                <c:pt idx="9">
                  <c:v>38.35</c:v>
                </c:pt>
                <c:pt idx="10">
                  <c:v>39.29</c:v>
                </c:pt>
                <c:pt idx="11">
                  <c:v>43.15</c:v>
                </c:pt>
              </c:numCache>
            </c:numRef>
          </c:val>
        </c:ser>
        <c:ser>
          <c:idx val="2"/>
          <c:order val="2"/>
          <c:tx>
            <c:strRef>
              <c:f>'地区-消费'!$A$4</c:f>
              <c:strCache>
                <c:ptCount val="1"/>
                <c:pt idx="0">
                  <c:v>亚太</c:v>
                </c:pt>
              </c:strCache>
            </c:strRef>
          </c:tx>
          <c:spPr>
            <a:solidFill>
              <a:schemeClr val="accent6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'地区-消费'!$B$4:$M$4</c:f>
              <c:numCache>
                <c:formatCode>0_ </c:formatCode>
                <c:ptCount val="12"/>
                <c:pt idx="0">
                  <c:v>58.8</c:v>
                </c:pt>
                <c:pt idx="1">
                  <c:v>63.58</c:v>
                </c:pt>
                <c:pt idx="2">
                  <c:v>57.81</c:v>
                </c:pt>
                <c:pt idx="3">
                  <c:v>65.77</c:v>
                </c:pt>
                <c:pt idx="4">
                  <c:v>68.63</c:v>
                </c:pt>
                <c:pt idx="5">
                  <c:v>73.35</c:v>
                </c:pt>
                <c:pt idx="6">
                  <c:v>73.58</c:v>
                </c:pt>
                <c:pt idx="7">
                  <c:v>76.12</c:v>
                </c:pt>
                <c:pt idx="8">
                  <c:v>76.89</c:v>
                </c:pt>
                <c:pt idx="9">
                  <c:v>79.7</c:v>
                </c:pt>
                <c:pt idx="10">
                  <c:v>82.15</c:v>
                </c:pt>
                <c:pt idx="11">
                  <c:v>85.79</c:v>
                </c:pt>
              </c:numCache>
            </c:numRef>
          </c:val>
        </c:ser>
        <c:ser>
          <c:idx val="3"/>
          <c:order val="3"/>
          <c:tx>
            <c:strRef>
              <c:f>'地区-消费'!$A$5</c:f>
              <c:strCache>
                <c:ptCount val="1"/>
                <c:pt idx="0">
                  <c:v>拉美</c:v>
                </c:pt>
              </c:strCache>
            </c:strRef>
          </c:tx>
          <c:spPr>
            <a:solidFill>
              <a:schemeClr val="tx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'地区-消费'!$B$5:$M$5</c:f>
              <c:numCache>
                <c:formatCode>0_ </c:formatCode>
                <c:ptCount val="12"/>
                <c:pt idx="0">
                  <c:v>4.61</c:v>
                </c:pt>
                <c:pt idx="1">
                  <c:v>3.67</c:v>
                </c:pt>
                <c:pt idx="2">
                  <c:v>2.77</c:v>
                </c:pt>
                <c:pt idx="3">
                  <c:v>3.35</c:v>
                </c:pt>
                <c:pt idx="4">
                  <c:v>4.94</c:v>
                </c:pt>
                <c:pt idx="5">
                  <c:v>5.96</c:v>
                </c:pt>
                <c:pt idx="6">
                  <c:v>5.9</c:v>
                </c:pt>
                <c:pt idx="7">
                  <c:v>3.86</c:v>
                </c:pt>
                <c:pt idx="8">
                  <c:v>3.76</c:v>
                </c:pt>
                <c:pt idx="9">
                  <c:v>3.96</c:v>
                </c:pt>
                <c:pt idx="10">
                  <c:v>5.05</c:v>
                </c:pt>
                <c:pt idx="11">
                  <c:v>3.77</c:v>
                </c:pt>
              </c:numCache>
            </c:numRef>
          </c:val>
        </c:ser>
        <c:ser>
          <c:idx val="4"/>
          <c:order val="4"/>
          <c:tx>
            <c:strRef>
              <c:f>'地区-消费'!$A$6</c:f>
              <c:strCache>
                <c:ptCount val="1"/>
                <c:pt idx="0">
                  <c:v>中东及非洲</c:v>
                </c:pt>
              </c:strCache>
            </c:strRef>
          </c:tx>
          <c:spPr>
            <a:solidFill>
              <a:schemeClr val="accent1">
                <a:lumMod val="75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'地区-消费'!$B$6:$M$6</c:f>
              <c:numCache>
                <c:formatCode>0_ </c:formatCode>
                <c:ptCount val="12"/>
                <c:pt idx="0">
                  <c:v>2.74</c:v>
                </c:pt>
                <c:pt idx="1">
                  <c:v>4.88</c:v>
                </c:pt>
                <c:pt idx="2">
                  <c:v>4.59</c:v>
                </c:pt>
                <c:pt idx="3">
                  <c:v>0.93</c:v>
                </c:pt>
                <c:pt idx="4">
                  <c:v>2.98</c:v>
                </c:pt>
                <c:pt idx="5">
                  <c:v>2.24</c:v>
                </c:pt>
                <c:pt idx="6">
                  <c:v>2.76</c:v>
                </c:pt>
                <c:pt idx="7">
                  <c:v>2.64</c:v>
                </c:pt>
                <c:pt idx="8">
                  <c:v>2.79</c:v>
                </c:pt>
                <c:pt idx="9">
                  <c:v>2.92</c:v>
                </c:pt>
                <c:pt idx="10">
                  <c:v>7.45</c:v>
                </c:pt>
                <c:pt idx="11">
                  <c:v>5.13</c:v>
                </c:pt>
              </c:numCache>
            </c:numRef>
          </c:val>
        </c:ser>
        <c:ser>
          <c:idx val="5"/>
          <c:order val="5"/>
          <c:tx>
            <c:strRef>
              <c:f>'地区-消费'!$A$7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4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'地区-消费'!$B$7:$M$7</c:f>
              <c:numCache>
                <c:formatCode>General</c:formatCode>
                <c:ptCount val="12"/>
              </c:numCache>
            </c:numRef>
          </c:val>
        </c:ser>
        <c:ser>
          <c:idx val="6"/>
          <c:order val="6"/>
          <c:tx>
            <c:strRef>
              <c:f>'地区-消费'!$A$8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2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'地区-消费'!$B$8:$M$8</c:f>
              <c:numCache>
                <c:formatCode>General</c:formatCode>
                <c:ptCount val="12"/>
              </c:numCache>
            </c:numRef>
          </c:val>
        </c:ser>
        <c:ser>
          <c:idx val="7"/>
          <c:order val="7"/>
          <c:tx>
            <c:strRef>
              <c:f>'地区-消费'!$A$9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bg2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'地区-消费'!$B$9:$M$9</c:f>
              <c:numCache>
                <c:formatCode>General</c:formatCode>
                <c:ptCount val="12"/>
              </c:numCache>
            </c:numRef>
          </c:val>
        </c:ser>
        <c:ser>
          <c:idx val="8"/>
          <c:order val="8"/>
          <c:tx>
            <c:strRef>
              <c:f>'地区-消费'!$A$10</c:f>
              <c:strCache>
                <c:ptCount val="1"/>
                <c:pt idx="0">
                  <c:v/>
                </c:pt>
              </c:strCache>
            </c:strRef>
          </c:tx>
          <c:spPr>
            <a:solidFill>
              <a:schemeClr val="accent5">
                <a:lumMod val="60000"/>
                <a:lumOff val="40000"/>
              </a:schemeClr>
            </a:solidFill>
            <a:ln>
              <a:noFill/>
            </a:ln>
            <a:effectLst/>
          </c:spPr>
          <c:invertIfNegative val="0"/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'地区-消费'!$B$10:$M$10</c:f>
              <c:numCache>
                <c:formatCode>General</c:formatCode>
                <c:ptCount val="12"/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5"/>
        <c:overlap val="100"/>
        <c:axId val="2101581920"/>
        <c:axId val="2101559456"/>
      </c:barChart>
      <c:lineChart>
        <c:grouping val="stacked"/>
        <c:varyColors val="0"/>
        <c:ser>
          <c:idx val="9"/>
          <c:order val="9"/>
          <c:tx>
            <c:strRef>
              <c:f>'地区-消费'!$A$11</c:f>
              <c:strCache>
                <c:ptCount val="1"/>
                <c:pt idx="0">
                  <c:v>Total</c:v>
                </c:pt>
              </c:strCache>
            </c:strRef>
          </c:tx>
          <c:spPr>
            <a:ln w="28575" cap="rnd">
              <a:solidFill>
                <a:srgbClr val="002060"/>
              </a:solidFill>
              <a:round/>
            </a:ln>
            <a:effectLst/>
          </c:spPr>
          <c:marker>
            <c:symbol val="diamond"/>
            <c:size val="8"/>
            <c:spPr>
              <a:solidFill>
                <a:srgbClr val="FFC000"/>
              </a:solidFill>
              <a:ln w="9525">
                <a:solidFill>
                  <a:schemeClr val="accent4">
                    <a:lumMod val="60000"/>
                  </a:schemeClr>
                </a:solidFill>
              </a:ln>
              <a:effectLst/>
            </c:spPr>
          </c:marker>
          <c:dLbls>
            <c:delete val="1"/>
          </c:dLbls>
          <c:cat>
            <c:numRef>
              <c:f>'地区-消费'!$B$1:$M$1</c:f>
              <c:numCache>
                <c:formatCode>General</c:formatCode>
                <c:ptCount val="12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  <c:pt idx="3">
                  <c:v>2021</c:v>
                </c:pt>
                <c:pt idx="4">
                  <c:v>2022</c:v>
                </c:pt>
                <c:pt idx="5">
                  <c:v>2023</c:v>
                </c:pt>
                <c:pt idx="6">
                  <c:v>2024</c:v>
                </c:pt>
                <c:pt idx="7">
                  <c:v>2025</c:v>
                </c:pt>
                <c:pt idx="8">
                  <c:v>2026</c:v>
                </c:pt>
                <c:pt idx="9">
                  <c:v>2027</c:v>
                </c:pt>
                <c:pt idx="10">
                  <c:v>2028</c:v>
                </c:pt>
                <c:pt idx="11">
                  <c:v>2029</c:v>
                </c:pt>
              </c:numCache>
            </c:numRef>
          </c:cat>
          <c:val>
            <c:numRef>
              <c:f>'地区-消费'!$B$11:$M$11</c:f>
              <c:numCache>
                <c:formatCode>#,##0_);[Red]\(#,##0\)</c:formatCode>
                <c:ptCount val="12"/>
                <c:pt idx="0">
                  <c:v>125</c:v>
                </c:pt>
                <c:pt idx="1">
                  <c:v>134</c:v>
                </c:pt>
                <c:pt idx="2">
                  <c:v>123.01</c:v>
                </c:pt>
                <c:pt idx="3">
                  <c:v>135</c:v>
                </c:pt>
                <c:pt idx="4">
                  <c:v>144</c:v>
                </c:pt>
                <c:pt idx="5">
                  <c:v>150.02</c:v>
                </c:pt>
                <c:pt idx="6">
                  <c:v>154</c:v>
                </c:pt>
                <c:pt idx="7">
                  <c:v>158</c:v>
                </c:pt>
                <c:pt idx="8">
                  <c:v>162.01</c:v>
                </c:pt>
                <c:pt idx="9">
                  <c:v>165.01</c:v>
                </c:pt>
                <c:pt idx="10">
                  <c:v>174.01</c:v>
                </c:pt>
                <c:pt idx="11">
                  <c:v>181.99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01602720"/>
        <c:axId val="2101608960"/>
      </c:lineChart>
      <c:catAx>
        <c:axId val="210158192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559456"/>
        <c:crosses val="autoZero"/>
        <c:auto val="1"/>
        <c:lblAlgn val="ctr"/>
        <c:lblOffset val="100"/>
        <c:noMultiLvlLbl val="0"/>
      </c:catAx>
      <c:valAx>
        <c:axId val="2101559456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_);[Red]\(#,##0\)" sourceLinked="0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581920"/>
        <c:crosses val="autoZero"/>
        <c:crossBetween val="between"/>
      </c:valAx>
      <c:catAx>
        <c:axId val="2101602720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</a:p>
        </c:txPr>
        <c:crossAx val="2101608960"/>
        <c:crosses val="autoZero"/>
        <c:auto val="1"/>
        <c:lblAlgn val="ctr"/>
        <c:lblOffset val="100"/>
        <c:noMultiLvlLbl val="0"/>
      </c:catAx>
      <c:valAx>
        <c:axId val="2101608960"/>
        <c:scaling>
          <c:orientation val="minMax"/>
        </c:scaling>
        <c:delete val="0"/>
        <c:axPos val="r"/>
        <c:numFmt formatCode="0.0%" sourceLinked="0"/>
        <c:majorTickMark val="out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charset="0"/>
                <a:ea typeface="+mn-ea"/>
                <a:cs typeface="Times New Roman" panose="02020603050405020304" charset="0"/>
              </a:defRPr>
            </a:pPr>
          </a:p>
        </c:txPr>
        <c:crossAx val="2101602720"/>
        <c:crosses val="max"/>
        <c:crossBetween val="between"/>
      </c:valAx>
      <c:spPr>
        <a:noFill/>
        <a:ln>
          <a:noFill/>
        </a:ln>
        <a:effectLst/>
      </c:spPr>
    </c:plotArea>
    <c:legend>
      <c:legendPos val="b"/>
      <c:legendEntry>
        <c:idx val="5"/>
        <c:delete val="1"/>
      </c:legendEntry>
      <c:legendEntry>
        <c:idx val="6"/>
        <c:delete val="1"/>
      </c:legendEntry>
      <c:legendEntry>
        <c:idx val="7"/>
        <c:delete val="1"/>
      </c:legendEntry>
      <c:legendEntry>
        <c:idx val="8"/>
        <c:delete val="1"/>
      </c:legendEntry>
      <c:layout>
        <c:manualLayout>
          <c:xMode val="edge"/>
          <c:yMode val="edge"/>
          <c:x val="0.0695485312899106"/>
          <c:y val="0.865502222222222"/>
          <c:w val="0.860902937420179"/>
          <c:h val="0.113331111111111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charset="0"/>
              <a:ea typeface="+mn-ea"/>
              <a:cs typeface="Times New Roman" panose="02020603050405020304" charset="0"/>
            </a:defRPr>
          </a:pPr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275B8C-814F-4F29-859C-11E77194256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1885</Words>
  <Characters>2132</Characters>
  <Lines>16</Lines>
  <Paragraphs>4</Paragraphs>
  <TotalTime>0</TotalTime>
  <ScaleCrop>false</ScaleCrop>
  <LinksUpToDate>false</LinksUpToDate>
  <CharactersWithSpaces>2133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2023-10-09T01:19:00Z</dcterms:created>
  <dc:creator>yangj</dc:creator>
  <cp:lastModifiedBy>Administrator</cp:lastModifiedBy>
  <dcterms:modified xsi:type="dcterms:W3CDTF">2023-10-10T09:25:40Z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340EA11488BF442E8444A1EB4D7F9DB0_13</vt:lpwstr>
  </property>
</Properties>
</file>