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603" w:afterLines="100" w:line="600" w:lineRule="exact"/>
        <w:jc w:val="center"/>
        <w:textAlignment w:val="auto"/>
        <w:rPr>
          <w:rFonts w:hint="eastAsia" w:ascii="方正小标宋简体" w:hAnsi="方正小标宋简体" w:eastAsia="方正小标宋简体" w:cs="方正小标宋简体"/>
          <w:color w:val="auto"/>
          <w:sz w:val="44"/>
          <w:szCs w:val="44"/>
          <w:highlight w:val="none"/>
          <w:lang w:val="en-US" w:eastAsia="zh-CN"/>
        </w:rPr>
      </w:pPr>
      <w:bookmarkStart w:id="0" w:name="_GoBack"/>
      <w:r>
        <w:rPr>
          <w:rFonts w:hint="eastAsia" w:ascii="方正小标宋简体" w:hAnsi="方正小标宋简体" w:eastAsia="方正小标宋简体" w:cs="方正小标宋简体"/>
          <w:color w:val="auto"/>
          <w:sz w:val="44"/>
          <w:szCs w:val="44"/>
          <w:highlight w:val="none"/>
          <w:lang w:val="en-US" w:eastAsia="zh-CN"/>
        </w:rPr>
        <w:t>《反不正当竞争法》解读</w:t>
      </w:r>
      <w:bookmarkEnd w:id="0"/>
      <w:r>
        <w:rPr>
          <w:rFonts w:hint="eastAsia" w:ascii="方正小标宋简体" w:hAnsi="方正小标宋简体" w:eastAsia="方正小标宋简体" w:cs="方正小标宋简体"/>
          <w:color w:val="auto"/>
          <w:sz w:val="44"/>
          <w:szCs w:val="44"/>
          <w:highlight w:val="none"/>
          <w:lang w:val="en-US" w:eastAsia="zh-CN"/>
        </w:rPr>
        <w:t>（一）概述</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一、反不正当竞争法的概念</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反不正当竞争法，是指为了禁止经营者在市场交易中不正当竞争行为，维护市场竞争正常秩序，提高市场运行效率的法律制度。它的调整对象主要是从事和参与市场交易、向市场提供商品或服务的经营者在经营过程中竞争行为发生的法律关系。该法中经营者是指从事商品生产、经营或提供服务的自然、法人和非法人组织。</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二、反不正当竞争法的发展历程</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中华人民共和国反不正当竞争法》于1993年9月2日在我国第八届全国人民代表大会常务委员会第三次会议上通过，自1993年12月1日起施行，并于2017年11月4日第十二届全国人民代表大会常务委员会第三十次会议修订、2019年4月23日第十三届全国人民代表大会常务委员会第十次会议修正。</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三、反不正当竞争法的立法目的</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反不正当竞争法的立法目的有三个方面。</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（一）促进社会主义市场经济健康发展</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本法立法的首要目的，就是通过对不正当竞争行为的规制来保障市场机制的有效运行，促进社会主义市场经济长期健康发展。</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（二）鼓励和保护公平竞争，制止不正当竞争行为</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本法支持、鼓励和保护经营者通过正当、合理、公平、公正的手段进行竞争，反对、制止和惩处经营者以违反公平原则和商业道德的手段进行不正当竞争。本法通过为经营者提供公平竞争的基本规则，维护公平竞争的市场秩序，从而使经营者能够在公平的环境和条件下开展竞争。</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黑体" w:hAnsi="黑体" w:eastAsia="黑体" w:cs="黑体"/>
          <w:b w:val="0"/>
          <w:bCs w:val="0"/>
          <w:color w:val="auto"/>
          <w:sz w:val="32"/>
          <w:szCs w:val="32"/>
          <w:lang w:val="en-US" w:eastAsia="zh-CN"/>
        </w:rPr>
        <w:t>（三）保护经营者和消费者的合法权益</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本法对经营者的保护是直接的，既体现在依照本法处理竞争纠纷时维护涉案经营者的合法权益,也体现在通过本法维护公平竞争的市场秩序，使经营者在公平竞争的市场环境中取得经营收益。同时，本法也保护消费者的合法权益。主要体现在通过维护公平竞争的市场秩序，降低经营者的生产经营成本和消费者购买商品时的选择成本，提高消费者福利，维护消费者权益。需要注意的是，本法主要通过规范和调整竞争关系，维护竞争秩序来实现对消费者权益的保护。因此，对于经营者实施的损害消费者的合法权益但不涉及竞争关系、竞争秩序的行为，不属于本法的调整范围。</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四、不正当竞争行为的概念</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根据《中华人民共和国反不正当竞争法》，不正当竞争行为是指经营者在生产经营活动中，违反本法规定，扰乱市场竞争秩序，损害其他经营者或者消费者的合法权益的行为。反不正当竞争法中列举了七种行为属于不正当竞争行为，包括商业混淆、商业贿赂、虚假宣传、侵犯商业秘密、商业诋毁、不正当有奖销售、互联网不正当竞争行为。</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五、不正当竞争行为的危害</w:t>
      </w:r>
    </w:p>
    <w:p>
      <w:pPr>
        <w:keepNext w:val="0"/>
        <w:keepLines w:val="0"/>
        <w:pageBreakBefore w:val="0"/>
        <w:widowControl w:val="0"/>
        <w:kinsoku/>
        <w:wordWrap/>
        <w:overflowPunct/>
        <w:topLinePunct w:val="0"/>
        <w:autoSpaceDE/>
        <w:autoSpaceDN/>
        <w:bidi w:val="0"/>
        <w:adjustRightInd/>
        <w:snapToGrid/>
        <w:spacing w:after="603" w:afterLines="100" w:line="560" w:lineRule="exact"/>
        <w:jc w:val="left"/>
        <w:textAlignment w:val="auto"/>
        <w:rPr>
          <w:rFonts w:hint="eastAsia" w:ascii="方正小标宋简体" w:hAnsi="方正小标宋简体" w:eastAsia="方正小标宋简体" w:cs="方正小标宋简体"/>
          <w:color w:val="auto"/>
          <w:sz w:val="44"/>
          <w:szCs w:val="44"/>
          <w:highlight w:val="none"/>
          <w:lang w:val="en-US" w:eastAsia="zh-CN"/>
        </w:rPr>
      </w:pPr>
      <w:r>
        <w:rPr>
          <w:rFonts w:hint="eastAsia" w:ascii="仿宋_GB2312" w:hAnsi="仿宋_GB2312" w:cs="仿宋_GB2312"/>
          <w:color w:val="auto"/>
          <w:sz w:val="32"/>
          <w:szCs w:val="32"/>
          <w:lang w:val="en-US" w:eastAsia="zh-CN"/>
        </w:rPr>
        <w:t>不正当竞争行为一方面损害了其他经营者和消费者的合法权益，另一方面也扭曲和破坏了正常的市场竞争机制，恶化了营商环境，导致经济资源的不合理配置，影响经济高质量发展</w:t>
      </w:r>
      <w:r>
        <w:rPr>
          <w:rFonts w:hint="eastAsia" w:ascii="方正小标宋简体" w:hAnsi="方正小标宋简体" w:eastAsia="方正小标宋简体" w:cs="方正小标宋简体"/>
          <w:color w:val="auto"/>
          <w:sz w:val="44"/>
          <w:szCs w:val="4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after="603" w:afterLines="100" w:line="600" w:lineRule="exact"/>
        <w:jc w:val="center"/>
        <w:textAlignment w:val="auto"/>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《反不正当竞争法》解读（二）不正当竞争行为——混淆行为</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32"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一、什么是混淆行为</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混淆行为是不正当竞争行为中最典型、最多发的行为之一，就是我们俗称的“傍名牌”，即通过仿冒他人商品标识、企业主体标识、生产经营活动标识等，引人将自己的商品误认为是他人商品或者与他人存在特定联系，以借用他人或者他人商品的影响力、美誉度，提高自己以及自己商品的市场竞争力。</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在生产经营活动中，经营者应当通过自身努力，提高商品或者服务的质量，增加影响力和美誉度，从而提高市场竞争力。但是实践中，有的经营者试图通过“搭便车”“傍名牌”的方式不劳而获，混淆行为不但损害了被混淆对象的合法权益，欺骗、误导了消费者，而且扰乱了市场竞争秩序。</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32"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二、混淆行为的表现形式</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32"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（一）擅自使用与他人有一定影响的商品名称、包装、装潢等相同或者近似的标识</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案例1】林某从某食品有限公司购进“椰林美”椰汁1150箱在其商行进行销售。该商品外包装、装潢与椰树集团有限公司的商品“椰树”椰汁的外包装、装潢相近似，两种产品图案都是黑色为主颜色，图案都有长方形，长方形内有一个小梯形，长方形右下角都有一个装有白色液体的玻璃杯，玻璃杯旁边是椰子，椰子下面是一个小长方形等相近似图案，让人难以辨认真伪，容易使一般购买者和消费者对商品来源产生误认，或者认为其来源与椰树集团有限公司的“椰树”椰子汁有特定的联系。经调查，某区市场监督管理局决定没收涉案商品并处以罚款。</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32"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（二）擅自使用他人有一定影响的企业名称（包括简称、字号等）、社会组织名称（包括简称等）、姓名（包括笔名、艺名、译名等）</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案例2】A公司于2002年开始使用“某光电”企业字号，经过多年的宣传和使用，该字号及商标具有相应的市场价值和一定的影响力，应当作为反不正当竞争法中的企业字号予以保护。B公司登记的企业名称完整包含“某光电”字号，并在官方网站及广告宣传中发现多处与“某光电”字号近似的标识。B公司登记的企业名称远晚于A公司，而经营范围与A公司行业相关，双方存在竞争关系，且B公司不能证明其使用字样具有合理依据，因此其行为应当认定为不正当竞争行为，应承担停止侵害、消除影响、赔偿损失的责任。</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32"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（三）擅自使用他人有一定影响的域名主体部分、网站名称、网页等</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案例3】A公司为一家从事计算机网络技术开发与服务的企业，甲某原为A公司的员工。甲某在职期间成立了一家经营范围、业务类型与A公司相近的B公司，并担任B公司的法定代表人。甲某从A公司离职后，A公司收到甲某以B公司总经理名义发出的电子邮件。甲某在该邮件后附上其电子名片，名片附有B公司的商号和logo，记载了甲某的姓名、邮箱和联系方式、B公司的经营地址和公司网址，网址英文与B公司名称发音相似。A公司点击该电子名片上的网址后，网页直接跳转到了A公司的网页。A公司及其网站在行业内具有显著影响力，且B公司、甲某的行为足以导致公众及客户误以为两家公司存在特定联系，因此该行为构成不正当竞争。</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32"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三、法律责任</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32"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（一）民事责任</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1.经营者违反《反不正当竞争法》规定，给他人造成损害的，应当依法承担民事责任。</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2.经营者的合法权益受到不正当竞争行为损害的，可以向人民法院提起诉讼。</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3.因不正当竞争行为受到损害的经营者的赔偿数额，按照其因被侵权所受到的实际损失确定；实际损失难以计算的，按照侵权人因侵权所获得的利益确定。赔偿数额还应当包括经营者为制止侵权行为所支付的合理开支。</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4.经营者违法实施了混淆行为，权利人因被侵权所受到的实际损失、侵权人因侵权所获得的利益难以确定的，由人民法院根据侵权行为的情节判决给予权利人五百万元以下的赔偿。</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32"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（二）行政责任</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经营者实施混淆行为的，由监督检查部门责令停止违法行为，没收违法商品。违法经营额五万元以上的，可以并处违法经营额五倍以下的罚款；没有违法经营额或者违法经营额不足五万元的，可以并处二十五万元以下的罚款；情节严重的，吊销营业执照。</w:t>
      </w:r>
    </w:p>
    <w:p>
      <w:pPr>
        <w:keepNext w:val="0"/>
        <w:keepLines w:val="0"/>
        <w:pageBreakBefore w:val="0"/>
        <w:widowControl w:val="0"/>
        <w:kinsoku/>
        <w:wordWrap/>
        <w:overflowPunct/>
        <w:topLinePunct w:val="0"/>
        <w:autoSpaceDE/>
        <w:autoSpaceDN/>
        <w:bidi w:val="0"/>
        <w:adjustRightInd/>
        <w:snapToGrid/>
        <w:spacing w:after="603" w:afterLines="100" w:line="600" w:lineRule="exact"/>
        <w:jc w:val="center"/>
        <w:textAlignment w:val="auto"/>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《反不正当竞争法》解读（三）不正当竞争行为——商业贿赂</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一、什么是商业贿赂</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商业贿赂，是指以排斥竞争对手为目的，为使自己在销售、购买商品或提供服务等业务活动中获取交易机会或竞争优势，而采取的给予交易相对方人或能够影响交易的其他相关单位或个人财物或其他利益的不正当竞争行为。商业贿赂造成经营者之间的不平等竞争，破坏了公平竞争秩序，同时也会造成物价虚高，加重国家和群众的负担。</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商业贿赂的主体包括行贿者与行贿对象。行贿者是经营者。行贿对象主要包括交易相对方的工作人员、受交易相对方委托办理相关事务的单位或者个人、利用职权或者影响力影响交易的单位或者个人。</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黑体" w:hAnsi="黑体" w:eastAsia="黑体" w:cs="黑体"/>
          <w:b w:val="0"/>
          <w:bCs w:val="0"/>
          <w:color w:val="auto"/>
          <w:sz w:val="32"/>
          <w:szCs w:val="32"/>
          <w:lang w:val="en-US" w:eastAsia="zh-CN"/>
        </w:rPr>
        <w:t>二、商业贿赂的常见手段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实践中，商业贿赂的常见手段有以下几种：</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1.直接给付财物，如购物卡、礼品、礼金、微信转账、充值卡、加油卡、话费等。</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2.给予回扣，主要发生在商品销售领域，经营者暗中从账外抽出销售额或营业额的一定比例贿赂对方。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3.免费使用服务，提供仪器设备或服务供免费使用。</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4.支付各种费用，表现为学术培训费、会议费、交流费、科研费、咨询费等形式。</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5.提供娱乐、免费旅游等其他手段，提供国内外的旅游、考察以及各种娱乐活动等给付财务以外的其他利益的手段也属于商业贿赂。</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除了上述几种手段，随着商业贿赂案件查处力度不断加大，一些企业也采取更为隐蔽、复杂的手段，为贿赂行为披上“合法外衣”。</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案例1】A有限公司自2012年开始成为B股份有限公司的配件供应商，赵某作为B公司的采购主管，有代表公司向各个供应商派放订单的权利。2015年10月29日至2020年3月31日，A公司出于获得B公司更多订单量以及维持原产品订单量的目的，以“每采购1根灯管给1元”支付赵某共计好处费15.5万元。</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案例2】某医疗器械有限公司主要销售加压螺钉、金属接骨板等骨科医疗器械。2020年1月至2021年12月，该公司将无菌植入类骨科产品（加压螺钉、金属接骨板等）销售给某外省市人民医院。期间向该院支付“消毒费”5万余元，以管理费用名义入账。</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案例3】某信息技术有限公司为某通信的400电话的安装及后续维护等电信增值服务代理服务商之一，主要从事推广400电话安装使用等经营业务。2021年6月，该信息技术有限公司的业务员为推广业务，向其他企业工作人员承诺给付30%业务返点，诱使其将公司客户介绍给当事人，获取交易机会。先后达成2笔有效交易，支付返点4500元和1500元。当事人获利近2000元。</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三、法律责任</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（一）民事责任</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1.经营者违反《反不正当竞争法》规定，给他人造成损害的，应当依法承担民事责任。</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2.经营者的合法权益受到不正当竞争行为损害的，可以向人民法院提起诉讼。</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3.因不正当竞争行为受到损害的经营者的赔偿数额，按照其因被侵权所受到的实际损失确定；实际损失难以计算的，按照侵权人因侵权所获得的利益确定。赔偿数额还应当包括经营者为制止侵权行为所支付的合理开支。</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（二）行政责任</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经营者违反《反不正当竞争法》贿赂他人的，由监督检查部门没收违法所得，处十万元以上三百万元以下的罚款；情节严重的，吊销营业执照。</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《反不正当竞争法》解读（四）不正当</w:t>
      </w:r>
    </w:p>
    <w:p>
      <w:pPr>
        <w:keepNext w:val="0"/>
        <w:keepLines w:val="0"/>
        <w:pageBreakBefore w:val="0"/>
        <w:widowControl w:val="0"/>
        <w:kinsoku/>
        <w:wordWrap/>
        <w:overflowPunct/>
        <w:topLinePunct w:val="0"/>
        <w:autoSpaceDE/>
        <w:autoSpaceDN/>
        <w:bidi w:val="0"/>
        <w:adjustRightInd/>
        <w:snapToGrid/>
        <w:spacing w:after="603" w:afterLines="100" w:line="600" w:lineRule="exact"/>
        <w:jc w:val="center"/>
        <w:textAlignment w:val="auto"/>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竞争行为——虚假宣传</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eastAsia="zh-CN"/>
        </w:rPr>
        <w:t>一、什么是虚假宣传</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仿宋_GB2312" w:hAnsi="仿宋_GB2312" w:cs="仿宋_GB2312"/>
          <w:color w:val="auto"/>
          <w:sz w:val="32"/>
          <w:szCs w:val="32"/>
          <w:lang w:eastAsia="zh-CN"/>
        </w:rPr>
      </w:pPr>
      <w:r>
        <w:rPr>
          <w:rFonts w:hint="eastAsia" w:ascii="仿宋_GB2312" w:hAnsi="仿宋_GB2312" w:cs="仿宋_GB2312"/>
          <w:color w:val="auto"/>
          <w:sz w:val="32"/>
          <w:szCs w:val="32"/>
          <w:lang w:eastAsia="zh-CN"/>
        </w:rPr>
        <w:t>根据《中华人民共和国反不正当竞争法》</w:t>
      </w:r>
      <w:r>
        <w:rPr>
          <w:rFonts w:hint="eastAsia" w:ascii="仿宋_GB2312" w:hAnsi="仿宋_GB2312" w:cs="仿宋_GB2312"/>
          <w:b/>
          <w:bCs/>
          <w:color w:val="auto"/>
          <w:sz w:val="32"/>
          <w:szCs w:val="32"/>
          <w:lang w:eastAsia="zh-CN"/>
        </w:rPr>
        <w:t>第八条</w:t>
      </w:r>
      <w:r>
        <w:rPr>
          <w:rFonts w:hint="eastAsia" w:ascii="仿宋_GB2312" w:hAnsi="仿宋_GB2312" w:cs="仿宋_GB2312"/>
          <w:color w:val="auto"/>
          <w:sz w:val="32"/>
          <w:szCs w:val="32"/>
          <w:lang w:eastAsia="zh-CN"/>
        </w:rPr>
        <w:t>，</w:t>
      </w:r>
      <w:r>
        <w:rPr>
          <w:rFonts w:hint="eastAsia" w:ascii="仿宋_GB2312" w:hAnsi="仿宋_GB2312" w:cs="仿宋_GB2312"/>
          <w:color w:val="auto"/>
          <w:sz w:val="32"/>
          <w:szCs w:val="32"/>
          <w:u w:val="single"/>
          <w:lang w:eastAsia="zh-CN"/>
        </w:rPr>
        <w:t>虚假宣传是指经营者对其商品的性能、功能、质量、销售状况、用户评价、曾获荣誉作虚假或者引人误解的商业宣传的行为。</w:t>
      </w:r>
      <w:r>
        <w:rPr>
          <w:rFonts w:hint="eastAsia" w:ascii="仿宋_GB2312" w:hAnsi="仿宋_GB2312" w:cs="仿宋_GB2312"/>
          <w:color w:val="auto"/>
          <w:sz w:val="32"/>
          <w:szCs w:val="32"/>
          <w:lang w:eastAsia="zh-CN"/>
        </w:rPr>
        <w:t>通过组织虚假交易等方式，帮助其他经营者欺骗、误导消费者的行为也属于虚假宣传。</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eastAsia="zh-CN"/>
        </w:rPr>
        <w:t>二、虚假宣传的常见“套路”</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仿宋_GB2312" w:hAnsi="仿宋_GB2312" w:cs="仿宋_GB2312"/>
          <w:color w:val="auto"/>
          <w:sz w:val="32"/>
          <w:szCs w:val="32"/>
          <w:lang w:eastAsia="zh-CN"/>
        </w:rPr>
      </w:pPr>
      <w:r>
        <w:rPr>
          <w:rFonts w:hint="eastAsia" w:ascii="黑体" w:hAnsi="黑体" w:eastAsia="黑体" w:cs="黑体"/>
          <w:b w:val="0"/>
          <w:bCs w:val="0"/>
          <w:color w:val="auto"/>
          <w:sz w:val="32"/>
          <w:szCs w:val="32"/>
          <w:lang w:eastAsia="zh-CN"/>
        </w:rPr>
        <w:t>（一）对商品的用途、功能以及其他特性做虚假宣传</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仿宋_GB2312" w:hAnsi="仿宋_GB2312" w:cs="仿宋_GB2312"/>
          <w:color w:val="auto"/>
          <w:sz w:val="32"/>
          <w:szCs w:val="32"/>
          <w:lang w:eastAsia="zh-CN"/>
        </w:rPr>
      </w:pPr>
      <w:r>
        <w:rPr>
          <w:rFonts w:hint="eastAsia" w:ascii="仿宋_GB2312" w:hAnsi="仿宋_GB2312" w:cs="仿宋_GB2312"/>
          <w:color w:val="auto"/>
          <w:sz w:val="32"/>
          <w:szCs w:val="32"/>
          <w:lang w:eastAsia="zh-CN"/>
        </w:rPr>
        <w:t>【案例1】某公司在某电商平台所售的“××臻白礼盒（洁面＋水＋乳＋精华液）美白淡斑”发布有“控油、均匀肤色、提亮肤色、细致毛孔、适用肤质：混合性、敏感性、任何肤质”的宣传内容。该产品为组合产品，由洁颜泡沫、凝润水、乳、精华液、面膜、面霜及次抛精华组成。依据该公司提供的产品检测报告、国家药品监督管理局官网查询的功效宣称等相关材料，仅能认定上述组合产品具有祛斑美白、保湿、滋养、抗皱、紧致的功效。因此，认定该公司发布的“控油、均匀肤色、提亮肤色、细致毛孔、适用肤质：混合性、敏感性、任何肤质”的宣传内容无相关依据，构成虚假宣传。</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eastAsia="zh-CN"/>
        </w:rPr>
        <w:t>（二）对商品原料做虚假宣传</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仿宋_GB2312" w:hAnsi="仿宋_GB2312" w:cs="仿宋_GB2312"/>
          <w:color w:val="auto"/>
          <w:sz w:val="32"/>
          <w:szCs w:val="32"/>
          <w:lang w:eastAsia="zh-CN"/>
        </w:rPr>
      </w:pPr>
      <w:r>
        <w:rPr>
          <w:rFonts w:hint="eastAsia" w:ascii="仿宋_GB2312" w:hAnsi="仿宋_GB2312" w:cs="仿宋_GB2312"/>
          <w:color w:val="auto"/>
          <w:sz w:val="32"/>
          <w:szCs w:val="32"/>
          <w:lang w:eastAsia="zh-CN"/>
        </w:rPr>
        <w:t>【案例2】某餐饮公司以“谷**和牛烧肉”作为品牌，以电子菜单的形式供消费者点单。自2020年6月起，当事人为提升品牌形象，将菜品名称取名为“**心头肉·和牛横膈膜”，并于图文详情标注“心头肉，是牛身上非常稀有的一个部位，靠近牛心脏部位与心脏连接，采用澳洲和牛m9级横膈膜，口感厚实，入口油脂在舌尖，味道香浓”等内容。自2020年5月至2023年5月，该公司采购“冷冻牛肉黑安格斯极佳级去骨外裙肉”等原料，用于制作上述“**心头肉·和牛横膈膜”等菜品。该公司仅能提供上述原料的入境货物检验检疫证明、海关进口货物报关单以及相关发票等凭证，无法提供采购和牛横膈膜的相关凭证。该公司销售菜品时，菜品宣传的原料“和牛”品种与原料实际“安格斯”品种不符的行为，构成了对菜品原料作虚假或者引人误解的宣传的行为。</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eastAsia="zh-CN"/>
        </w:rPr>
        <w:t>（三）对用户评价和交易数量做虚假宣传</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仿宋_GB2312" w:hAnsi="仿宋_GB2312" w:cs="仿宋_GB2312"/>
          <w:color w:val="auto"/>
          <w:sz w:val="32"/>
          <w:szCs w:val="32"/>
          <w:lang w:eastAsia="zh-CN"/>
        </w:rPr>
      </w:pPr>
      <w:r>
        <w:rPr>
          <w:rFonts w:hint="eastAsia" w:ascii="仿宋_GB2312" w:hAnsi="仿宋_GB2312" w:cs="仿宋_GB2312"/>
          <w:color w:val="auto"/>
          <w:sz w:val="32"/>
          <w:szCs w:val="32"/>
          <w:lang w:eastAsia="zh-CN"/>
        </w:rPr>
        <w:t>【案例3】2022年下半年，某公司为淘宝天猫平台的经营者，为了增加店铺人气和产品热度、让消费者能够更好地看到该公司产品从而进行购买，通过营销电话加入了“老K”软件的刷单平台。通过“老K”平台发布刷单任务后，平台内刷手接单进行刷单，刷手虚假交易后会上传订单单号，由此可区分正常消费者的订单和虚构订单。该公司利用软件刷单的方式增加自营店铺虚假数据的行为，属于虚假宣传行为。</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eastAsia="zh-CN"/>
        </w:rPr>
        <w:t>（四）对商品曾获荣誉做虚假宣传</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仿宋_GB2312" w:hAnsi="仿宋_GB2312" w:cs="仿宋_GB2312"/>
          <w:color w:val="auto"/>
          <w:sz w:val="32"/>
          <w:szCs w:val="32"/>
          <w:lang w:eastAsia="zh-CN"/>
        </w:rPr>
      </w:pPr>
      <w:r>
        <w:rPr>
          <w:rFonts w:hint="eastAsia" w:ascii="仿宋_GB2312" w:hAnsi="仿宋_GB2312" w:cs="仿宋_GB2312"/>
          <w:color w:val="auto"/>
          <w:sz w:val="32"/>
          <w:szCs w:val="32"/>
          <w:lang w:eastAsia="zh-CN"/>
        </w:rPr>
        <w:t>【案例4】某市市场监管局执法人员对某家具公司进行现场检查时发现，该公司员工正在装卸印有“CCTV 7央视上榜品牌 XX家居”、“CCTV 7央视上榜品牌 XX家居 美佳琦”字样的沙发和“XKER 欣可尔”字样的软床若干套。在库房发现有“CCTV 7央视上榜品牌 XX家居”沙发170套、“CCTV 7央视上榜品牌 XX家居 美佳琦”沙发100套、“XKER 欣可尔”软床200套以及印有“CCTV 7央视上榜品牌”等字样的包装袋600多个。该公司并未得到中央电视台的授权，就在产品上标注“CCTV 7 ”频道台标和“央视上榜品牌”字样，利用中央电视台的影响力为产品作宣传，误导消费者，构成虚假宣传。</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eastAsia="zh-CN"/>
        </w:rPr>
        <w:t>三、法律责任</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eastAsia="zh-CN"/>
        </w:rPr>
        <w:t>（一）民事责任</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仿宋_GB2312" w:hAnsi="仿宋_GB2312" w:cs="仿宋_GB2312"/>
          <w:color w:val="auto"/>
          <w:sz w:val="32"/>
          <w:szCs w:val="32"/>
          <w:lang w:eastAsia="zh-CN"/>
        </w:rPr>
      </w:pPr>
      <w:r>
        <w:rPr>
          <w:rFonts w:hint="eastAsia" w:ascii="仿宋_GB2312" w:hAnsi="仿宋_GB2312" w:cs="仿宋_GB2312"/>
          <w:color w:val="auto"/>
          <w:sz w:val="32"/>
          <w:szCs w:val="32"/>
          <w:lang w:eastAsia="zh-CN"/>
        </w:rPr>
        <w:t>1.经营者违反《反不正当竞争法》规定，给他人造成损害的，应当依法承担民事责任。</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仿宋_GB2312" w:hAnsi="仿宋_GB2312" w:cs="仿宋_GB2312"/>
          <w:color w:val="auto"/>
          <w:sz w:val="32"/>
          <w:szCs w:val="32"/>
          <w:lang w:eastAsia="zh-CN"/>
        </w:rPr>
      </w:pPr>
      <w:r>
        <w:rPr>
          <w:rFonts w:hint="eastAsia" w:ascii="仿宋_GB2312" w:hAnsi="仿宋_GB2312" w:cs="仿宋_GB2312"/>
          <w:color w:val="auto"/>
          <w:sz w:val="32"/>
          <w:szCs w:val="32"/>
          <w:lang w:eastAsia="zh-CN"/>
        </w:rPr>
        <w:t>2.经营者的合法权益受到不正当竞争行为损害的，可以向人民法院提起诉讼。</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仿宋_GB2312" w:hAnsi="仿宋_GB2312" w:cs="仿宋_GB2312"/>
          <w:color w:val="auto"/>
          <w:sz w:val="32"/>
          <w:szCs w:val="32"/>
          <w:lang w:eastAsia="zh-CN"/>
        </w:rPr>
      </w:pPr>
      <w:r>
        <w:rPr>
          <w:rFonts w:hint="eastAsia" w:ascii="仿宋_GB2312" w:hAnsi="仿宋_GB2312" w:cs="仿宋_GB2312"/>
          <w:color w:val="auto"/>
          <w:sz w:val="32"/>
          <w:szCs w:val="32"/>
          <w:lang w:eastAsia="zh-CN"/>
        </w:rPr>
        <w:t>3.因不正当竞争行为受到损害的经营者的赔偿数额，按照其因被侵权所受到的实际损失确定；实际损失难以计算的，按照侵权人因侵权所获得的利益确定。赔偿数额还应当包括经营者为制止侵权行为所支付的合理开支。</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eastAsia="zh-CN"/>
        </w:rPr>
        <w:t>（二）行政责任</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仿宋_GB2312" w:hAnsi="仿宋_GB2312" w:cs="仿宋_GB2312"/>
          <w:color w:val="auto"/>
          <w:sz w:val="32"/>
          <w:szCs w:val="32"/>
          <w:lang w:eastAsia="zh-CN"/>
        </w:rPr>
      </w:pPr>
      <w:r>
        <w:rPr>
          <w:rFonts w:hint="eastAsia" w:ascii="仿宋_GB2312" w:hAnsi="仿宋_GB2312" w:cs="仿宋_GB2312"/>
          <w:color w:val="auto"/>
          <w:sz w:val="32"/>
          <w:szCs w:val="32"/>
          <w:lang w:eastAsia="zh-CN"/>
        </w:rPr>
        <w:t>经营者构成虚假宣传的，由监督检查部门责令停止违法行为，处二十万元以上一百万元以下的罚款；情节严重的，处一百万元以上二百万元以下的罚款，可以吊销营业执照。</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仿宋_GB2312" w:hAnsi="仿宋_GB2312" w:cs="仿宋_GB2312"/>
          <w:color w:val="auto"/>
          <w:sz w:val="32"/>
          <w:szCs w:val="32"/>
          <w:lang w:eastAsia="zh-CN"/>
        </w:rPr>
      </w:pPr>
      <w:r>
        <w:rPr>
          <w:rFonts w:hint="eastAsia" w:ascii="仿宋_GB2312" w:hAnsi="仿宋_GB2312" w:cs="仿宋_GB2312"/>
          <w:color w:val="auto"/>
          <w:sz w:val="32"/>
          <w:szCs w:val="32"/>
          <w:lang w:eastAsia="zh-CN"/>
        </w:rPr>
        <w:t>经营者违反《中华人民共和国反不正当竞争法》第八条规定，属于发布虚假广告的，依照《中华人民共和国广告法》的规定处罚。</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仿宋_GB2312" w:hAnsi="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after="603" w:afterLines="100" w:line="600" w:lineRule="exact"/>
        <w:jc w:val="center"/>
        <w:textAlignment w:val="auto"/>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《反不正当竞争法》解读（五）不正当竞争行为——侵犯商业秘密</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一、什么是商业秘密</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商业秘密是指不为公众所知悉、具有商业价值并经权利人采取相应保密措施的技术信息、经营信息等商业信息。商业秘密具有三个特征，分别为不为公众所知悉、具有商业价值、权利人采取相应保密措施，也被称为非公知性、价值性、保密措施。</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二、侵犯商业秘密的几种行为</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（一）以盗窃、贿赂、欺诈、胁迫、电子侵入或者其他不正当手段获取权利人的商业秘密；</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（二）披露、使用或者允许他人使用以前项手段获取的权利人的商业秘密；</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（三）违反保密义务或者违反权利人有关保守商业秘密的要求，披露、使用或者允许他人使用其掌握的商业秘密；</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（四）教唆、引诱、帮助他人违反保密义务或者违反权利人有关保守商业秘密的要求，获取、披露、使用或者允许他人使用权利人的商业秘密。</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经营者以外的其他自然人、法人和非法人组织实施前款所列违法行为的，视为侵犯商业秘密。</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第三人明知或者应知商业秘密权利人的员工、前员工或者其他单位、个人实施本条第一款所列违法行为，仍获取、披露、使用或者允许他人使用该商业秘密的，视为侵犯商业秘密。</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案例1】吴某是A公司跨境电商平台家居家电类产品的负责人，与A公司签订了《员工保密及竞业禁止协议》，掌握着A公司的货源情报、销售策略、定价政策以及不公开的财务资料、仓储物流信息等。在任职期间，吴某多次将A公司的经营信息通过微信披露给其妹妹吴某某。同时，吴某入股A公司的竞业公司B公司，并直接参与B公司的运营。吴某利用其掌握的A公司的货源信息、财务资料，帮助B公司销售A公司销量大且利润率高的热门产品的同款产品，并将B公司的产品定价低于A公司的产品销售价，以此获取竞争优势。吴某的行为属于侵犯商业秘密。</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案例2】广州市某气模制品有限公司（权利人）的前员工彭某某、冯某某与公司签订了员工保密协议。彭某某在离职后成立主营业务与权利人一致的广州市格霖体育休闲运动有限公司（当事人）。冯某某离职前从权利人保密系统中发送了来自数十个国家的1000多个客户信息资料至当事人处，随后到当事人处任职。当事人使用该客户信息进行气模制品交易，造成权利人经济损失。彭某某和冯某某的行为属于侵犯商业秘密的行为。</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案例3】重庆某科技有限公司（权利人）前高管刘某某离职前指使员工获得公司全房通系统软件源代码，离职后收购重庆趣房科技有限公司（当事人）并招募权利人软件开发人员，违反保密协议或权利人有关保守商业秘密的要求，在明知该源代码属于权利人技术秘密的情况下，使用或者允许他人使用上述技术秘密用于同类型软件趣管房系统的开发及运营。刘某某的行为属于侵犯商业秘密的行为。</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32"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三、法律责任</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32"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（一）民事责任</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1.经营者违反《反不正当竞争法》规定，给他人造成损害的，应当依法承担民事责任。</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2.经营者的合法权益受到不正当竞争行为损害的，可以向人民法院提起诉讼。</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3.因不正当竞争行为受到损害的经营者的赔偿数额，按照其因被侵权所受到的实际损失确定；实际损失难以计算的，按照侵权人因侵权所获得的利益确定。经营者恶意实施侵犯商业秘密行为，情节严重的，可以在按照上述方法确定数额的一倍以上五倍以下确定赔偿数额。赔偿数额还应当包括经营者为制止侵权行为所支付的合理开支。</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4.经营者违反《反不正当竞争法》侵犯商业秘密的规定，权利人因被侵权所受到的实际损失、侵权人因侵权所获得的利益难以确定的，由人民法院根据侵权行为的情节判决给予权利人五百万元以下的赔偿。</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32"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（二）行政责任</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经营者以及其他自然人、法人和非法人组织违反《反不正当竞争法》的规定，侵犯商业秘密的，由监督检查部门责令停止违法行为，没收违法所得，处十万元以上一百万元以下的罚款；情节严重的，处五十万元以上五百万元以下的罚款。</w:t>
      </w:r>
    </w:p>
    <w:p>
      <w:pPr>
        <w:keepNext w:val="0"/>
        <w:keepLines w:val="0"/>
        <w:pageBreakBefore w:val="0"/>
        <w:widowControl w:val="0"/>
        <w:kinsoku/>
        <w:wordWrap/>
        <w:overflowPunct/>
        <w:topLinePunct w:val="0"/>
        <w:autoSpaceDE/>
        <w:autoSpaceDN/>
        <w:bidi w:val="0"/>
        <w:adjustRightInd/>
        <w:snapToGrid/>
        <w:spacing w:after="603" w:afterLines="100" w:line="600" w:lineRule="exact"/>
        <w:jc w:val="center"/>
        <w:textAlignment w:val="auto"/>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《反不正当竞争法》解读（六）不正当竞争行为——不正当有奖销售</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一、什么是不正当有奖销售行为</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不正当有奖销售行为是指经营者销售商品或者提供服务，附带性地向购买者提供物品、金钱或者其他经济上的利益时，有奖销售信息不明确，影响兑奖、谎称有奖或者故意让内定人员中奖的欺骗方式进行有奖销售，或者抽奖式有奖销售最高奖金额超过5万元的行为。</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经营者通过有奖销售，吸引消费者，可以增加市场交易，活跃市场竞争。但是，不正当有奖销售行为会扰乱市场竞争机制，损害消费者或者其他经营者的合法权益，构成不正当竞争。</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二、不正当有奖销售的法定情形</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根据《中华人民共和国反不正当竞争法》第十条的规定，不正当有奖销售主要包括欺骗性有奖销售和不正当抽奖式有奖销售。</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（一）欺骗性有奖销售</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欺骗性有奖销售包括两种，一种为所涉奖的种类、兑奖条件、奖金金额或者奖品等有奖销售信息不明确，影响兑奖；另一种为采用谎称有奖或者故意让内定人员中奖的欺骗方式进行有奖销售。</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案例1】某公司开展主题为“美尚社交季·心动开盲盒暨198元全民预约竞抢网红神车活动”的促销活动。该活动分为三阶段：第一阶段销售198元品牌品鉴卡（喜拼卡），第二阶段销售2980元品牌特惠卡（美享卡），第三阶段直播抽奖。活动前当事人未明确公布第二阶段销售2980元品牌特惠卡（美享卡）活动内容，也未明确公布第三阶段直播抽奖开奖条件（即需美享卡售出120张才开奖）、抽奖时间、奖品数量等信息。该行为属于不正当有奖销售行为。</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案例2】2022年7月8日至7月10日，上海某超市有限公司在全市38家门店开展“首届惠民批发集市”抽奖活动。活动期间，共设特等奖、一等奖、二等奖、三等奖和四等奖等5个奖项，但只在12家门店投放特等奖，其他门店无法抽到该奖项，而且12名特等奖被提前设定，只能在2022年7月10日被抽取到。该行为属于采用谎称有奖或者故意让内定人员中奖的欺骗方式进行有奖销售，是不正当有奖销售行为。</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（二）不正当抽奖式有奖销售</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经营者进行抽奖式的有奖销售，最高奖的金额不得超过五万元，否则为不正当的有奖销售行为。</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《规范促销行为暂行规定》第十七条对最高奖金额超过五万元的认定做了明确规定，有下列情形之一的，认定为最高奖的金额超过五万元：</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1.最高奖设置多个中奖者的，其中任意一个中奖者的最高奖金额超过五万元；</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2.同一奖券或者购买一次商品具有两次或者两次以上获奖机会的，累计金额超过五万元；</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3.以物品使用权、服务等形式作为奖品的，该物品使用权、服务等的市场价格超过五万元；</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4.以游戏装备、账户等网络虚拟物品作为奖品的，该物品市场价格超过五万元；</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5.以降价、优惠、打折等方式作为奖品的，降价、优惠、打折等利益折算价格超过五万元；</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6.以彩票、抽奖券等作为奖品的，该彩票、抽奖券可能的最高奖金额超过五万元；</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7.以提供就业机会、聘为顾问等名义，并以给付薪金等方式设置奖励，最高奖的金额超过五万元；</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8.以其他形式进行抽奖式有奖销售，最高奖金额超过五万元。</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【案例3】我市某店组织“盛装开业”抽奖式有奖销售活动，在店面对外宣传“盛装开业 购物 中宝马（十年使用权）”，但开业时没有公示所设奖的种类、兑奖条件、奖金金额或者奖品等有奖销售信息。该行为属于抽奖式有奖销售，最高奖的金额超过五万元，违反《反不正当竞争法》，被依法进行行政处罚。</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案例4】某房地产开发有限公司在某售楼部举行“买房中宝马”活动，开展抽奖式的有奖销售，一等奖奖品为宝马1系轿车1辆，价值141900元。在抽奖式的有奖销售中最高奖项设置为宝马1系轿车1辆，虽然奖品并不是直接以现金的方式给付，但奖品的市场价值已经超过法律规定的5万元，属于不正当的有奖销售行为，构成了不正当竞争。</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三、法律责任</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（一）民事责任</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1.经营者违反《反不正当竞争法》规定，给他人造成损害的，应当依法承担民事责任。</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2.经营者的合法权益受到不正当竞争行为损害的，可以向人民法院提起诉讼。</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3.因不正当竞争行为受到损害的经营者的赔偿数额，按照其因被侵权所受到的实际损失确定；实际损失难以计算的，按照侵权人因侵权所获得的利益确定。赔偿数额还应当包括经营者为制止侵权行为所支付的合理开支。</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（二）行政责任</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经营者违反《反不正当竞争法》规定，进行有奖销售的，由监督检查部门责令停止违法行为，处五万元以上五十万元以下的罚款。</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after="603" w:afterLines="100" w:line="600" w:lineRule="exact"/>
        <w:jc w:val="center"/>
        <w:textAlignment w:val="auto"/>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《反不正当竞争法》解读（七）不正当竞争行为——商业诋毁</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一、什么是商业诋毁</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商业诋毁行为是指经营者通过捏造、散布虚伪事实等不正当手段，对竞争对手的商业信誉、商品声誉进行恶意的诋毁、贬低，以削弱其市场竞争能力，并为自己谋取不正当利益的行为‌。商业诋毁不但损害了其他经营者的合法权益，而且向消费者提供了错误信息，干扰了消费者的正常交易秩序，扰乱了市场竞争秩序，应当予以严格禁止。</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二、商业诋毁的表现形式</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（一）利用散发公开信、召开新闻发布会、刊登对比性广告、声明性广告等形式，制造、散布贬损竞争对手商业信誉、商品声誉的虚假事实。</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（二）在与他人的业务交往中，向业务客户及消费者散布虚假事实，以贬低竞争对手的商业信誉，诋毁其商品或服务的质量声誉。</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（三）利用商品的说明书，吹嘘本产品质量上乘，贬低同业竞争对手生产、销售的同类产品。</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（四）唆使他人在公众中造谣并传播、散布竞争对手所售的商品质量有问题，使公众对该产品失去信赖，以便自己的同类产品取而代之。</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（五）组织人员，以顾客或者消费者的名义，向有关市场监管部门作关于竞争对手产品低劣、服务质量差、侵害消费者权益等情况的虚假投诉，从而达到贬损其商业信誉的目的。</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案例1】彭某某是一名网络自媒体博主，在直播间里售卖某品牌的美容护肤产品。在“618大促”期间，彭某某利用自己美妆博主的身份，在某平台直播间大力吹捧其直播带货的品牌，并发布标题为“无法忍/扒一扒某品牌LOW到爆的营销行为”的视频笔记，将某医疗科技有限公司代理的品牌美容仪器产品与某品牌美容仪产品进行拉踩比较，诱导用户购买彭某某直播间销售的美容仪等美容护肤产品，号召粉丝拒绝购买相关品牌商品。彭某某与该公司之间存在竞争关系，彭某某明显针对对方品牌，发布了一系列严重不实、带有强烈贬损意味的评价，其视频标题及内容均带有较强烈的主观感受，已明显不属于客观事实陈述，超出了正当商业评论的合理界限，构成对原告的商业诋毁行为。</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案例2】A公司的京东网店在多款消毒碗柜的产品介绍中使用了“不锈钢升级款抗氧化耐腐蚀容易清洁卫生符合健康标准”与“压花铝板淘汰款铝高温容易挥发铝离子容易让人衰老造成智力缺陷”字样进行图文对比。虽然“压花铝板淘汰款铝高温容易挥发铝离子容易让人衰老造成智力缺陷”的描述中未直接提及B公司，但描述中“压花铝板淘汰款”让相关消费者分辨出指称的产品是铝内胆消毒碗柜，指向了包括B公司在内的使用铝内胆的消毒碗柜生产企业，对该类企业及其相关产品的市场认可度产生负面影响，损害了包括B公司在内的企业的商业信誉和商品声誉，故A公司的行为构成商业诋毁的不正当竞争行为。</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案例3】某卫浴商行经营有某品牌PPR水管，某建材经营部经营有另一品牌PPR水管，两者为同行商业竞争关系。2023年5月，某卫浴商行经营者用微信发图片和文字给客户，贬低另一品牌PPR水管质量，意图影响客户选择其经营的某品牌PPR水管。某建材经营部经营者得知后以同样的方式回敬对方，在某微信群中发布了2个视频和2个水管燃烧后的对比图片，贬低某品牌PPR水管质量。两当事人均无法提供质量对比试验相关的有效凭证。双方行为属于编造、传播误导性信息，对竞争对手的商品质量进行诋毁，损害竞争对手商品声誉的行为，构成商业诋毁。</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三、法律责任</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（一）民事责任</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1.经营者违反《反不正当竞争法》规定，给他人造成损害的，应当依法承担民事责任。</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2.经营者的合法权益受到不正当竞争行为损害的，可以向人民法院提起诉讼。</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3.因不正当竞争行为受到损害的经营者的赔偿数额，按照其因被侵权所受到的实际损失确定；实际损失难以计算的，按照侵权人因侵权所获得的利益确定。赔偿数额还应当包括经营者为制止侵权行为所支付的合理开支。</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（二）行政责任</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2" w:firstLineChars="200"/>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经营者违反《反不正当竞争法》规定，损害竞争对手商业信誉、商品声誉的，由监督检查部门责令停止违法行为、消除影响，处十万元以上五十万元以下的罚款；情节严重的，处五十万元以上三百万元以下的罚款。</w:t>
      </w:r>
    </w:p>
    <w:sectPr>
      <w:headerReference r:id="rId3" w:type="default"/>
      <w:footerReference r:id="rId4" w:type="default"/>
      <w:footerReference r:id="rId5" w:type="even"/>
      <w:pgSz w:w="11906" w:h="16838"/>
      <w:pgMar w:top="1417" w:right="1417" w:bottom="1417" w:left="1417" w:header="0" w:footer="1418" w:gutter="0"/>
      <w:pgNumType w:fmt="decimal"/>
      <w:cols w:space="425" w:num="1"/>
      <w:docGrid w:type="linesAndChars" w:linePitch="600"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2010601030101010101"/>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socialshar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altName w:val="黑体"/>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jc w:val="right"/>
      <w:rPr>
        <w:rFonts w:ascii="宋体" w:hAnsi="宋体" w:eastAsia="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wordWrap w:val="0"/>
                            <w:jc w:val="right"/>
                          </w:pPr>
                          <w:r>
                            <w:rPr>
                              <w:rFonts w:hint="eastAsia" w:ascii="宋体" w:hAnsi="宋体" w:eastAsia="宋体"/>
                              <w:kern w:val="0"/>
                              <w:sz w:val="28"/>
                              <w:szCs w:val="28"/>
                            </w:rPr>
                            <w:t xml:space="preserve">- </w:t>
                          </w:r>
                          <w:r>
                            <w:rPr>
                              <w:rFonts w:hint="eastAsia" w:ascii="宋体" w:hAnsi="宋体" w:eastAsia="宋体"/>
                              <w:kern w:val="0"/>
                              <w:sz w:val="28"/>
                              <w:szCs w:val="28"/>
                            </w:rPr>
                            <w:fldChar w:fldCharType="begin"/>
                          </w:r>
                          <w:r>
                            <w:rPr>
                              <w:rFonts w:hint="eastAsia" w:ascii="宋体" w:hAnsi="宋体" w:eastAsia="宋体"/>
                              <w:kern w:val="0"/>
                              <w:sz w:val="28"/>
                              <w:szCs w:val="28"/>
                            </w:rPr>
                            <w:instrText xml:space="preserve"> PAGE </w:instrText>
                          </w:r>
                          <w:r>
                            <w:rPr>
                              <w:rFonts w:hint="eastAsia" w:ascii="宋体" w:hAnsi="宋体" w:eastAsia="宋体"/>
                              <w:kern w:val="0"/>
                              <w:sz w:val="28"/>
                              <w:szCs w:val="28"/>
                            </w:rPr>
                            <w:fldChar w:fldCharType="separate"/>
                          </w:r>
                          <w:r>
                            <w:rPr>
                              <w:rFonts w:ascii="宋体" w:hAnsi="宋体" w:eastAsia="宋体"/>
                              <w:kern w:val="0"/>
                              <w:sz w:val="28"/>
                              <w:szCs w:val="28"/>
                            </w:rPr>
                            <w:t>3</w:t>
                          </w:r>
                          <w:r>
                            <w:rPr>
                              <w:rFonts w:hint="eastAsia" w:ascii="宋体" w:hAnsi="宋体" w:eastAsia="宋体"/>
                              <w:kern w:val="0"/>
                              <w:sz w:val="28"/>
                              <w:szCs w:val="28"/>
                            </w:rPr>
                            <w:fldChar w:fldCharType="end"/>
                          </w:r>
                          <w:r>
                            <w:rPr>
                              <w:rFonts w:hint="eastAsia" w:ascii="宋体" w:hAnsi="宋体" w:eastAsia="宋体"/>
                              <w:kern w:val="0"/>
                              <w:sz w:val="28"/>
                              <w:szCs w:val="28"/>
                            </w:rPr>
                            <w:t xml:space="preserve"> -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4"/>
                      <w:wordWrap w:val="0"/>
                      <w:jc w:val="right"/>
                    </w:pPr>
                    <w:r>
                      <w:rPr>
                        <w:rFonts w:hint="eastAsia" w:ascii="宋体" w:hAnsi="宋体" w:eastAsia="宋体"/>
                        <w:kern w:val="0"/>
                        <w:sz w:val="28"/>
                        <w:szCs w:val="28"/>
                      </w:rPr>
                      <w:t xml:space="preserve">- </w:t>
                    </w:r>
                    <w:r>
                      <w:rPr>
                        <w:rFonts w:hint="eastAsia" w:ascii="宋体" w:hAnsi="宋体" w:eastAsia="宋体"/>
                        <w:kern w:val="0"/>
                        <w:sz w:val="28"/>
                        <w:szCs w:val="28"/>
                      </w:rPr>
                      <w:fldChar w:fldCharType="begin"/>
                    </w:r>
                    <w:r>
                      <w:rPr>
                        <w:rFonts w:hint="eastAsia" w:ascii="宋体" w:hAnsi="宋体" w:eastAsia="宋体"/>
                        <w:kern w:val="0"/>
                        <w:sz w:val="28"/>
                        <w:szCs w:val="28"/>
                      </w:rPr>
                      <w:instrText xml:space="preserve"> PAGE </w:instrText>
                    </w:r>
                    <w:r>
                      <w:rPr>
                        <w:rFonts w:hint="eastAsia" w:ascii="宋体" w:hAnsi="宋体" w:eastAsia="宋体"/>
                        <w:kern w:val="0"/>
                        <w:sz w:val="28"/>
                        <w:szCs w:val="28"/>
                      </w:rPr>
                      <w:fldChar w:fldCharType="separate"/>
                    </w:r>
                    <w:r>
                      <w:rPr>
                        <w:rFonts w:ascii="宋体" w:hAnsi="宋体" w:eastAsia="宋体"/>
                        <w:kern w:val="0"/>
                        <w:sz w:val="28"/>
                        <w:szCs w:val="28"/>
                      </w:rPr>
                      <w:t>3</w:t>
                    </w:r>
                    <w:r>
                      <w:rPr>
                        <w:rFonts w:hint="eastAsia" w:ascii="宋体" w:hAnsi="宋体" w:eastAsia="宋体"/>
                        <w:kern w:val="0"/>
                        <w:sz w:val="28"/>
                        <w:szCs w:val="28"/>
                      </w:rPr>
                      <w:fldChar w:fldCharType="end"/>
                    </w:r>
                    <w:r>
                      <w:rPr>
                        <w:rFonts w:hint="eastAsia" w:ascii="宋体" w:hAnsi="宋体" w:eastAsia="宋体"/>
                        <w:kern w:val="0"/>
                        <w:sz w:val="28"/>
                        <w:szCs w:val="28"/>
                      </w:rPr>
                      <w:t xml:space="preserve"> -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280" w:firstLineChars="100"/>
      <w:rPr>
        <w:rFonts w:ascii="宋体" w:hAnsi="宋体" w:eastAsia="宋体"/>
        <w:sz w:val="28"/>
        <w:szCs w:val="28"/>
      </w:rPr>
    </w:pPr>
    <w:r>
      <w:rPr>
        <w:rFonts w:hint="eastAsia" w:ascii="宋体" w:hAnsi="宋体" w:eastAsia="宋体"/>
        <w:kern w:val="0"/>
        <w:sz w:val="28"/>
        <w:szCs w:val="28"/>
      </w:rPr>
      <w:t xml:space="preserve">- </w:t>
    </w:r>
    <w:r>
      <w:rPr>
        <w:rFonts w:hint="eastAsia" w:ascii="宋体" w:hAnsi="宋体" w:eastAsia="宋体"/>
        <w:kern w:val="0"/>
        <w:sz w:val="28"/>
        <w:szCs w:val="28"/>
      </w:rPr>
      <w:fldChar w:fldCharType="begin"/>
    </w:r>
    <w:r>
      <w:rPr>
        <w:rFonts w:hint="eastAsia" w:ascii="宋体" w:hAnsi="宋体" w:eastAsia="宋体"/>
        <w:kern w:val="0"/>
        <w:sz w:val="28"/>
        <w:szCs w:val="28"/>
      </w:rPr>
      <w:instrText xml:space="preserve"> PAGE </w:instrText>
    </w:r>
    <w:r>
      <w:rPr>
        <w:rFonts w:hint="eastAsia" w:ascii="宋体" w:hAnsi="宋体" w:eastAsia="宋体"/>
        <w:kern w:val="0"/>
        <w:sz w:val="28"/>
        <w:szCs w:val="28"/>
      </w:rPr>
      <w:fldChar w:fldCharType="separate"/>
    </w:r>
    <w:r>
      <w:rPr>
        <w:rFonts w:ascii="宋体" w:hAnsi="宋体" w:eastAsia="宋体"/>
        <w:kern w:val="0"/>
        <w:sz w:val="28"/>
        <w:szCs w:val="28"/>
      </w:rPr>
      <w:t>2</w:t>
    </w:r>
    <w:r>
      <w:rPr>
        <w:rFonts w:hint="eastAsia" w:ascii="宋体" w:hAnsi="宋体" w:eastAsia="宋体"/>
        <w:kern w:val="0"/>
        <w:sz w:val="28"/>
        <w:szCs w:val="28"/>
      </w:rPr>
      <w:fldChar w:fldCharType="end"/>
    </w:r>
    <w:r>
      <w:rPr>
        <w:rFonts w:hint="eastAsia" w:ascii="宋体" w:hAnsi="宋体" w:eastAsia="宋体"/>
        <w:kern w:val="0"/>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hint="eastAsia"/>
        <w:sz w:val="21"/>
        <w:szCs w:val="21"/>
      </w:rPr>
    </w:pPr>
  </w:p>
  <w:p>
    <w:pPr>
      <w:pStyle w:val="5"/>
      <w:jc w:val="right"/>
      <w:rPr>
        <w:rFonts w:hint="eastAsia"/>
        <w:sz w:val="21"/>
        <w:szCs w:val="21"/>
      </w:rPr>
    </w:pPr>
  </w:p>
  <w:p>
    <w:pPr>
      <w:pStyle w:val="5"/>
      <w:jc w:val="right"/>
      <w:rPr>
        <w:rFonts w:hint="eastAsia"/>
        <w:sz w:val="21"/>
        <w:szCs w:val="21"/>
      </w:rPr>
    </w:pPr>
  </w:p>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JiYmI3MWJiMDU1NDUxNTJjMmNhZGIxYmUyMDJiMjEifQ=="/>
    <w:docVar w:name="KGWebUrl" w:val="http://172.26.24.106/api/officeService/Servlet?x-auth-token=7ba3f0e0-8caa-436c-9ed9-cf122933d1a2"/>
  </w:docVars>
  <w:rsids>
    <w:rsidRoot w:val="00000000"/>
    <w:rsid w:val="057804B5"/>
    <w:rsid w:val="057BC023"/>
    <w:rsid w:val="059A58C6"/>
    <w:rsid w:val="0CAC5A7E"/>
    <w:rsid w:val="0FDD7FC9"/>
    <w:rsid w:val="10A5714F"/>
    <w:rsid w:val="160459FA"/>
    <w:rsid w:val="167D7414"/>
    <w:rsid w:val="16DD03C1"/>
    <w:rsid w:val="175B24D4"/>
    <w:rsid w:val="175C096B"/>
    <w:rsid w:val="19A476CC"/>
    <w:rsid w:val="1C6F5557"/>
    <w:rsid w:val="292234EF"/>
    <w:rsid w:val="2A43041A"/>
    <w:rsid w:val="33B612E5"/>
    <w:rsid w:val="385545E5"/>
    <w:rsid w:val="3AFE2E28"/>
    <w:rsid w:val="44655DC5"/>
    <w:rsid w:val="4FFD6176"/>
    <w:rsid w:val="52C42BB7"/>
    <w:rsid w:val="5E29158D"/>
    <w:rsid w:val="5EDD1A7B"/>
    <w:rsid w:val="5EE67D4F"/>
    <w:rsid w:val="5FFE9B71"/>
    <w:rsid w:val="66C45526"/>
    <w:rsid w:val="67B1F28B"/>
    <w:rsid w:val="6A0258BF"/>
    <w:rsid w:val="75C429FF"/>
    <w:rsid w:val="7FB77ECE"/>
    <w:rsid w:val="7FBD8FA1"/>
    <w:rsid w:val="97FD0F73"/>
    <w:rsid w:val="9E767978"/>
    <w:rsid w:val="9FB87E0C"/>
    <w:rsid w:val="DF9E6863"/>
    <w:rsid w:val="DFFEB348"/>
    <w:rsid w:val="FFED03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imes New Roman"/>
      <w:kern w:val="2"/>
      <w:sz w:val="32"/>
      <w:lang w:val="en-US" w:eastAsia="zh-CN" w:bidi="ar-SA"/>
    </w:rPr>
  </w:style>
  <w:style w:type="paragraph" w:styleId="2">
    <w:name w:val="heading 1"/>
    <w:basedOn w:val="1"/>
    <w:next w:val="1"/>
    <w:autoRedefine/>
    <w:qFormat/>
    <w:uiPriority w:val="9"/>
    <w:pPr>
      <w:keepNext/>
      <w:widowControl/>
      <w:snapToGrid w:val="0"/>
      <w:spacing w:line="360" w:lineRule="auto"/>
      <w:jc w:val="both"/>
      <w:outlineLvl w:val="0"/>
    </w:pPr>
    <w:rPr>
      <w:rFonts w:ascii="宋体" w:hAnsi="宋体" w:eastAsia="微软雅黑"/>
      <w:b/>
      <w:kern w:val="0"/>
      <w:sz w:val="28"/>
      <w:szCs w:val="20"/>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3">
    <w:name w:val="Normal Indent"/>
    <w:basedOn w:val="1"/>
    <w:autoRedefine/>
    <w:qFormat/>
    <w:uiPriority w:val="0"/>
    <w:pPr>
      <w:ind w:firstLine="200" w:firstLineChars="200"/>
    </w:pPr>
    <w:rPr>
      <w:rFonts w:ascii="Calibri" w:hAnsi="Calibri" w:eastAsia="宋体" w:cs="Times New Roman"/>
      <w:szCs w:val="22"/>
    </w:r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customStyle="1" w:styleId="9">
    <w:name w:val="WPSOffice手动目录 1"/>
    <w:autoRedefine/>
    <w:qFormat/>
    <w:uiPriority w:val="0"/>
    <w:rPr>
      <w:rFonts w:ascii="Calibri" w:hAnsi="Calibri" w:eastAsia="宋体" w:cs="Times New Roman"/>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1553</Words>
  <Characters>1566</Characters>
  <Lines>0</Lines>
  <Paragraphs>0</Paragraphs>
  <TotalTime>17</TotalTime>
  <ScaleCrop>false</ScaleCrop>
  <LinksUpToDate>false</LinksUpToDate>
  <CharactersWithSpaces>1572</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2021-11-26T19:33:00Z</dcterms:created>
  <dc:creator>yuww</dc:creator>
  <cp:lastModifiedBy>方汝滔</cp:lastModifiedBy>
  <cp:lastPrinted>2023-10-14T01:00:00Z</cp:lastPrinted>
  <dcterms:modified xsi:type="dcterms:W3CDTF">2024-11-01T01:22:09Z</dcterms:modified>
  <dc:title>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4FD1830944B846468E96576E390A1132_13</vt:lpwstr>
  </property>
</Properties>
</file>