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5C1AE4">
      <w:pPr>
        <w:pStyle w:val="2"/>
        <w:bidi w:val="0"/>
        <w:rPr>
          <w:rFonts w:hint="eastAsia" w:ascii="楷体" w:hAnsi="楷体" w:eastAsia="楷体" w:cs="楷体"/>
          <w:b/>
        </w:rPr>
      </w:pPr>
      <w:r>
        <w:rPr>
          <w:rFonts w:hint="eastAsia" w:ascii="楷体" w:hAnsi="楷体" w:eastAsia="楷体" w:cs="楷体"/>
          <w:b/>
        </w:rPr>
        <w:t>【靶点Talk】CD19靶点科普和研究进展</w:t>
      </w:r>
    </w:p>
    <w:p w14:paraId="0C60425F">
      <w:pPr>
        <w:rPr>
          <w:rFonts w:hint="eastAsia" w:ascii="楷体" w:hAnsi="楷体" w:eastAsia="楷体" w:cs="楷体"/>
          <w:sz w:val="32"/>
          <w:szCs w:val="32"/>
        </w:rPr>
      </w:pPr>
    </w:p>
    <w:p w14:paraId="6AE399C1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CD19作为目前肿瘤免疫治疗研发的热门靶点，其热度完全不输于PD-1和PD-L1。今天给大家带来CD19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</w:rPr>
        <w:t>相关介绍，更多靶点科普视频请关注义翘神州B站和知乎官方账号。</w:t>
      </w:r>
    </w:p>
    <w:p w14:paraId="52A3BB30">
      <w:pPr>
        <w:rPr>
          <w:rFonts w:hint="eastAsia" w:ascii="楷体" w:hAnsi="楷体" w:eastAsia="楷体" w:cs="楷体"/>
          <w:sz w:val="32"/>
          <w:szCs w:val="32"/>
        </w:rPr>
      </w:pPr>
    </w:p>
    <w:p w14:paraId="216193F6">
      <w:pPr>
        <w:pStyle w:val="3"/>
        <w:numPr>
          <w:ilvl w:val="0"/>
          <w:numId w:val="1"/>
        </w:numPr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CD19的“简历”</w:t>
      </w:r>
    </w:p>
    <w:p w14:paraId="703BF900">
      <w:pPr>
        <w:numPr>
          <w:numId w:val="0"/>
        </w:numPr>
        <w:rPr>
          <w:rFonts w:hint="eastAsia"/>
        </w:rPr>
      </w:pPr>
    </w:p>
    <w:p w14:paraId="3B6D50F3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CD19是B细胞的生物标志物，通过B细胞受体（BCR）调节B细胞的发育增殖和分化并介导T细胞对靶细胞的杀伤。CD19与CD21、CD81形成B细胞共同受体复合物，该复合物减少BCR介导的B细胞激活阈值，其中CD21起桥梁作用，CD81调节CD19的表达，CD19则发挥主要的信号传导作用。</w:t>
      </w:r>
    </w:p>
    <w:p w14:paraId="7C6AA3A4">
      <w:pPr>
        <w:jc w:val="center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drawing>
          <wp:inline distT="0" distB="0" distL="114300" distR="114300">
            <wp:extent cx="5269230" cy="4970780"/>
            <wp:effectExtent l="0" t="0" r="7620" b="1270"/>
            <wp:docPr id="1" name="图片 1" descr="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97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00169">
      <w:pPr>
        <w:rPr>
          <w:rFonts w:hint="eastAsia" w:ascii="楷体" w:hAnsi="楷体" w:eastAsia="楷体" w:cs="楷体"/>
          <w:sz w:val="32"/>
          <w:szCs w:val="32"/>
        </w:rPr>
      </w:pPr>
    </w:p>
    <w:p w14:paraId="385C5292">
      <w:pPr>
        <w:rPr>
          <w:rFonts w:hint="eastAsia" w:ascii="楷体" w:hAnsi="楷体" w:eastAsia="楷体" w:cs="楷体"/>
          <w:sz w:val="32"/>
          <w:szCs w:val="32"/>
        </w:rPr>
      </w:pPr>
    </w:p>
    <w:p w14:paraId="073FA31F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此复合物在B细胞激活过程中解离，使得CD19能够在细胞膜中自由扩散并与BCR相互作用。CD19与BCR和其他表面分子结合，可以直接和间接地募集和结合各种下游蛋白激酶，如Src、Ras、PI3K等。Src蛋白在细胞表面聚集增强BCR信号。BCR激活后，CD19还通过募集和激活PI3K和下游Akt激酶来增强BCR诱导的B细胞扩增信号传导。</w:t>
      </w:r>
    </w:p>
    <w:p w14:paraId="51AA3FE5">
      <w:pPr>
        <w:jc w:val="center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drawing>
          <wp:inline distT="0" distB="0" distL="114300" distR="114300">
            <wp:extent cx="5267325" cy="2802255"/>
            <wp:effectExtent l="0" t="0" r="9525" b="17145"/>
            <wp:docPr id="2" name="图片 2" descr="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A7410">
      <w:pPr>
        <w:pStyle w:val="3"/>
        <w:bidi w:val="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2</w:t>
      </w:r>
      <w:r>
        <w:rPr>
          <w:rFonts w:hint="eastAsia" w:ascii="楷体" w:hAnsi="楷体" w:eastAsia="楷体" w:cs="楷体"/>
          <w:lang w:eastAsia="zh-CN"/>
        </w:rPr>
        <w:t>、</w:t>
      </w:r>
      <w:r>
        <w:rPr>
          <w:rFonts w:hint="eastAsia" w:ascii="楷体" w:hAnsi="楷体" w:eastAsia="楷体" w:cs="楷体"/>
        </w:rPr>
        <w:t>研究进展</w:t>
      </w:r>
    </w:p>
    <w:p w14:paraId="7E3BE95F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据不完全统计，全世界已有300多个完成和正在进行的CAR-T临床试验，其中约150个针对CD19，占总数的50％。随着 CD19 靶点的持续火热，靶向 CD19产品越来越丰富，CAR-T、单抗、双抗、和ADC等疗法都得到相应的开发，接下来分享一下CD19靶点的临床应用和研究进展。</w:t>
      </w:r>
    </w:p>
    <w:p w14:paraId="5754C357">
      <w:pPr>
        <w:rPr>
          <w:rFonts w:hint="eastAsia" w:ascii="楷体" w:hAnsi="楷体" w:eastAsia="楷体" w:cs="楷体"/>
          <w:sz w:val="28"/>
          <w:szCs w:val="28"/>
        </w:rPr>
      </w:pPr>
    </w:p>
    <w:p w14:paraId="7C25333F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CD19 CAR-T</w:t>
      </w:r>
    </w:p>
    <w:p w14:paraId="3A47278D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目前，全球共5款CAR-T细胞疗法获批上市，其中四款均为CD19 CAR-T细胞疗法。从临床数据来看，四款CD19 CAR-T细胞疗法疗效均十分优异，但是CD19 CAR-T的劣势也十分明显，主要表现为安全性不足、价格过高、自体CAR-T制备时间较长。</w:t>
      </w:r>
    </w:p>
    <w:p w14:paraId="5719F2EE">
      <w:pPr>
        <w:rPr>
          <w:rFonts w:hint="eastAsia" w:ascii="楷体" w:hAnsi="楷体" w:eastAsia="楷体" w:cs="楷体"/>
          <w:sz w:val="28"/>
          <w:szCs w:val="28"/>
        </w:rPr>
      </w:pPr>
    </w:p>
    <w:tbl>
      <w:tblPr>
        <w:tblStyle w:val="5"/>
        <w:tblW w:w="83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094"/>
        <w:gridCol w:w="1787"/>
        <w:gridCol w:w="1932"/>
        <w:gridCol w:w="2565"/>
      </w:tblGrid>
      <w:tr w14:paraId="46DED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67" w:hRule="atLeast"/>
        </w:trPr>
        <w:tc>
          <w:tcPr>
            <w:tcW w:w="2094" w:type="dxa"/>
            <w:tcBorders>
              <w:bottom w:val="single" w:color="auto" w:sz="4" w:space="0"/>
            </w:tcBorders>
          </w:tcPr>
          <w:p w14:paraId="6A6B17B7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靶点</w:t>
            </w:r>
          </w:p>
        </w:tc>
        <w:tc>
          <w:tcPr>
            <w:tcW w:w="1787" w:type="dxa"/>
          </w:tcPr>
          <w:p w14:paraId="7CF6EE96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药物</w:t>
            </w:r>
          </w:p>
          <w:p w14:paraId="7E3AEBC4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32" w:type="dxa"/>
          </w:tcPr>
          <w:p w14:paraId="7C10F077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企业</w:t>
            </w:r>
          </w:p>
          <w:p w14:paraId="41FF8CA8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565" w:type="dxa"/>
          </w:tcPr>
          <w:p w14:paraId="30DC91D8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适应症</w:t>
            </w:r>
          </w:p>
          <w:p w14:paraId="08A500AC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 w14:paraId="2CE5A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96" w:hRule="atLeast"/>
        </w:trPr>
        <w:tc>
          <w:tcPr>
            <w:tcW w:w="20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44887F3"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CD19</w:t>
            </w:r>
          </w:p>
          <w:p w14:paraId="7C69569D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787" w:type="dxa"/>
            <w:tcBorders>
              <w:left w:val="single" w:color="auto" w:sz="4" w:space="0"/>
            </w:tcBorders>
          </w:tcPr>
          <w:p w14:paraId="56C4A649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Kymriah</w:t>
            </w:r>
          </w:p>
          <w:p w14:paraId="0BF605D9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32" w:type="dxa"/>
          </w:tcPr>
          <w:p w14:paraId="360F2E66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诺华</w:t>
            </w:r>
          </w:p>
          <w:p w14:paraId="167F3B47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565" w:type="dxa"/>
          </w:tcPr>
          <w:p w14:paraId="3650DDAE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急性淋巴细胞白血病</w:t>
            </w:r>
          </w:p>
          <w:p w14:paraId="7EE34A81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大B细胞淋巴瘤</w:t>
            </w:r>
          </w:p>
        </w:tc>
      </w:tr>
      <w:tr w14:paraId="1F85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96" w:hRule="atLeast"/>
        </w:trPr>
        <w:tc>
          <w:tcPr>
            <w:tcW w:w="209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4EFCB82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787" w:type="dxa"/>
            <w:tcBorders>
              <w:left w:val="single" w:color="auto" w:sz="4" w:space="0"/>
            </w:tcBorders>
          </w:tcPr>
          <w:p w14:paraId="1536C067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Yescarta</w:t>
            </w:r>
          </w:p>
          <w:p w14:paraId="19C08135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32" w:type="dxa"/>
          </w:tcPr>
          <w:p w14:paraId="6C66A7D9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吉利德/Kite</w:t>
            </w:r>
          </w:p>
          <w:p w14:paraId="3874A632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565" w:type="dxa"/>
          </w:tcPr>
          <w:p w14:paraId="5409F6AE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大B细胞淋巴瘤</w:t>
            </w:r>
          </w:p>
          <w:p w14:paraId="5C0EC65A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滤泡性淋巴瘤</w:t>
            </w:r>
          </w:p>
        </w:tc>
      </w:tr>
      <w:tr w14:paraId="0EBBB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67" w:hRule="atLeast"/>
        </w:trPr>
        <w:tc>
          <w:tcPr>
            <w:tcW w:w="209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46DB184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787" w:type="dxa"/>
            <w:tcBorders>
              <w:left w:val="single" w:color="auto" w:sz="4" w:space="0"/>
            </w:tcBorders>
          </w:tcPr>
          <w:p w14:paraId="7DF703CA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Tecartus</w:t>
            </w:r>
          </w:p>
          <w:p w14:paraId="4A3716BF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32" w:type="dxa"/>
          </w:tcPr>
          <w:p w14:paraId="7B67DBD7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吉利德/Kite</w:t>
            </w:r>
          </w:p>
          <w:p w14:paraId="67BDC325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565" w:type="dxa"/>
          </w:tcPr>
          <w:p w14:paraId="57D5EBDD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套细胞淋巴瘤</w:t>
            </w:r>
          </w:p>
          <w:p w14:paraId="5DDD6EE0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  <w:tr w14:paraId="746F5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23" w:hRule="atLeast"/>
        </w:trPr>
        <w:tc>
          <w:tcPr>
            <w:tcW w:w="20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C830E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787" w:type="dxa"/>
            <w:tcBorders>
              <w:left w:val="single" w:color="auto" w:sz="4" w:space="0"/>
            </w:tcBorders>
          </w:tcPr>
          <w:p w14:paraId="3A75F4E3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Breyanzi</w:t>
            </w:r>
          </w:p>
          <w:p w14:paraId="335F8A2B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1932" w:type="dxa"/>
          </w:tcPr>
          <w:p w14:paraId="5FA6ED0E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BMS/Juno</w:t>
            </w:r>
          </w:p>
          <w:p w14:paraId="69CB8198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  <w:tc>
          <w:tcPr>
            <w:tcW w:w="2565" w:type="dxa"/>
          </w:tcPr>
          <w:p w14:paraId="44429B4D"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大B细胞淋巴瘤</w:t>
            </w:r>
          </w:p>
          <w:p w14:paraId="3F1AA1D8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</w:rPr>
            </w:pPr>
          </w:p>
        </w:tc>
      </w:tr>
    </w:tbl>
    <w:p w14:paraId="5154DA70">
      <w:pPr>
        <w:rPr>
          <w:rFonts w:hint="eastAsia" w:ascii="楷体" w:hAnsi="楷体" w:eastAsia="楷体" w:cs="楷体"/>
          <w:sz w:val="28"/>
          <w:szCs w:val="28"/>
        </w:rPr>
      </w:pPr>
    </w:p>
    <w:p w14:paraId="2B71A82A">
      <w:pPr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CD19 双抗</w:t>
      </w:r>
    </w:p>
    <w:p w14:paraId="4C6016D6">
      <w:pPr>
        <w:rPr>
          <w:rFonts w:hint="eastAsia" w:ascii="楷体" w:hAnsi="楷体" w:eastAsia="楷体" w:cs="楷体"/>
          <w:sz w:val="28"/>
          <w:szCs w:val="28"/>
        </w:rPr>
      </w:pPr>
    </w:p>
    <w:p w14:paraId="63ED90BC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博纳吐单抗（Blincyto）是安进研发的一款靶向CD19和CD3的双抗药物，一端可与CD19结合，另一端可与T细胞表面的CD3结合，进而介导T细胞对肿瘤细胞的溶解。博纳吐单抗用于治疗复发/难治性急性B淋巴细胞白血病，且在缓解期依旧有微小残留病灶（MRD）的儿童和成人患者。</w:t>
      </w:r>
    </w:p>
    <w:p w14:paraId="7F56842F"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67325" cy="2512695"/>
            <wp:effectExtent l="0" t="0" r="9525" b="1905"/>
            <wp:docPr id="3" name="图片 3" descr="3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573B0">
      <w:pPr>
        <w:rPr>
          <w:rFonts w:hint="eastAsia" w:ascii="楷体" w:hAnsi="楷体" w:eastAsia="楷体" w:cs="楷体"/>
          <w:sz w:val="28"/>
          <w:szCs w:val="28"/>
        </w:rPr>
      </w:pPr>
    </w:p>
    <w:p w14:paraId="2CDA4566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CD19 ADC</w:t>
      </w:r>
    </w:p>
    <w:p w14:paraId="47F574B6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替朗妥昔单抗（Zynlonta）是一款CD19 ADC药物，2021年4月获FDA批准上市，适应症为复发性或难治性大B细胞淋巴瘤成人患者。替朗妥昔单抗由CD19单克隆抗体通过连接子与PBD（吡咯并苯并二氮杂卓）二聚体细胞毒素偶联而成。</w:t>
      </w:r>
    </w:p>
    <w:p w14:paraId="6BBF6129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drawing>
          <wp:inline distT="0" distB="0" distL="114300" distR="114300">
            <wp:extent cx="5274310" cy="2260600"/>
            <wp:effectExtent l="0" t="0" r="2540" b="6350"/>
            <wp:docPr id="4" name="图片 4" descr="3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F2F9C">
      <w:pPr>
        <w:rPr>
          <w:rFonts w:hint="eastAsia" w:ascii="楷体" w:hAnsi="楷体" w:eastAsia="楷体" w:cs="楷体"/>
          <w:sz w:val="28"/>
          <w:szCs w:val="28"/>
        </w:rPr>
      </w:pPr>
    </w:p>
    <w:p w14:paraId="48A4F5BB"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随着CD19双抗、ADC和CAR-T药物的相继获批，CD19领域的研发趋于白热化。未来异体CAR-T和双靶点CAR-T有望给这一赛道带来新的变数。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16541A"/>
    <w:multiLevelType w:val="singleLevel"/>
    <w:tmpl w:val="FF1654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TA5Y2Y5Y2I0NzU2ZDExMmM5ZWY5YTU1YWU0MjAifQ=="/>
  </w:docVars>
  <w:rsids>
    <w:rsidRoot w:val="2F1A63C4"/>
    <w:rsid w:val="1B803B6F"/>
    <w:rsid w:val="2F1A63C4"/>
    <w:rsid w:val="68993147"/>
    <w:rsid w:val="73E1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892</Words>
  <Characters>1152</Characters>
  <Lines>0</Lines>
  <Paragraphs>0</Paragraphs>
  <TotalTime>12</TotalTime>
  <ScaleCrop>false</ScaleCrop>
  <LinksUpToDate>false</LinksUpToDate>
  <CharactersWithSpaces>1162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2024-10-10T03:44:00Z</dcterms:created>
  <dc:creator>忘了天空的颜色</dc:creator>
  <cp:lastModifiedBy>忘了天空的颜色</cp:lastModifiedBy>
  <dcterms:modified xsi:type="dcterms:W3CDTF">2024-10-10T05:33:44Z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5BE489CC38904A4EADD98FFD0E5FD1EF_11</vt:lpwstr>
  </property>
</Properties>
</file>