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578" w:x="5618" w:y="2639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YouYuan" w:hAnsi="YouYuan" w:cs="YouYuan"/>
          <w:color w:val="000000"/>
          <w:spacing w:val="-1"/>
          <w:sz w:val="66"/>
        </w:rPr>
        <w:t>道路工程质量控制要点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3114" w:x="3262" w:y="560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OVVMS+FangSong_GB2312" w:hAnsi="FOVVMS+FangSong_GB2312" w:cs="FOVVMS+FangSong_GB2312"/>
          <w:color w:val="000000"/>
          <w:spacing w:val="-1"/>
          <w:sz w:val="48"/>
        </w:rPr>
        <w:t>（一）路基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6447"/>
        <w:widowControl w:val="off"/>
        <w:autoSpaceDE w:val="off"/>
        <w:autoSpaceDN w:val="off"/>
        <w:spacing w:before="0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TQGWJ+FangSong_GB2312"/>
          <w:color w:val="000000"/>
          <w:spacing w:val="1"/>
          <w:sz w:val="48"/>
        </w:rPr>
        <w:t>1</w:t>
      </w:r>
      <w:r>
        <w:rPr>
          <w:rFonts w:ascii="FOVVMS+FangSong_GB2312" w:hAnsi="FOVVMS+FangSong_GB2312" w:cs="FOVVMS+FangSong_GB2312"/>
          <w:color w:val="000000"/>
          <w:spacing w:val="-1"/>
          <w:sz w:val="48"/>
        </w:rPr>
        <w:t>．路基填土不得使用腐植土、生活垃圾土、淤泥、冻土块、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6447"/>
        <w:widowControl w:val="off"/>
        <w:autoSpaceDE w:val="off"/>
        <w:autoSpaceDN w:val="off"/>
        <w:spacing w:before="361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OVVMS+FangSong_GB2312" w:hAnsi="FOVVMS+FangSong_GB2312" w:cs="FOVVMS+FangSong_GB2312"/>
          <w:color w:val="000000"/>
          <w:spacing w:val="-1"/>
          <w:sz w:val="48"/>
        </w:rPr>
        <w:t>草及树根等杂物，粒径超过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QTQGWJ+FangSong_GB2312"/>
          <w:color w:val="000000"/>
          <w:spacing w:val="-1"/>
          <w:sz w:val="48"/>
        </w:rPr>
        <w:t>10cm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FOVVMS+FangSong_GB2312" w:hAnsi="FOVVMS+FangSong_GB2312" w:cs="FOVVMS+FangSong_GB2312"/>
          <w:color w:val="000000"/>
          <w:spacing w:val="-1"/>
          <w:sz w:val="48"/>
        </w:rPr>
        <w:t>的土块应打碎；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6447"/>
        <w:widowControl w:val="off"/>
        <w:autoSpaceDE w:val="off"/>
        <w:autoSpaceDN w:val="off"/>
        <w:spacing w:before="364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TQGWJ+FangSong_GB2312"/>
          <w:color w:val="000000"/>
          <w:spacing w:val="1"/>
          <w:sz w:val="48"/>
        </w:rPr>
        <w:t>2</w:t>
      </w:r>
      <w:r>
        <w:rPr>
          <w:rFonts w:ascii="FOVVMS+FangSong_GB2312" w:hAnsi="FOVVMS+FangSong_GB2312" w:cs="FOVVMS+FangSong_GB2312"/>
          <w:color w:val="000000"/>
          <w:spacing w:val="-1"/>
          <w:sz w:val="48"/>
        </w:rPr>
        <w:t>．土基在含水量较大，难以压实或受冰冻局部翻浆时，必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6447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OVVMS+FangSong_GB2312" w:hAnsi="FOVVMS+FangSong_GB2312" w:cs="FOVVMS+FangSong_GB2312"/>
          <w:color w:val="000000"/>
          <w:spacing w:val="-1"/>
          <w:sz w:val="48"/>
        </w:rPr>
        <w:t>须进行处理，处理时每层压实厚度不得超过</w:t>
      </w:r>
      <w:r>
        <w:rPr>
          <w:rFonts w:ascii="Times New Roman"/>
          <w:color w:val="000000"/>
          <w:spacing w:val="105"/>
          <w:sz w:val="48"/>
        </w:rPr>
        <w:t xml:space="preserve"> </w:t>
      </w:r>
      <w:r>
        <w:rPr>
          <w:rFonts w:ascii="PVGCMP+Nimbus Roman No9 L Regular"/>
          <w:color w:val="000000"/>
          <w:spacing w:val="-1"/>
          <w:sz w:val="48"/>
        </w:rPr>
        <w:t>30cm</w:t>
      </w:r>
      <w:r>
        <w:rPr>
          <w:rFonts w:ascii="FOVVMS+FangSong_GB2312" w:hAnsi="FOVVMS+FangSong_GB2312" w:cs="FOVVMS+FangSong_GB2312"/>
          <w:color w:val="000000"/>
          <w:spacing w:val="-1"/>
          <w:sz w:val="48"/>
        </w:rPr>
        <w:t>，深处理层和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6447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OVVMS+FangSong_GB2312" w:hAnsi="FOVVMS+FangSong_GB2312" w:cs="FOVVMS+FangSong_GB2312"/>
          <w:color w:val="000000"/>
          <w:spacing w:val="-1"/>
          <w:sz w:val="48"/>
        </w:rPr>
        <w:t>下基层不得同次碾压；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81" w:x="5106" w:y="1612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QTQGWJ+FangSong_GB2312"/>
          <w:color w:val="000000"/>
          <w:spacing w:val="0"/>
          <w:sz w:val="24"/>
        </w:rPr>
        <w:t>2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PVGCMP+Nimbus Roman No9 L Regular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1pt;margin-top:-1pt;z-index:-3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0" w:after="0" w:line="479" w:lineRule="exact"/>
        <w:ind w:left="96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FAMHE+FangSong_GB2312"/>
          <w:color w:val="000000"/>
          <w:spacing w:val="1"/>
          <w:sz w:val="48"/>
        </w:rPr>
        <w:t>3</w:t>
      </w:r>
      <w:r>
        <w:rPr>
          <w:rFonts w:ascii="SKSKTM+FangSong_GB2312" w:hAnsi="SKSKTM+FangSong_GB2312" w:cs="SKSKTM+FangSong_GB2312"/>
          <w:color w:val="000000"/>
          <w:spacing w:val="-1"/>
          <w:sz w:val="48"/>
        </w:rPr>
        <w:t>．严格控制沥青混合料的施工温度，城市快速路、主干路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KSKTM+FangSong_GB2312" w:hAnsi="SKSKTM+FangSong_GB2312" w:cs="SKSKTM+FangSong_GB2312"/>
          <w:color w:val="000000"/>
          <w:spacing w:val="-1"/>
          <w:sz w:val="48"/>
        </w:rPr>
        <w:t>沥青路面一般应不得在低于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NFAMHE+FangSong_GB2312"/>
          <w:color w:val="000000"/>
          <w:spacing w:val="0"/>
          <w:sz w:val="48"/>
        </w:rPr>
        <w:t>10</w:t>
      </w:r>
      <w:r>
        <w:rPr>
          <w:rFonts w:ascii="SKSKTM+FangSong_GB2312" w:hAnsi="SKSKTM+FangSong_GB2312" w:cs="SKSKTM+FangSong_GB2312"/>
          <w:color w:val="000000"/>
          <w:spacing w:val="-16"/>
          <w:sz w:val="48"/>
        </w:rPr>
        <w:t>℃（其它等级道路不得低于</w:t>
      </w:r>
      <w:r>
        <w:rPr>
          <w:rFonts w:ascii="Times New Roman"/>
          <w:color w:val="000000"/>
          <w:spacing w:val="29"/>
          <w:sz w:val="48"/>
        </w:rPr>
        <w:t xml:space="preserve"> </w:t>
      </w:r>
      <w:r>
        <w:rPr>
          <w:rFonts w:ascii="NFAMHE+FangSong_GB2312"/>
          <w:color w:val="000000"/>
          <w:spacing w:val="-2"/>
          <w:sz w:val="48"/>
        </w:rPr>
        <w:t>5</w:t>
      </w:r>
      <w:r>
        <w:rPr>
          <w:rFonts w:ascii="SKSKTM+FangSong_GB2312" w:hAnsi="SKSKTM+FangSong_GB2312" w:cs="SKSKTM+FangSong_GB2312"/>
          <w:color w:val="000000"/>
          <w:spacing w:val="-79"/>
          <w:sz w:val="48"/>
        </w:rPr>
        <w:t>℃）、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KSKTM+FangSong_GB2312" w:hAnsi="SKSKTM+FangSong_GB2312" w:cs="SKSKTM+FangSong_GB2312"/>
          <w:color w:val="000000"/>
          <w:spacing w:val="-7"/>
          <w:sz w:val="48"/>
        </w:rPr>
        <w:t>雨天和路面潮湿的状态下施工；碾压终了的路表面温度普通沥青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KSKTM+FangSong_GB2312" w:hAnsi="SKSKTM+FangSong_GB2312" w:cs="SKSKTM+FangSong_GB2312"/>
          <w:color w:val="000000"/>
          <w:spacing w:val="-1"/>
          <w:sz w:val="48"/>
        </w:rPr>
        <w:t>砼不得低于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NFAMHE+FangSong_GB2312"/>
          <w:color w:val="000000"/>
          <w:spacing w:val="-1"/>
          <w:sz w:val="48"/>
        </w:rPr>
        <w:t>55</w:t>
      </w:r>
      <w:r>
        <w:rPr>
          <w:rFonts w:ascii="SKSKTM+FangSong_GB2312" w:hAnsi="SKSKTM+FangSong_GB2312" w:cs="SKSKTM+FangSong_GB2312"/>
          <w:color w:val="000000"/>
          <w:spacing w:val="-1"/>
          <w:sz w:val="48"/>
        </w:rPr>
        <w:t>～</w:t>
      </w:r>
      <w:r>
        <w:rPr>
          <w:rFonts w:ascii="NFAMHE+FangSong_GB2312"/>
          <w:color w:val="000000"/>
          <w:spacing w:val="1"/>
          <w:sz w:val="48"/>
        </w:rPr>
        <w:t>60</w:t>
      </w:r>
      <w:r>
        <w:rPr>
          <w:rFonts w:ascii="SKSKTM+FangSong_GB2312" w:hAnsi="SKSKTM+FangSong_GB2312" w:cs="SKSKTM+FangSong_GB2312"/>
          <w:color w:val="000000"/>
          <w:spacing w:val="-1"/>
          <w:sz w:val="48"/>
        </w:rPr>
        <w:t>℃，改性沥青砼不得低于</w:t>
      </w:r>
      <w:r>
        <w:rPr>
          <w:rFonts w:ascii="Times New Roman"/>
          <w:color w:val="000000"/>
          <w:spacing w:val="15"/>
          <w:sz w:val="48"/>
        </w:rPr>
        <w:t xml:space="preserve"> </w:t>
      </w:r>
      <w:r>
        <w:rPr>
          <w:rFonts w:ascii="NFAMHE+FangSong_GB2312"/>
          <w:color w:val="000000"/>
          <w:spacing w:val="-1"/>
          <w:sz w:val="48"/>
        </w:rPr>
        <w:t>90</w:t>
      </w:r>
      <w:r>
        <w:rPr>
          <w:rFonts w:ascii="SKSKTM+FangSong_GB2312" w:hAnsi="SKSKTM+FangSong_GB2312" w:cs="SKSKTM+FangSong_GB2312"/>
          <w:color w:val="000000"/>
          <w:spacing w:val="-1"/>
          <w:sz w:val="48"/>
        </w:rPr>
        <w:t>℃；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0" w:after="0" w:line="479" w:lineRule="exact"/>
        <w:ind w:left="96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FAMHE+FangSong_GB2312"/>
          <w:color w:val="000000"/>
          <w:spacing w:val="1"/>
          <w:sz w:val="48"/>
        </w:rPr>
        <w:t>4</w:t>
      </w:r>
      <w:r>
        <w:rPr>
          <w:rFonts w:ascii="SKSKTM+FangSong_GB2312" w:hAnsi="SKSKTM+FangSong_GB2312" w:cs="SKSKTM+FangSong_GB2312"/>
          <w:color w:val="000000"/>
          <w:spacing w:val="-1"/>
          <w:sz w:val="48"/>
        </w:rPr>
        <w:t>．沥青路面施工应配备满足配套使用的摊铺机和压路机，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1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KSKTM+FangSong_GB2312" w:hAnsi="SKSKTM+FangSong_GB2312" w:cs="SKSKTM+FangSong_GB2312"/>
          <w:color w:val="000000"/>
          <w:spacing w:val="-1"/>
          <w:sz w:val="48"/>
        </w:rPr>
        <w:t>一台摊铺机的铺筑宽度宜控制在</w:t>
      </w:r>
      <w:r>
        <w:rPr>
          <w:rFonts w:ascii="Times New Roman"/>
          <w:color w:val="000000"/>
          <w:spacing w:val="94"/>
          <w:sz w:val="48"/>
        </w:rPr>
        <w:t xml:space="preserve"> </w:t>
      </w:r>
      <w:r>
        <w:rPr>
          <w:rFonts w:ascii="NFAMHE+FangSong_GB2312"/>
          <w:color w:val="000000"/>
          <w:spacing w:val="-1"/>
          <w:sz w:val="48"/>
        </w:rPr>
        <w:t>6m</w:t>
      </w:r>
      <w:r>
        <w:rPr>
          <w:rFonts w:ascii="Times New Roman"/>
          <w:color w:val="000000"/>
          <w:spacing w:val="78"/>
          <w:sz w:val="48"/>
        </w:rPr>
        <w:t xml:space="preserve"> </w:t>
      </w:r>
      <w:r>
        <w:rPr>
          <w:rFonts w:ascii="SKSKTM+FangSong_GB2312" w:hAnsi="SKSKTM+FangSong_GB2312" w:cs="SKSKTM+FangSong_GB2312"/>
          <w:color w:val="000000"/>
          <w:spacing w:val="0"/>
          <w:sz w:val="48"/>
        </w:rPr>
        <w:t>至</w:t>
      </w:r>
      <w:r>
        <w:rPr>
          <w:rFonts w:ascii="Times New Roman"/>
          <w:color w:val="000000"/>
          <w:spacing w:val="81"/>
          <w:sz w:val="48"/>
        </w:rPr>
        <w:t xml:space="preserve"> </w:t>
      </w:r>
      <w:r>
        <w:rPr>
          <w:rFonts w:ascii="NFAMHE+FangSong_GB2312"/>
          <w:color w:val="000000"/>
          <w:spacing w:val="-1"/>
          <w:sz w:val="48"/>
        </w:rPr>
        <w:t>7.5m</w:t>
      </w:r>
      <w:r>
        <w:rPr>
          <w:rFonts w:ascii="Times New Roman"/>
          <w:color w:val="000000"/>
          <w:spacing w:val="75"/>
          <w:sz w:val="48"/>
        </w:rPr>
        <w:t xml:space="preserve"> </w:t>
      </w:r>
      <w:r>
        <w:rPr>
          <w:rFonts w:ascii="SKSKTM+FangSong_GB2312" w:hAnsi="SKSKTM+FangSong_GB2312" w:cs="SKSKTM+FangSong_GB2312"/>
          <w:color w:val="000000"/>
          <w:spacing w:val="-1"/>
          <w:sz w:val="48"/>
        </w:rPr>
        <w:t>以内，最宽不超过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FAMHE+FangSong_GB2312"/>
          <w:color w:val="000000"/>
          <w:spacing w:val="1"/>
          <w:sz w:val="48"/>
        </w:rPr>
        <w:t>9m</w:t>
      </w:r>
      <w:r>
        <w:rPr>
          <w:rFonts w:ascii="SKSKTM+FangSong_GB2312" w:hAnsi="SKSKTM+FangSong_GB2312" w:cs="SKSKTM+FangSong_GB2312"/>
          <w:color w:val="000000"/>
          <w:spacing w:val="-5"/>
          <w:sz w:val="48"/>
        </w:rPr>
        <w:t>；摊铺机配备数量应根据设计要求、铺筑宽度、摊铺速度和保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KSKTM+FangSong_GB2312" w:hAnsi="SKSKTM+FangSong_GB2312" w:cs="SKSKTM+FangSong_GB2312"/>
          <w:color w:val="000000"/>
          <w:spacing w:val="-7"/>
          <w:sz w:val="48"/>
        </w:rPr>
        <w:t>证路面纵向热接缝等要求确定，单台摊铺机配置的碾压设备至少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3817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KSKTM+FangSong_GB2312" w:hAnsi="SKSKTM+FangSong_GB2312" w:cs="SKSKTM+FangSong_GB2312"/>
          <w:color w:val="000000"/>
          <w:spacing w:val="-7"/>
          <w:sz w:val="48"/>
        </w:rPr>
        <w:t>包括双钢轮振动式压路机、胶轮式压路机（压路机总质量不低于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FCHQD+Nimbus Roman No9 L Regular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1pt;margin-top:-1pt;z-index:-7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156" w:x="2298" w:y="3736"/>
        <w:widowControl w:val="off"/>
        <w:autoSpaceDE w:val="off"/>
        <w:autoSpaceDN w:val="off"/>
        <w:spacing w:before="0" w:after="0" w:line="479" w:lineRule="exact"/>
        <w:ind w:left="96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OLRUIN+FangSong_GB2312"/>
          <w:color w:val="000000"/>
          <w:spacing w:val="1"/>
          <w:sz w:val="48"/>
        </w:rPr>
        <w:t>5</w:t>
      </w:r>
      <w:r>
        <w:rPr>
          <w:rFonts w:ascii="PHIRWN+FangSong_GB2312" w:hAnsi="PHIRWN+FangSong_GB2312" w:cs="PHIRWN+FangSong_GB2312"/>
          <w:color w:val="000000"/>
          <w:spacing w:val="-1"/>
          <w:sz w:val="48"/>
        </w:rPr>
        <w:t>．沥青路面施工时，压路机应缓慢、匀速碾压，检查井周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56" w:x="2298" w:y="3736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PHIRWN+FangSong_GB2312" w:hAnsi="PHIRWN+FangSong_GB2312" w:cs="PHIRWN+FangSong_GB2312"/>
          <w:color w:val="000000"/>
          <w:spacing w:val="-1"/>
          <w:sz w:val="48"/>
        </w:rPr>
        <w:t>边、路边石根部应使用小型压路机碾压密实；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QJJRE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-1pt;margin-top:-1pt;z-index:-11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148" w:x="2298" w:y="3736"/>
        <w:widowControl w:val="off"/>
        <w:autoSpaceDE w:val="off"/>
        <w:autoSpaceDN w:val="off"/>
        <w:spacing w:before="0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JUSTQJ+FangSong_GB2312"/>
          <w:color w:val="000000"/>
          <w:spacing w:val="1"/>
          <w:sz w:val="48"/>
        </w:rPr>
        <w:t>6</w:t>
      </w:r>
      <w:r>
        <w:rPr>
          <w:rFonts w:ascii="FIIHTF+FangSong_GB2312" w:hAnsi="FIIHTF+FangSong_GB2312" w:cs="FIIHTF+FangSong_GB2312"/>
          <w:color w:val="000000"/>
          <w:spacing w:val="-1"/>
          <w:sz w:val="48"/>
        </w:rPr>
        <w:t>．人行道路面砖铺筑后，应使用小型平板夯夯实，保证路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48" w:x="2298" w:y="3736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IIHTF+FangSong_GB2312" w:hAnsi="FIIHTF+FangSong_GB2312" w:cs="FIIHTF+FangSong_GB2312"/>
          <w:color w:val="000000"/>
          <w:spacing w:val="-1"/>
          <w:sz w:val="48"/>
        </w:rPr>
        <w:t>面砖平整；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9697"/>
        <w:widowControl w:val="off"/>
        <w:autoSpaceDE w:val="off"/>
        <w:autoSpaceDN w:val="off"/>
        <w:spacing w:before="0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IIHTF+FangSong_GB2312" w:hAnsi="FIIHTF+FangSong_GB2312" w:cs="FIIHTF+FangSong_GB2312"/>
          <w:color w:val="000000"/>
          <w:spacing w:val="2"/>
          <w:sz w:val="48"/>
        </w:rPr>
        <w:t>（</w:t>
      </w:r>
      <w:r>
        <w:rPr>
          <w:rFonts w:ascii="JUSTQJ+FangSong_GB2312"/>
          <w:color w:val="000000"/>
          <w:spacing w:val="5"/>
          <w:sz w:val="48"/>
        </w:rPr>
        <w:t>2</w:t>
      </w:r>
      <w:r>
        <w:rPr>
          <w:rFonts w:ascii="FIIHTF+FangSong_GB2312" w:hAnsi="FIIHTF+FangSong_GB2312" w:cs="FIIHTF+FangSong_GB2312"/>
          <w:color w:val="000000"/>
          <w:spacing w:val="-1"/>
          <w:sz w:val="48"/>
        </w:rPr>
        <w:t>）新建道路的检查井应严格执行《检查井设计与施工标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3" w:x="2298" w:y="19697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IIHTF+FangSong_GB2312" w:hAnsi="FIIHTF+FangSong_GB2312" w:cs="FIIHTF+FangSong_GB2312"/>
          <w:color w:val="000000"/>
          <w:spacing w:val="-51"/>
          <w:sz w:val="48"/>
        </w:rPr>
        <w:t>准图集（试行）》（</w:t>
      </w:r>
      <w:r>
        <w:rPr>
          <w:rFonts w:ascii="JUSTQJ+FangSong_GB2312"/>
          <w:color w:val="000000"/>
          <w:spacing w:val="0"/>
          <w:sz w:val="48"/>
        </w:rPr>
        <w:t>HDBT-2004-001</w:t>
      </w:r>
      <w:r>
        <w:rPr>
          <w:rFonts w:ascii="FIIHTF+FangSong_GB2312" w:hAnsi="FIIHTF+FangSong_GB2312" w:cs="FIIHTF+FangSong_GB2312"/>
          <w:color w:val="000000"/>
          <w:spacing w:val="-1"/>
          <w:sz w:val="48"/>
        </w:rPr>
        <w:t>）的规定，对既有道路结构改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PVGCMP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-1pt;margin-top:-1pt;z-index:-15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290" w:x="3259" w:y="457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VHDPE+FangSong_GB2312" w:hAnsi="TVHDPE+FangSong_GB2312" w:cs="TVHDPE+FangSong_GB2312"/>
          <w:color w:val="000000"/>
          <w:spacing w:val="2"/>
          <w:sz w:val="48"/>
        </w:rPr>
        <w:t>（</w:t>
      </w:r>
      <w:r>
        <w:rPr>
          <w:rFonts w:ascii="RPODTJ+FangSong_GB2312"/>
          <w:color w:val="000000"/>
          <w:spacing w:val="-2"/>
          <w:sz w:val="48"/>
        </w:rPr>
        <w:t>3</w:t>
      </w:r>
      <w:r>
        <w:rPr>
          <w:rFonts w:ascii="TVHDPE+FangSong_GB2312" w:hAnsi="TVHDPE+FangSong_GB2312" w:cs="TVHDPE+FangSong_GB2312"/>
          <w:color w:val="000000"/>
          <w:spacing w:val="-1"/>
          <w:sz w:val="48"/>
        </w:rPr>
        <w:t>）井座、井盖安装应平整、牢固、无噪音；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2391" w:x="3266" w:y="1885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VHDPE+FangSong_GB2312" w:hAnsi="TVHDPE+FangSong_GB2312" w:cs="TVHDPE+FangSong_GB2312"/>
          <w:color w:val="000000"/>
          <w:spacing w:val="2"/>
          <w:sz w:val="48"/>
        </w:rPr>
        <w:t>（</w:t>
      </w:r>
      <w:r>
        <w:rPr>
          <w:rFonts w:ascii="RPODTJ+FangSong_GB2312"/>
          <w:color w:val="000000"/>
          <w:spacing w:val="-2"/>
          <w:sz w:val="48"/>
        </w:rPr>
        <w:t>2</w:t>
      </w:r>
      <w:r>
        <w:rPr>
          <w:rFonts w:ascii="TVHDPE+FangSong_GB2312" w:hAnsi="TVHDPE+FangSong_GB2312" w:cs="TVHDPE+FangSong_GB2312"/>
          <w:color w:val="000000"/>
          <w:spacing w:val="-1"/>
          <w:sz w:val="48"/>
        </w:rPr>
        <w:t>）树池、花坛基础砌筑应做必要的防冻胀处理；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2391" w:x="3266" w:y="18858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VHDPE+FangSong_GB2312" w:hAnsi="TVHDPE+FangSong_GB2312" w:cs="TVHDPE+FangSong_GB2312"/>
          <w:color w:val="000000"/>
          <w:spacing w:val="2"/>
          <w:sz w:val="48"/>
        </w:rPr>
        <w:t>（</w:t>
      </w:r>
      <w:r>
        <w:rPr>
          <w:rFonts w:ascii="RPODTJ+FangSong_GB2312"/>
          <w:color w:val="000000"/>
          <w:spacing w:val="-2"/>
          <w:sz w:val="48"/>
        </w:rPr>
        <w:t>3</w:t>
      </w:r>
      <w:r>
        <w:rPr>
          <w:rFonts w:ascii="TVHDPE+FangSong_GB2312" w:hAnsi="TVHDPE+FangSong_GB2312" w:cs="TVHDPE+FangSong_GB2312"/>
          <w:color w:val="000000"/>
          <w:spacing w:val="-1"/>
          <w:sz w:val="48"/>
        </w:rPr>
        <w:t>）树木成活率应达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RPODTJ+FangSong_GB2312"/>
          <w:color w:val="000000"/>
          <w:spacing w:val="-1"/>
          <w:sz w:val="48"/>
        </w:rPr>
        <w:t>95%</w:t>
      </w:r>
      <w:r>
        <w:rPr>
          <w:rFonts w:ascii="TVHDPE+FangSong_GB2312" w:hAnsi="TVHDPE+FangSong_GB2312" w:cs="TVHDPE+FangSong_GB2312"/>
          <w:color w:val="000000"/>
          <w:spacing w:val="0"/>
          <w:sz w:val="48"/>
        </w:rPr>
        <w:t>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1290" w:x="3266" w:y="2053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VHDPE+FangSong_GB2312" w:hAnsi="TVHDPE+FangSong_GB2312" w:cs="TVHDPE+FangSong_GB2312"/>
          <w:color w:val="000000"/>
          <w:spacing w:val="2"/>
          <w:sz w:val="48"/>
        </w:rPr>
        <w:t>（</w:t>
      </w:r>
      <w:r>
        <w:rPr>
          <w:rFonts w:ascii="RPODTJ+FangSong_GB2312"/>
          <w:color w:val="000000"/>
          <w:spacing w:val="-2"/>
          <w:sz w:val="48"/>
        </w:rPr>
        <w:t>4</w:t>
      </w:r>
      <w:r>
        <w:rPr>
          <w:rFonts w:ascii="TVHDPE+FangSong_GB2312" w:hAnsi="TVHDPE+FangSong_GB2312" w:cs="TVHDPE+FangSong_GB2312"/>
          <w:color w:val="000000"/>
          <w:spacing w:val="-1"/>
          <w:sz w:val="48"/>
        </w:rPr>
        <w:t>）树木无死树、枯枝、孽芽和损伤等现象。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QJJRE+Nimbus Roman No9 L Regular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1pt;margin-top:-1pt;z-index:-19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968" w:x="2298" w:y="2894"/>
        <w:widowControl w:val="off"/>
        <w:autoSpaceDE w:val="off"/>
        <w:autoSpaceDN w:val="off"/>
        <w:spacing w:before="0" w:after="0" w:line="479" w:lineRule="exact"/>
        <w:ind w:left="93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JUSTQJ+FangSong_GB2312"/>
          <w:color w:val="000000"/>
          <w:spacing w:val="1"/>
          <w:sz w:val="48"/>
        </w:rPr>
        <w:t>4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．路灯杆、信号灯杆、指示牌杆等地面突出物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2298" w:y="2894"/>
        <w:widowControl w:val="off"/>
        <w:autoSpaceDE w:val="off"/>
        <w:autoSpaceDN w:val="off"/>
        <w:spacing w:before="364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-7"/>
          <w:sz w:val="48"/>
        </w:rPr>
        <w:t>路灯杆、信号灯杆、指示牌杆等地面突出物，应进行节点设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2298" w:y="2894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-14"/>
          <w:sz w:val="48"/>
        </w:rPr>
        <w:t>计，按图施工，保证与周边人行道路面砖衔接牢固、平顺、美观。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968" w:x="2298" w:y="2894"/>
        <w:widowControl w:val="off"/>
        <w:autoSpaceDE w:val="off"/>
        <w:autoSpaceDN w:val="off"/>
        <w:spacing w:before="360" w:after="0" w:line="479" w:lineRule="exact"/>
        <w:ind w:left="93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JUSTQJ+FangSong_GB2312"/>
          <w:color w:val="000000"/>
          <w:spacing w:val="1"/>
          <w:sz w:val="48"/>
        </w:rPr>
        <w:t>5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．无障碍设施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0" w:after="0" w:line="479" w:lineRule="exact"/>
        <w:ind w:left="93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6"/>
          <w:sz w:val="48"/>
        </w:rPr>
        <w:t>（</w:t>
      </w:r>
      <w:r>
        <w:rPr>
          <w:rFonts w:ascii="JUSTQJ+FangSong_GB2312"/>
          <w:color w:val="000000"/>
          <w:spacing w:val="1"/>
          <w:sz w:val="48"/>
        </w:rPr>
        <w:t>1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）道路无障碍设施的设计和施工应严格执行《城市道路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-19"/>
          <w:sz w:val="48"/>
        </w:rPr>
        <w:t>和建筑物无障碍设计规范》（</w:t>
      </w:r>
      <w:r>
        <w:rPr>
          <w:rFonts w:ascii="JUSTQJ+FangSong_GB2312"/>
          <w:color w:val="000000"/>
          <w:spacing w:val="0"/>
          <w:sz w:val="48"/>
        </w:rPr>
        <w:t>GJ50-2001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）的规定；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361" w:after="0" w:line="479" w:lineRule="exact"/>
        <w:ind w:left="93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2"/>
          <w:sz w:val="48"/>
        </w:rPr>
        <w:t>（</w:t>
      </w:r>
      <w:r>
        <w:rPr>
          <w:rFonts w:ascii="JUSTQJ+FangSong_GB2312"/>
          <w:color w:val="000000"/>
          <w:spacing w:val="-2"/>
          <w:sz w:val="48"/>
        </w:rPr>
        <w:t>2</w:t>
      </w:r>
      <w:r>
        <w:rPr>
          <w:rFonts w:ascii="VVUFOM+FangSong_GB2312" w:hAnsi="VVUFOM+FangSong_GB2312" w:cs="VVUFOM+FangSong_GB2312"/>
          <w:color w:val="000000"/>
          <w:spacing w:val="-7"/>
          <w:sz w:val="48"/>
        </w:rPr>
        <w:t>）盲道设计或施工应进行现场详勘，尽量保证盲道顺直、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36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-1"/>
          <w:sz w:val="48"/>
        </w:rPr>
        <w:t>避开障碍物；无法避开的，应采用止步板、导向板作明显标识；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360" w:after="0" w:line="479" w:lineRule="exact"/>
        <w:ind w:left="93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6"/>
          <w:sz w:val="48"/>
        </w:rPr>
        <w:t>（</w:t>
      </w:r>
      <w:r>
        <w:rPr>
          <w:rFonts w:ascii="JUSTQJ+FangSong_GB2312"/>
          <w:color w:val="000000"/>
          <w:spacing w:val="1"/>
          <w:sz w:val="48"/>
        </w:rPr>
        <w:t>3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）坡道设计和施工应严格执行《城市道路和建筑物无障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-41"/>
          <w:sz w:val="48"/>
        </w:rPr>
        <w:t>碍设计规范》（</w:t>
      </w:r>
      <w:r>
        <w:rPr>
          <w:rFonts w:ascii="FIISNP+Nimbus Roman No9 L Regular"/>
          <w:color w:val="000000"/>
          <w:spacing w:val="0"/>
          <w:sz w:val="48"/>
        </w:rPr>
        <w:t>GJ50-2001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）的规定，边石坡道下口高出车行道的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36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VVUFOM+FangSong_GB2312" w:hAnsi="VVUFOM+FangSong_GB2312" w:cs="VVUFOM+FangSong_GB2312"/>
          <w:color w:val="000000"/>
          <w:spacing w:val="-1"/>
          <w:sz w:val="48"/>
        </w:rPr>
        <w:t>地面不得大于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FIISNP+Nimbus Roman No9 L Regular"/>
          <w:color w:val="000000"/>
          <w:spacing w:val="-3"/>
          <w:sz w:val="48"/>
        </w:rPr>
        <w:t>10mm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，坡道宽度不宜小于</w:t>
      </w:r>
      <w:r>
        <w:rPr>
          <w:rFonts w:ascii="Times New Roman"/>
          <w:color w:val="000000"/>
          <w:spacing w:val="39"/>
          <w:sz w:val="48"/>
        </w:rPr>
        <w:t xml:space="preserve"> </w:t>
      </w:r>
      <w:r>
        <w:rPr>
          <w:rFonts w:ascii="FIISNP+Nimbus Roman No9 L Regular"/>
          <w:color w:val="000000"/>
          <w:spacing w:val="-1"/>
          <w:sz w:val="48"/>
        </w:rPr>
        <w:t>2.00m</w:t>
      </w:r>
      <w:r>
        <w:rPr>
          <w:rFonts w:ascii="VVUFOM+FangSong_GB2312" w:hAnsi="VVUFOM+FangSong_GB2312" w:cs="VVUFOM+FangSong_GB2312"/>
          <w:color w:val="000000"/>
          <w:spacing w:val="-1"/>
          <w:sz w:val="48"/>
        </w:rPr>
        <w:t>，坡度不应大于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62" w:x="2298" w:y="6256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IISNP+Nimbus Roman No9 L Regular"/>
          <w:color w:val="000000"/>
          <w:spacing w:val="0"/>
          <w:sz w:val="48"/>
        </w:rPr>
        <w:t>1:12</w:t>
      </w:r>
      <w:r>
        <w:rPr>
          <w:rFonts w:ascii="VVUFOM+FangSong_GB2312" w:hAnsi="VVUFOM+FangSong_GB2312" w:cs="VVUFOM+FangSong_GB2312"/>
          <w:color w:val="000000"/>
          <w:spacing w:val="0"/>
          <w:sz w:val="48"/>
        </w:rPr>
        <w:t>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IISNP+Nimbus Roman No9 L Regular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-1pt;margin-top:-1pt;z-index:-23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087" w:x="3266" w:y="457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JUSTQJ+FangSong_GB2312"/>
          <w:color w:val="000000"/>
          <w:spacing w:val="1"/>
          <w:sz w:val="48"/>
        </w:rPr>
        <w:t>3</w:t>
      </w:r>
      <w:r>
        <w:rPr>
          <w:rFonts w:ascii="NFAAWQ+FangSong_GB2312" w:hAnsi="NFAAWQ+FangSong_GB2312" w:cs="NFAAWQ+FangSong_GB2312"/>
          <w:color w:val="000000"/>
          <w:spacing w:val="-1"/>
          <w:sz w:val="48"/>
        </w:rPr>
        <w:t>．路面砖与边石、树池的接缝均匀；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10454"/>
        <w:widowControl w:val="off"/>
        <w:autoSpaceDE w:val="off"/>
        <w:autoSpaceDN w:val="off"/>
        <w:spacing w:before="0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JUSTQJ+FangSong_GB2312"/>
          <w:color w:val="000000"/>
          <w:spacing w:val="1"/>
          <w:sz w:val="48"/>
        </w:rPr>
        <w:t>8</w:t>
      </w:r>
      <w:r>
        <w:rPr>
          <w:rFonts w:ascii="NFAAWQ+FangSong_GB2312" w:hAnsi="NFAAWQ+FangSong_GB2312" w:cs="NFAAWQ+FangSong_GB2312"/>
          <w:color w:val="000000"/>
          <w:spacing w:val="-1"/>
          <w:sz w:val="48"/>
        </w:rPr>
        <w:t>．配套交通标识、标线和交通设施、设备完善，及时更新；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10454"/>
        <w:widowControl w:val="off"/>
        <w:autoSpaceDE w:val="off"/>
        <w:autoSpaceDN w:val="off"/>
        <w:spacing w:before="364" w:after="0" w:line="47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JUSTQJ+FangSong_GB2312"/>
          <w:color w:val="000000"/>
          <w:spacing w:val="1"/>
          <w:sz w:val="48"/>
        </w:rPr>
        <w:t>9</w:t>
      </w:r>
      <w:r>
        <w:rPr>
          <w:rFonts w:ascii="NFAAWQ+FangSong_GB2312" w:hAnsi="NFAAWQ+FangSong_GB2312" w:cs="NFAAWQ+FangSong_GB2312"/>
          <w:color w:val="000000"/>
          <w:spacing w:val="-1"/>
          <w:sz w:val="48"/>
        </w:rPr>
        <w:t>．道路、桥梁的美化、绿化、亮化要做到一桥一景、一路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10454"/>
        <w:widowControl w:val="off"/>
        <w:autoSpaceDE w:val="off"/>
        <w:autoSpaceDN w:val="off"/>
        <w:spacing w:before="36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FAAWQ+FangSong_GB2312" w:hAnsi="NFAAWQ+FangSong_GB2312" w:cs="NFAAWQ+FangSong_GB2312"/>
          <w:color w:val="000000"/>
          <w:spacing w:val="-6"/>
          <w:sz w:val="48"/>
        </w:rPr>
        <w:t>一景，景观建造风格体现城市的历史文脉和建筑特色，和周边环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699" w:x="2298" w:y="10454"/>
        <w:widowControl w:val="off"/>
        <w:autoSpaceDE w:val="off"/>
        <w:autoSpaceDN w:val="off"/>
        <w:spacing w:before="361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FAAWQ+FangSong_GB2312" w:hAnsi="NFAAWQ+FangSong_GB2312" w:cs="NFAAWQ+FangSong_GB2312"/>
          <w:color w:val="000000"/>
          <w:spacing w:val="-1"/>
          <w:sz w:val="48"/>
        </w:rPr>
        <w:t>境相和谐。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TDAKK+Nimbus Roman No9 L Regular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-1pt;margin-top:-1pt;z-index:-27;width:894pt;height:1264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FOVVMS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543A58E3-0000-0000-0000-000000000000}"/>
  </w:font>
  <w:font w:name="QTQGWJ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7195A39C-0000-0000-0000-000000000000}"/>
  </w:font>
  <w:font w:name="PVGCMP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F13A90BC-0000-0000-0000-000000000000}"/>
  </w:font>
  <w:font w:name="NFAMHE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E8D42D3E-0000-0000-0000-000000000000}"/>
  </w:font>
  <w:font w:name="SKSKTM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AAAEA49C-0000-0000-0000-000000000000}"/>
  </w:font>
  <w:font w:name="OFCHQD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0644F657-0000-0000-0000-000000000000}"/>
  </w:font>
  <w:font w:name="OLRUIN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066073A5-0000-0000-0000-000000000000}"/>
  </w:font>
  <w:font w:name="PHIRWN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127A48B1-0000-0000-0000-000000000000}"/>
  </w:font>
  <w:font w:name="VQJJRE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256E8247-0000-0000-0000-000000000000}"/>
  </w:font>
  <w:font w:name="JUSTQJ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DE13F57D-0000-0000-0000-000000000000}"/>
  </w:font>
  <w:font w:name="FIIHTF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1" w:fontKey="{70B3A660-0000-0000-0000-000000000000}"/>
  </w:font>
  <w:font w:name="TVHDPE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2" w:fontKey="{67A41E60-0000-0000-0000-000000000000}"/>
  </w:font>
  <w:font w:name="RPODTJ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3" w:fontKey="{70EDC013-0000-0000-0000-000000000000}"/>
  </w:font>
  <w:font w:name="VVUFOM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4" w:fontKey="{F55F1042-0000-0000-0000-000000000000}"/>
  </w:font>
  <w:font w:name="FIISNP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5" w:fontKey="{6C9AF192-0000-0000-0000-000000000000}"/>
  </w:font>
  <w:font w:name="NFAAWQ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6" w:fontKey="{C7A0074A-0000-0000-0000-000000000000}"/>
  </w:font>
  <w:font w:name="UTDAKK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7" w:fontKey="{5661C2D2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ettings" Target="settings.xml" /><Relationship Id="rId11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styles" Target="styles.xml" /><Relationship Id="rId9" Type="http://schemas.openxmlformats.org/officeDocument/2006/relationships/fontTable" Target="fontTable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7</Pages>
  <Words>110</Words>
  <Characters>993</Characters>
  <Application>Aspose</Application>
  <DocSecurity>0</DocSecurity>
  <Lines>51</Lines>
  <Paragraphs>51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1007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2022-07-06T22:49:31+08:00</dcterms:created>
  <dcterms:modified xmlns:xsi="http://www.w3.org/2001/XMLSchema-instance" xmlns:dcterms="http://purl.org/dc/terms/" xsi:type="dcterms:W3CDTF">2022-07-06T22:49:31+08:00</dcterms:modified>
</coreProperties>
</file>