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charts/colors1.xml" ContentType="application/vnd.ms-office.chartcolorsty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1DD" w:rsidRDefault="00CC220C">
      <w:pPr>
        <w:spacing w:line="360" w:lineRule="auto"/>
        <w:ind w:rightChars="50" w:right="105" w:firstLineChars="50" w:firstLine="94"/>
        <w:jc w:val="left"/>
        <w:rPr>
          <w:rFonts w:ascii="宋体" w:hAnsi="宋体"/>
          <w:b/>
          <w:bCs/>
          <w:color w:val="000000" w:themeColor="text1"/>
          <w:w w:val="90"/>
          <w:sz w:val="28"/>
          <w:szCs w:val="28"/>
        </w:rPr>
      </w:pPr>
      <w:r>
        <w:rPr>
          <w:rFonts w:ascii="宋体" w:hAnsi="宋体" w:hint="eastAsia"/>
          <w:color w:val="000000" w:themeColor="text1"/>
          <w:w w:val="90"/>
          <w:szCs w:val="21"/>
        </w:rPr>
        <w:t xml:space="preserve">               </w:t>
      </w:r>
      <w:r>
        <w:rPr>
          <w:rFonts w:ascii="宋体" w:hAnsi="宋体" w:hint="eastAsia"/>
          <w:b/>
          <w:bCs/>
          <w:color w:val="000000" w:themeColor="text1"/>
          <w:w w:val="90"/>
          <w:sz w:val="28"/>
          <w:szCs w:val="28"/>
        </w:rPr>
        <w:t>基于民族共同体意识下挖掘民俗文化的实施路径研究</w:t>
      </w:r>
    </w:p>
    <w:p w:rsidR="009F61DD" w:rsidRDefault="00CC220C">
      <w:pPr>
        <w:spacing w:line="360" w:lineRule="auto"/>
        <w:ind w:rightChars="50" w:right="105" w:firstLineChars="50" w:firstLine="141"/>
        <w:jc w:val="left"/>
        <w:rPr>
          <w:rFonts w:ascii="宋体" w:hAnsi="宋体"/>
          <w:b/>
          <w:bCs/>
          <w:color w:val="000000" w:themeColor="text1"/>
          <w:sz w:val="28"/>
          <w:szCs w:val="28"/>
        </w:rPr>
      </w:pPr>
      <w:r>
        <w:rPr>
          <w:rFonts w:ascii="宋体" w:hAnsi="宋体" w:hint="eastAsia"/>
          <w:b/>
          <w:bCs/>
          <w:color w:val="000000" w:themeColor="text1"/>
          <w:sz w:val="28"/>
          <w:szCs w:val="28"/>
        </w:rPr>
        <w:t xml:space="preserve"> </w:t>
      </w:r>
    </w:p>
    <w:p w:rsidR="009F61DD" w:rsidRDefault="00CC220C">
      <w:pPr>
        <w:spacing w:line="360" w:lineRule="auto"/>
        <w:ind w:rightChars="50" w:right="105" w:firstLineChars="50" w:firstLine="141"/>
        <w:rPr>
          <w:rFonts w:ascii="宋体" w:hAnsi="宋体"/>
          <w:b/>
          <w:color w:val="000000" w:themeColor="text1"/>
          <w:sz w:val="28"/>
          <w:szCs w:val="28"/>
        </w:rPr>
      </w:pPr>
      <w:r>
        <w:rPr>
          <w:rFonts w:ascii="宋体" w:hAnsi="宋体" w:hint="eastAsia"/>
          <w:b/>
          <w:color w:val="000000" w:themeColor="text1"/>
          <w:sz w:val="28"/>
          <w:szCs w:val="28"/>
        </w:rPr>
        <w:t xml:space="preserve">    </w:t>
      </w:r>
      <w:r>
        <w:rPr>
          <w:rFonts w:ascii="宋体" w:hAnsi="宋体" w:hint="eastAsia"/>
          <w:b/>
          <w:color w:val="000000" w:themeColor="text1"/>
          <w:sz w:val="28"/>
          <w:szCs w:val="28"/>
        </w:rPr>
        <w:t>一、</w:t>
      </w:r>
      <w:r>
        <w:rPr>
          <w:rFonts w:ascii="宋体" w:hAnsi="宋体" w:hint="eastAsia"/>
          <w:b/>
          <w:bCs/>
          <w:color w:val="000000" w:themeColor="text1"/>
          <w:w w:val="90"/>
          <w:sz w:val="28"/>
          <w:szCs w:val="28"/>
        </w:rPr>
        <w:t>民族共同体意识下挖掘民俗文化</w:t>
      </w:r>
      <w:r>
        <w:rPr>
          <w:rFonts w:ascii="宋体" w:hAnsi="宋体" w:hint="eastAsia"/>
          <w:b/>
          <w:color w:val="000000" w:themeColor="text1"/>
          <w:sz w:val="28"/>
          <w:szCs w:val="28"/>
        </w:rPr>
        <w:t>研究的综述</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据文献资料，从</w:t>
      </w:r>
      <w:r>
        <w:rPr>
          <w:rFonts w:ascii="宋体" w:hAnsi="宋体" w:hint="eastAsia"/>
          <w:color w:val="000000" w:themeColor="text1"/>
          <w:sz w:val="24"/>
        </w:rPr>
        <w:t>20</w:t>
      </w:r>
      <w:r>
        <w:rPr>
          <w:rFonts w:ascii="宋体" w:hAnsi="宋体" w:hint="eastAsia"/>
          <w:color w:val="000000" w:themeColor="text1"/>
          <w:sz w:val="24"/>
        </w:rPr>
        <w:t>世纪初梁启超先生首次提出“中华民族”的概念，到抗日战争时期顾颉刚先生提出“中华民族是一个”的主张，再到上世纪末费孝通先生提出的中华民族多元融合的基本模式。这不仅是理论认识的深化，也体现了强烈的实践关怀和理论自觉。</w:t>
      </w:r>
      <w:r>
        <w:rPr>
          <w:rFonts w:ascii="宋体" w:hAnsi="宋体" w:hint="eastAsia"/>
          <w:color w:val="000000" w:themeColor="text1"/>
          <w:sz w:val="24"/>
        </w:rPr>
        <w:t>2019</w:t>
      </w:r>
      <w:r>
        <w:rPr>
          <w:rFonts w:ascii="宋体" w:hAnsi="宋体" w:hint="eastAsia"/>
          <w:color w:val="000000" w:themeColor="text1"/>
          <w:sz w:val="24"/>
        </w:rPr>
        <w:t>年</w:t>
      </w:r>
      <w:r>
        <w:rPr>
          <w:rFonts w:ascii="宋体" w:hAnsi="宋体" w:hint="eastAsia"/>
          <w:color w:val="000000" w:themeColor="text1"/>
          <w:sz w:val="24"/>
        </w:rPr>
        <w:t>10</w:t>
      </w:r>
      <w:r>
        <w:rPr>
          <w:rFonts w:ascii="宋体" w:hAnsi="宋体" w:hint="eastAsia"/>
          <w:color w:val="000000" w:themeColor="text1"/>
          <w:sz w:val="24"/>
        </w:rPr>
        <w:t>月，中共中央办公厅、国务院办公厅印发了《关于全面深入持久开展民族团结进步创建工作铸牢中华民族共同体意识的意见》①，站在党和国家发展全局的高度，提出中华民族共同体意识是民族团结的基础，是精神力量的灵魂。新时期民族团结进步的建立，必须坚持铸造中华民族共同体意识的根本方向</w:t>
      </w:r>
      <w:r>
        <w:rPr>
          <w:rFonts w:ascii="宋体" w:hAnsi="宋体" w:hint="eastAsia"/>
          <w:color w:val="000000" w:themeColor="text1"/>
          <w:sz w:val="24"/>
        </w:rPr>
        <w:t>。</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民间文化是中华民族社区意识的重要载体，是中华民族传统文化的重要组成部分，是人民群众创造的，是各族人民智慧的结晶，是社会主义精神文明建设的重要内容，是社会文明进步和发展的力量源泉。然而，随着信息技术的快速发展和社会文明的进步，传统文化生存的土壤遭到了损坏。再加上在社会转型时期，新媒体的覆盖与发展对民间文化造成很大的冲击，当代人处在浮躁的社会中，被各式各样的舆论浸染着，以新媒体为首的“快餐式”文化铺天盖地，控制了人们的视域，从而忽略了对当地风土人情和传统文化的学习，加速了传统民俗文化的没落与消亡。</w:t>
      </w:r>
    </w:p>
    <w:p w:rsidR="009F61DD" w:rsidRDefault="00CC220C">
      <w:pPr>
        <w:spacing w:line="360" w:lineRule="auto"/>
        <w:ind w:rightChars="50" w:right="105" w:firstLineChars="50" w:firstLine="120"/>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 xml:space="preserve"> </w:t>
      </w:r>
      <w:r>
        <w:rPr>
          <w:rFonts w:ascii="宋体" w:hAnsi="宋体" w:hint="eastAsia"/>
          <w:color w:val="000000" w:themeColor="text1"/>
          <w:sz w:val="24"/>
        </w:rPr>
        <w:t>（一）研究数据统计</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在</w:t>
      </w:r>
      <w:r>
        <w:rPr>
          <w:rFonts w:ascii="宋体" w:hAnsi="宋体" w:hint="eastAsia"/>
          <w:color w:val="000000" w:themeColor="text1"/>
          <w:sz w:val="24"/>
        </w:rPr>
        <w:t>20</w:t>
      </w:r>
      <w:r>
        <w:rPr>
          <w:rFonts w:ascii="宋体" w:hAnsi="宋体"/>
          <w:color w:val="000000" w:themeColor="text1"/>
          <w:sz w:val="24"/>
        </w:rPr>
        <w:t>22</w:t>
      </w:r>
      <w:r>
        <w:rPr>
          <w:rFonts w:ascii="宋体" w:hAnsi="宋体" w:hint="eastAsia"/>
          <w:color w:val="000000" w:themeColor="text1"/>
          <w:sz w:val="24"/>
        </w:rPr>
        <w:t>年</w:t>
      </w:r>
      <w:r>
        <w:rPr>
          <w:rFonts w:ascii="宋体" w:hAnsi="宋体" w:hint="eastAsia"/>
          <w:color w:val="000000" w:themeColor="text1"/>
          <w:sz w:val="24"/>
        </w:rPr>
        <w:t>3</w:t>
      </w:r>
      <w:r>
        <w:rPr>
          <w:rFonts w:ascii="宋体" w:hAnsi="宋体" w:hint="eastAsia"/>
          <w:color w:val="000000" w:themeColor="text1"/>
          <w:sz w:val="24"/>
        </w:rPr>
        <w:t>月时中国知网</w:t>
      </w:r>
      <w:r>
        <w:rPr>
          <w:rFonts w:ascii="宋体" w:hAnsi="宋体" w:hint="eastAsia"/>
          <w:color w:val="000000" w:themeColor="text1"/>
          <w:sz w:val="24"/>
        </w:rPr>
        <w:t xml:space="preserve">( CNKI) </w:t>
      </w:r>
      <w:r>
        <w:rPr>
          <w:rFonts w:ascii="宋体" w:hAnsi="宋体" w:hint="eastAsia"/>
          <w:color w:val="000000" w:themeColor="text1"/>
          <w:sz w:val="24"/>
        </w:rPr>
        <w:t>期刊库检索篇名含“中华民族共同体意识”的文章共</w:t>
      </w:r>
      <w:r>
        <w:rPr>
          <w:rFonts w:ascii="宋体" w:hAnsi="宋体" w:hint="eastAsia"/>
          <w:color w:val="000000" w:themeColor="text1"/>
          <w:sz w:val="24"/>
        </w:rPr>
        <w:t xml:space="preserve"> </w:t>
      </w:r>
      <w:r>
        <w:rPr>
          <w:rFonts w:ascii="宋体" w:hAnsi="宋体"/>
          <w:color w:val="000000" w:themeColor="text1"/>
          <w:sz w:val="24"/>
        </w:rPr>
        <w:t>2142</w:t>
      </w:r>
      <w:r>
        <w:rPr>
          <w:rFonts w:ascii="宋体" w:hAnsi="宋体" w:hint="eastAsia"/>
          <w:color w:val="000000" w:themeColor="text1"/>
          <w:sz w:val="24"/>
        </w:rPr>
        <w:t>篇。从研究成果以清晰地看出，中国民族社区意识研究始于</w:t>
      </w:r>
      <w:r>
        <w:rPr>
          <w:rFonts w:ascii="宋体" w:hAnsi="宋体" w:hint="eastAsia"/>
          <w:color w:val="000000" w:themeColor="text1"/>
          <w:sz w:val="24"/>
        </w:rPr>
        <w:t>2014</w:t>
      </w:r>
      <w:r>
        <w:rPr>
          <w:rFonts w:ascii="宋体" w:hAnsi="宋体" w:hint="eastAsia"/>
          <w:color w:val="000000" w:themeColor="text1"/>
          <w:sz w:val="24"/>
        </w:rPr>
        <w:t>年，随着时间的推移，发布的文件数量逐年增加。文献数量的变化可以作为评价和研究中国民族社区意识现状和趋势的重要指标。近年来该研究稳步上升的趋势，意味着国内学者对中华民族共同体意识的关注越来越高，研究热潮不断升温，同时也表明，铸造强烈的中华民族共同体意识具有重要的现实意义。</w:t>
      </w:r>
    </w:p>
    <w:p w:rsidR="009F61DD" w:rsidRDefault="009F61DD">
      <w:pPr>
        <w:spacing w:before="1"/>
        <w:rPr>
          <w:rFonts w:ascii="Microsoft YaHei UI" w:eastAsia="Microsoft YaHei UI" w:hAnsi="Microsoft YaHei UI"/>
          <w:color w:val="000000" w:themeColor="text1"/>
          <w:sz w:val="18"/>
        </w:rPr>
      </w:pPr>
    </w:p>
    <w:p w:rsidR="009F61DD" w:rsidRDefault="00CC220C" w:rsidP="009F61DD">
      <w:pPr>
        <w:spacing w:line="360" w:lineRule="auto"/>
        <w:ind w:leftChars="50" w:left="105" w:rightChars="50" w:right="105" w:firstLineChars="209" w:firstLine="502"/>
        <w:jc w:val="left"/>
        <w:rPr>
          <w:rFonts w:ascii="宋体" w:hAnsi="宋体"/>
          <w:color w:val="000000" w:themeColor="text1"/>
          <w:sz w:val="24"/>
        </w:rPr>
      </w:pPr>
      <w:r>
        <w:rPr>
          <w:rFonts w:ascii="宋体" w:hAnsi="宋体" w:hint="eastAsia"/>
          <w:color w:val="000000" w:themeColor="text1"/>
          <w:sz w:val="24"/>
        </w:rPr>
        <w:t>图是“中华民族共同体意识”研究主题分布图，图中展示了影响力最广的</w:t>
      </w:r>
      <w:r>
        <w:rPr>
          <w:rFonts w:ascii="宋体" w:hAnsi="宋体" w:hint="eastAsia"/>
          <w:color w:val="000000" w:themeColor="text1"/>
          <w:sz w:val="24"/>
        </w:rPr>
        <w:lastRenderedPageBreak/>
        <w:t>前</w:t>
      </w:r>
      <w:r>
        <w:rPr>
          <w:rFonts w:ascii="宋体" w:hAnsi="宋体" w:hint="eastAsia"/>
          <w:color w:val="000000" w:themeColor="text1"/>
          <w:sz w:val="24"/>
        </w:rPr>
        <w:t>10</w:t>
      </w:r>
      <w:r>
        <w:rPr>
          <w:rFonts w:ascii="宋体" w:hAnsi="宋体" w:hint="eastAsia"/>
          <w:color w:val="000000" w:themeColor="text1"/>
          <w:sz w:val="24"/>
        </w:rPr>
        <w:t>个主题，可以清晰地看到目前该领域的新趋势，即主要以习近平总书记提出的中华民族共同体意识为核心展开的相关研究，包括中华民族共同体意识、中华民族、中华民族共同体、铸牢中华民族共同体、民族团结进步、民族地区等方面，这意味着“中华民族共同体意识”在这一时期成为最具影响力的术语，也是研究前沿的内容。</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noProof/>
          <w:color w:val="000000" w:themeColor="text1"/>
          <w:sz w:val="24"/>
        </w:rPr>
        <w:drawing>
          <wp:inline distT="0" distB="0" distL="0" distR="0">
            <wp:extent cx="4931410" cy="2947035"/>
            <wp:effectExtent l="0" t="0" r="2540" b="571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rsidR="009F61DD" w:rsidRDefault="009F61DD">
      <w:pPr>
        <w:spacing w:line="360" w:lineRule="auto"/>
        <w:ind w:rightChars="50" w:right="105"/>
        <w:jc w:val="left"/>
        <w:rPr>
          <w:rFonts w:ascii="宋体" w:hAnsi="宋体"/>
          <w:color w:val="000000" w:themeColor="text1"/>
          <w:sz w:val="24"/>
        </w:rPr>
      </w:pP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国内学者徐洁</w:t>
      </w:r>
      <w:r>
        <w:rPr>
          <w:rStyle w:val="a6"/>
          <w:i w:val="0"/>
          <w:iCs w:val="0"/>
          <w:color w:val="000000" w:themeColor="text1"/>
        </w:rPr>
        <w:t>舜</w:t>
      </w:r>
      <w:r>
        <w:rPr>
          <w:rFonts w:ascii="宋体" w:hAnsi="宋体" w:hint="eastAsia"/>
          <w:color w:val="000000" w:themeColor="text1"/>
          <w:sz w:val="24"/>
        </w:rPr>
        <w:t>认为，建立强烈的中国民族共同体意识是中国长期以来民族研究的战略方向②。通过文献综述，笔者发现现有的关于华人社区意识的研究主要包括</w:t>
      </w:r>
      <w:r>
        <w:rPr>
          <w:rFonts w:ascii="宋体" w:hAnsi="宋体" w:hint="eastAsia"/>
          <w:color w:val="000000" w:themeColor="text1"/>
          <w:sz w:val="24"/>
        </w:rPr>
        <w:t>四个方面：一是</w:t>
      </w:r>
      <w:r>
        <w:rPr>
          <w:rFonts w:ascii="宋体" w:hAnsiTheme="minorHAnsi" w:cs="宋体" w:hint="eastAsia"/>
          <w:color w:val="000000" w:themeColor="text1"/>
          <w:kern w:val="0"/>
          <w:sz w:val="24"/>
        </w:rPr>
        <w:t>华人社区意识的内涵</w:t>
      </w:r>
      <w:r>
        <w:rPr>
          <w:rFonts w:ascii="宋体" w:hAnsi="宋体" w:hint="eastAsia"/>
          <w:color w:val="000000" w:themeColor="text1"/>
          <w:sz w:val="24"/>
        </w:rPr>
        <w:t>；二是研究铸造中华民族共同体意识的重大意义；三是大学生与民族地区牢固树立中华民族共同体意识的研究；四是中国民族共同体意识塑造的路径与策略研究。民俗文化作为中华传统文化的主要载体，是铸牢“中华民族共同体意识”的核心纽带。下面就从国内和国外两个维度对共同体意识下传统民俗文化的研究现状进行梳理：</w:t>
      </w:r>
    </w:p>
    <w:p w:rsidR="009F61DD" w:rsidRDefault="00CC220C">
      <w:pPr>
        <w:spacing w:line="360" w:lineRule="auto"/>
        <w:ind w:rightChars="50" w:right="105" w:firstLineChars="50" w:firstLine="120"/>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（二）国内相关研究综述</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中国民间文学大师钟敬文先生非常重视民间文学和民俗学的教育和科学研究。出版了《民间文学概论》、《民间文艺谈薮》、《中国民间文学讲演集》、《钟敬文谈中国民俗》、《民俗学概论》等民间文化专著，有力地促进了民间文学与民俗学学科的发展。</w:t>
      </w:r>
      <w:r>
        <w:rPr>
          <w:rFonts w:ascii="宋体" w:hAnsi="宋体" w:hint="eastAsia"/>
          <w:color w:val="000000" w:themeColor="text1"/>
          <w:sz w:val="24"/>
        </w:rPr>
        <w:t>1991</w:t>
      </w:r>
      <w:r>
        <w:rPr>
          <w:rFonts w:ascii="宋体" w:hAnsi="宋体" w:hint="eastAsia"/>
          <w:color w:val="000000" w:themeColor="text1"/>
          <w:sz w:val="24"/>
        </w:rPr>
        <w:t>年，王建郎翻译了《中国民俗文化》，收集了具有民族特色的民俗，介绍了一年四季秩序的起源和发展，并以华北农村家庭为</w:t>
      </w:r>
      <w:r>
        <w:rPr>
          <w:rFonts w:ascii="宋体" w:hAnsi="宋体" w:hint="eastAsia"/>
          <w:color w:val="000000" w:themeColor="text1"/>
          <w:sz w:val="24"/>
        </w:rPr>
        <w:lastRenderedPageBreak/>
        <w:t>例，分析了中国家庭与传承的关系。一方面，学者们从宏观的角度对民间文化的概念、范围、分类和特征进行了整合和总结。另一方面，从具体传统民俗的内涵和特点出发，探讨了新时期传</w:t>
      </w:r>
      <w:r>
        <w:rPr>
          <w:rFonts w:ascii="宋体" w:hAnsi="宋体" w:hint="eastAsia"/>
          <w:color w:val="000000" w:themeColor="text1"/>
          <w:sz w:val="24"/>
        </w:rPr>
        <w:t>统民俗文化的发展轨迹及其价值。还有一些学者在回顾民俗历史的基础上，对民俗与现代社会共生的可行性进行了研究与探讨。</w:t>
      </w:r>
    </w:p>
    <w:p w:rsidR="009F61DD" w:rsidRDefault="00CC220C">
      <w:pPr>
        <w:spacing w:line="360" w:lineRule="auto"/>
        <w:ind w:rightChars="50" w:right="105" w:firstLineChars="50" w:firstLine="120"/>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（三）国外相关研究综述</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为了各国学者交流和协商，目前国际上通用的“</w:t>
      </w:r>
      <w:r>
        <w:rPr>
          <w:rFonts w:ascii="宋体" w:hAnsi="宋体" w:hint="eastAsia"/>
          <w:color w:val="000000" w:themeColor="text1"/>
          <w:sz w:val="24"/>
        </w:rPr>
        <w:t>folklore</w:t>
      </w:r>
      <w:r>
        <w:rPr>
          <w:rFonts w:ascii="宋体" w:hAnsi="宋体" w:hint="eastAsia"/>
          <w:color w:val="000000" w:themeColor="text1"/>
          <w:sz w:val="24"/>
        </w:rPr>
        <w:t>”（民俗学）一词是由两个萨克逊语词汇</w:t>
      </w:r>
      <w:r>
        <w:rPr>
          <w:rFonts w:ascii="宋体" w:hAnsi="宋体" w:hint="eastAsia"/>
          <w:color w:val="000000" w:themeColor="text1"/>
          <w:sz w:val="24"/>
        </w:rPr>
        <w:t xml:space="preserve"> Folk </w:t>
      </w:r>
      <w:r>
        <w:rPr>
          <w:rFonts w:ascii="宋体" w:hAnsi="宋体" w:hint="eastAsia"/>
          <w:color w:val="000000" w:themeColor="text1"/>
          <w:sz w:val="24"/>
        </w:rPr>
        <w:t>和</w:t>
      </w:r>
      <w:r>
        <w:rPr>
          <w:rFonts w:ascii="宋体" w:hAnsi="宋体" w:hint="eastAsia"/>
          <w:color w:val="000000" w:themeColor="text1"/>
          <w:sz w:val="24"/>
        </w:rPr>
        <w:t xml:space="preserve"> Lore </w:t>
      </w:r>
      <w:r>
        <w:rPr>
          <w:rFonts w:ascii="宋体" w:hAnsi="宋体" w:hint="eastAsia"/>
          <w:color w:val="000000" w:themeColor="text1"/>
          <w:sz w:val="24"/>
        </w:rPr>
        <w:t>合成，是英国考古学家汤姆斯（</w:t>
      </w:r>
      <w:r>
        <w:rPr>
          <w:rFonts w:ascii="宋体" w:hAnsi="宋体" w:hint="eastAsia"/>
          <w:color w:val="000000" w:themeColor="text1"/>
          <w:sz w:val="24"/>
        </w:rPr>
        <w:t>WJ</w:t>
      </w:r>
      <w:r>
        <w:rPr>
          <w:rFonts w:ascii="宋体" w:hAnsi="宋体" w:hint="eastAsia"/>
          <w:color w:val="000000" w:themeColor="text1"/>
          <w:sz w:val="24"/>
        </w:rPr>
        <w:t>•</w:t>
      </w:r>
      <w:r>
        <w:rPr>
          <w:rFonts w:ascii="宋体" w:hAnsi="宋体" w:hint="eastAsia"/>
          <w:color w:val="000000" w:themeColor="text1"/>
          <w:sz w:val="24"/>
        </w:rPr>
        <w:t xml:space="preserve"> </w:t>
      </w:r>
      <w:proofErr w:type="spellStart"/>
      <w:r>
        <w:rPr>
          <w:rFonts w:ascii="宋体" w:hAnsi="宋体" w:hint="eastAsia"/>
          <w:color w:val="000000" w:themeColor="text1"/>
          <w:sz w:val="24"/>
        </w:rPr>
        <w:t>Thoms</w:t>
      </w:r>
      <w:proofErr w:type="spellEnd"/>
      <w:r>
        <w:rPr>
          <w:rFonts w:ascii="宋体" w:hAnsi="宋体" w:hint="eastAsia"/>
          <w:color w:val="000000" w:themeColor="text1"/>
          <w:sz w:val="24"/>
        </w:rPr>
        <w:t>）于</w:t>
      </w:r>
      <w:r>
        <w:rPr>
          <w:rFonts w:ascii="宋体" w:hAnsi="宋体" w:hint="eastAsia"/>
          <w:color w:val="000000" w:themeColor="text1"/>
          <w:sz w:val="24"/>
        </w:rPr>
        <w:t>1846</w:t>
      </w:r>
      <w:r>
        <w:rPr>
          <w:rFonts w:ascii="宋体" w:hAnsi="宋体" w:hint="eastAsia"/>
          <w:color w:val="000000" w:themeColor="text1"/>
          <w:sz w:val="24"/>
        </w:rPr>
        <w:t>年将“</w:t>
      </w:r>
      <w:r>
        <w:rPr>
          <w:rFonts w:ascii="宋体" w:hAnsi="宋体" w:hint="eastAsia"/>
          <w:color w:val="000000" w:themeColor="text1"/>
          <w:sz w:val="24"/>
        </w:rPr>
        <w:t>folk</w:t>
      </w:r>
      <w:r>
        <w:rPr>
          <w:rFonts w:ascii="宋体" w:hAnsi="宋体" w:hint="eastAsia"/>
          <w:color w:val="000000" w:themeColor="text1"/>
          <w:sz w:val="24"/>
        </w:rPr>
        <w:t>”（民众）与“</w:t>
      </w:r>
      <w:r>
        <w:rPr>
          <w:rFonts w:ascii="宋体" w:hAnsi="宋体" w:hint="eastAsia"/>
          <w:color w:val="000000" w:themeColor="text1"/>
          <w:sz w:val="24"/>
        </w:rPr>
        <w:t>lore</w:t>
      </w:r>
      <w:r>
        <w:rPr>
          <w:rFonts w:ascii="宋体" w:hAnsi="宋体" w:hint="eastAsia"/>
          <w:color w:val="000000" w:themeColor="text1"/>
          <w:sz w:val="24"/>
        </w:rPr>
        <w:t>”（知识）合二为一创造的。一指“民俗”，意为“民众的知识”或“民俗的智慧”；二指“民俗学”，意为“关于民众知识的科学”。美国学者森纳在</w:t>
      </w:r>
      <w:r>
        <w:rPr>
          <w:rFonts w:ascii="宋体" w:hAnsi="宋体" w:hint="eastAsia"/>
          <w:color w:val="000000" w:themeColor="text1"/>
          <w:sz w:val="24"/>
        </w:rPr>
        <w:t xml:space="preserve"> 1906</w:t>
      </w:r>
      <w:r>
        <w:rPr>
          <w:rFonts w:ascii="宋体" w:hAnsi="宋体" w:hint="eastAsia"/>
          <w:color w:val="000000" w:themeColor="text1"/>
          <w:sz w:val="24"/>
        </w:rPr>
        <w:t>年出版</w:t>
      </w:r>
      <w:r>
        <w:rPr>
          <w:rFonts w:ascii="宋体" w:hAnsi="宋体" w:hint="eastAsia"/>
          <w:color w:val="000000" w:themeColor="text1"/>
          <w:sz w:val="24"/>
        </w:rPr>
        <w:t>了《民间道路》一书提到：“由共同目的逐渐变成风俗与统一模型的生活方式，这就是俗的由来。”杨成志作《民俗学的起源、发展和动态》一文便引用了此概念。</w:t>
      </w:r>
    </w:p>
    <w:p w:rsidR="009F61DD" w:rsidRDefault="00CC220C">
      <w:pPr>
        <w:spacing w:line="360" w:lineRule="auto"/>
        <w:ind w:leftChars="50" w:left="105" w:rightChars="50" w:right="105" w:firstLineChars="200" w:firstLine="480"/>
        <w:jc w:val="left"/>
        <w:rPr>
          <w:rFonts w:ascii="宋体" w:hAnsi="宋体"/>
          <w:color w:val="000000" w:themeColor="text1"/>
          <w:sz w:val="24"/>
        </w:rPr>
      </w:pPr>
      <w:r>
        <w:rPr>
          <w:rFonts w:ascii="宋体" w:hAnsi="宋体" w:hint="eastAsia"/>
          <w:color w:val="000000" w:themeColor="text1"/>
          <w:sz w:val="24"/>
        </w:rPr>
        <w:t>关于民俗学的功能和目的，英国的贝恩对此进行了详细的讨论，她说：“研究各种形式的遗传信仰、习惯和故事及其与环境的关系”这对民族学的研究非常有帮助。其次，它可以观察哪些事件或情况影响所有民族的民俗，以及不平等文化群体之间接触的结果是什么最后，它可以测量它们的环境和特征，因此它也对历史做出了巨大贡献。此外，对经济和政治的基本形式的探索也可以追溯文明国家的发展道路，这对社</w:t>
      </w:r>
      <w:r>
        <w:rPr>
          <w:rFonts w:ascii="宋体" w:hAnsi="宋体" w:hint="eastAsia"/>
          <w:color w:val="000000" w:themeColor="text1"/>
          <w:sz w:val="24"/>
        </w:rPr>
        <w:t>会学有很大帮助。</w:t>
      </w:r>
    </w:p>
    <w:p w:rsidR="009F61DD" w:rsidRDefault="00CC220C">
      <w:pPr>
        <w:spacing w:line="360" w:lineRule="auto"/>
        <w:ind w:leftChars="50" w:left="105" w:rightChars="50" w:right="105" w:firstLineChars="200" w:firstLine="480"/>
        <w:jc w:val="left"/>
        <w:rPr>
          <w:rFonts w:ascii="宋体" w:hAnsi="宋体"/>
          <w:color w:val="000000" w:themeColor="text1"/>
          <w:sz w:val="24"/>
        </w:rPr>
      </w:pPr>
      <w:r>
        <w:rPr>
          <w:rFonts w:ascii="宋体" w:hAnsi="宋体" w:hint="eastAsia"/>
          <w:color w:val="000000" w:themeColor="text1"/>
          <w:sz w:val="24"/>
        </w:rPr>
        <w:t>总的来说，由于东西方历史发展轨迹不同，西方学者讨论的民间文化中有相当一部分与古代神话、民谣和寓言有关，而这些神话、民谣和寓言更多地与宗教有关。民间文化的教育价值与公众信仰密切相关。从研究的角度来看，国外对民间文化教育价值的研究更多的是从民俗学和民间运动的角度出发，以植根于国家和民族高度的民间文化来探索其社会教育价值。因此，他们的研究更多的是探索民间文化的政治、经济等社会功能。</w:t>
      </w:r>
    </w:p>
    <w:p w:rsidR="009F61DD" w:rsidRDefault="00CC220C">
      <w:pPr>
        <w:spacing w:line="360" w:lineRule="auto"/>
        <w:ind w:rightChars="50" w:right="105" w:firstLineChars="50" w:firstLine="120"/>
        <w:jc w:val="left"/>
        <w:rPr>
          <w:rFonts w:ascii="宋体" w:hAnsi="宋体"/>
          <w:b/>
          <w:bCs/>
          <w:color w:val="000000" w:themeColor="text1"/>
          <w:sz w:val="24"/>
        </w:rPr>
      </w:pPr>
      <w:r>
        <w:rPr>
          <w:rFonts w:ascii="宋体" w:hAnsi="宋体" w:hint="eastAsia"/>
          <w:color w:val="000000" w:themeColor="text1"/>
          <w:sz w:val="24"/>
        </w:rPr>
        <w:t xml:space="preserve">   </w:t>
      </w:r>
      <w:r>
        <w:rPr>
          <w:rFonts w:ascii="宋体" w:hAnsi="宋体" w:hint="eastAsia"/>
          <w:b/>
          <w:bCs/>
          <w:color w:val="000000" w:themeColor="text1"/>
          <w:sz w:val="24"/>
        </w:rPr>
        <w:t>二、</w:t>
      </w:r>
      <w:r>
        <w:rPr>
          <w:rFonts w:ascii="宋体" w:hAnsi="宋体" w:hint="eastAsia"/>
          <w:b/>
          <w:bCs/>
          <w:color w:val="000000" w:themeColor="text1"/>
          <w:w w:val="90"/>
          <w:sz w:val="28"/>
          <w:szCs w:val="28"/>
        </w:rPr>
        <w:t>民族共同体意识下挖掘民俗文化</w:t>
      </w:r>
      <w:r>
        <w:rPr>
          <w:rFonts w:ascii="宋体" w:hAnsi="宋体" w:hint="eastAsia"/>
          <w:b/>
          <w:color w:val="000000" w:themeColor="text1"/>
          <w:sz w:val="28"/>
          <w:szCs w:val="28"/>
        </w:rPr>
        <w:t>研究的意义</w:t>
      </w:r>
    </w:p>
    <w:p w:rsidR="009F61DD" w:rsidRDefault="00CC220C">
      <w:pPr>
        <w:spacing w:line="360" w:lineRule="auto"/>
        <w:ind w:rightChars="50" w:right="105" w:firstLineChars="50" w:firstLine="120"/>
        <w:jc w:val="left"/>
        <w:rPr>
          <w:rFonts w:ascii="宋体" w:hAnsi="宋体"/>
          <w:color w:val="000000" w:themeColor="text1"/>
          <w:sz w:val="24"/>
        </w:rPr>
      </w:pPr>
      <w:r>
        <w:rPr>
          <w:rFonts w:ascii="宋体" w:hAnsi="宋体" w:hint="eastAsia"/>
          <w:color w:val="000000" w:themeColor="text1"/>
          <w:sz w:val="24"/>
        </w:rPr>
        <w:t xml:space="preserve"> </w:t>
      </w:r>
    </w:p>
    <w:p w:rsidR="009F61DD" w:rsidRDefault="00CC220C">
      <w:pPr>
        <w:spacing w:line="360" w:lineRule="auto"/>
        <w:ind w:rightChars="50" w:right="105" w:firstLineChars="150" w:firstLine="360"/>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color w:val="000000" w:themeColor="text1"/>
          <w:sz w:val="24"/>
        </w:rPr>
        <w:t xml:space="preserve"> </w:t>
      </w:r>
      <w:r>
        <w:rPr>
          <w:rFonts w:ascii="宋体" w:hAnsi="宋体" w:hint="eastAsia"/>
          <w:color w:val="000000" w:themeColor="text1"/>
          <w:sz w:val="24"/>
        </w:rPr>
        <w:t>（一）丰富和拓展中华民族共同体的基本内涵。</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自习近平同志基于国际、国内两个大局先后提出了人类命运共同体与中华</w:t>
      </w:r>
      <w:r>
        <w:rPr>
          <w:rFonts w:ascii="宋体" w:hAnsi="宋体" w:hint="eastAsia"/>
          <w:color w:val="000000" w:themeColor="text1"/>
          <w:sz w:val="24"/>
        </w:rPr>
        <w:lastRenderedPageBreak/>
        <w:t>民族共同体以来，关于这两个命题的研究日益成为学术界关注的重点问题。作为一个稍晚提出的概念，中华民族共同体在内涵、边界的研究上尚没有达成普遍的共识。笔者将中华民族共同体的内涵作为一个重点的基础性的研究对象，从共同体的普遍性视角以及复合多维的视野出发，进一步丰富和拓展中华民族共同体的意蕴内涵。</w:t>
      </w:r>
    </w:p>
    <w:p w:rsidR="009F61DD" w:rsidRDefault="00CC220C">
      <w:pPr>
        <w:spacing w:line="360" w:lineRule="auto"/>
        <w:ind w:rightChars="50" w:right="105" w:firstLineChars="150" w:firstLine="360"/>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（二）发掘民间文化的价值，继承和发展传统文化，发挥民间文化的教育作用。民俗文化是传统文化的重要组成部分，是中华民族几千年智慧的结晶。教育作为最有效的文</w:t>
      </w:r>
      <w:r>
        <w:rPr>
          <w:rFonts w:ascii="宋体" w:hAnsi="宋体" w:hint="eastAsia"/>
          <w:color w:val="000000" w:themeColor="text1"/>
          <w:sz w:val="24"/>
        </w:rPr>
        <w:t>化交流方式，应该成为实现文化积淀和文化传承的最佳平台。教育与学校、社会相结合，在普及传统文化知识的同时，努力创造有利于促进文化更新和创造的新文化。研究民间文化的教育价值，可以提高民间文化的社会地位，创新文化发展成果，使民间文化更好地服务于当代社会，从而促进社会文明的进步和发展。发掘民间文化的教育价值，有助于重新审视传统民间文化对现代社会的意义和价值。通过教育，长期积淀下来的优秀民俗文化传统将得到重新发展的机会，这将有助于新一代理解和学习优秀民俗文化所蕴含的理念、生产和生活技术、生命的意义和价值等。在一定程度</w:t>
      </w:r>
      <w:r>
        <w:rPr>
          <w:rFonts w:ascii="宋体" w:hAnsi="宋体" w:hint="eastAsia"/>
          <w:color w:val="000000" w:themeColor="text1"/>
          <w:sz w:val="24"/>
        </w:rPr>
        <w:t>上，它有助于增强民族凝聚力和文化认同感，培养爱国主义精神，使个人从没有文化内涵的“自然人”变成具有发现、欣赏和创造文化能力的“文化人”，这也是民俗文化教育作用的重要体现。</w:t>
      </w:r>
    </w:p>
    <w:p w:rsidR="009F61DD" w:rsidRDefault="00CC220C">
      <w:pPr>
        <w:spacing w:line="360" w:lineRule="auto"/>
        <w:ind w:rightChars="50" w:right="105" w:firstLineChars="200" w:firstLine="480"/>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（三）凝聚中华民族应对危机、实现伟大复兴中国梦的精神力量。</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近代以来，随着中华民族的发展，中华民族的意识也经历了从“自由”到“意识”的演变过程。同时，正是有了这种意识和精神，中华民族才能逐步摆脱民族危机，走向繁荣富强。正如钱穆先生所说，世界上没有一个国家能像中国那么大，那么长。这是因为中国往往能够在最困难的时候充分发挥其道德精神来</w:t>
      </w:r>
      <w:r>
        <w:rPr>
          <w:rFonts w:ascii="宋体" w:hAnsi="宋体" w:hint="eastAsia"/>
          <w:color w:val="000000" w:themeColor="text1"/>
          <w:sz w:val="24"/>
        </w:rPr>
        <w:t>拯救危机。这应该是我们的宗教。中国过去的文化精神在这里，光明的未来也在这里。这才真正体现了中华民族内在精神的价值。实现中华民族的伟大复兴，是中华民族近代以来最大的梦想，也是每个中国女儿的共同梦想。通过中华民族共同体意识的培育，寻求各民族在精神和利益层面的最大公约数，在精神性的基因和广泛社会动员的基础上，催生出共同体成员的动力和力量。</w:t>
      </w:r>
      <w:r>
        <w:rPr>
          <w:rFonts w:ascii="宋体" w:hAnsi="宋体" w:hint="eastAsia"/>
          <w:color w:val="000000" w:themeColor="text1"/>
          <w:sz w:val="24"/>
        </w:rPr>
        <w:t xml:space="preserve"> </w:t>
      </w:r>
    </w:p>
    <w:p w:rsidR="009F61DD" w:rsidRDefault="00CC220C">
      <w:pPr>
        <w:spacing w:line="360" w:lineRule="auto"/>
        <w:ind w:leftChars="50" w:left="105" w:rightChars="50" w:right="105" w:firstLineChars="200" w:firstLine="480"/>
        <w:jc w:val="left"/>
        <w:rPr>
          <w:rFonts w:ascii="宋体" w:hAnsi="宋体"/>
          <w:color w:val="000000" w:themeColor="text1"/>
          <w:sz w:val="24"/>
        </w:rPr>
      </w:pPr>
      <w:r>
        <w:rPr>
          <w:rFonts w:ascii="宋体" w:hAnsi="宋体" w:hint="eastAsia"/>
          <w:color w:val="000000" w:themeColor="text1"/>
          <w:sz w:val="24"/>
        </w:rPr>
        <w:t>（四）弥补学校教育中“人文教育”的缺失，丰富学校课程内容。</w:t>
      </w:r>
    </w:p>
    <w:p w:rsidR="009F61DD" w:rsidRDefault="00CC220C">
      <w:pPr>
        <w:spacing w:line="360" w:lineRule="auto"/>
        <w:ind w:leftChars="50" w:left="105" w:rightChars="50" w:right="105" w:firstLineChars="200" w:firstLine="480"/>
        <w:jc w:val="left"/>
        <w:rPr>
          <w:rFonts w:ascii="宋体" w:hAnsi="宋体"/>
          <w:color w:val="000000" w:themeColor="text1"/>
          <w:sz w:val="24"/>
        </w:rPr>
      </w:pPr>
      <w:r>
        <w:rPr>
          <w:rFonts w:ascii="宋体" w:hAnsi="宋体" w:hint="eastAsia"/>
          <w:color w:val="000000" w:themeColor="text1"/>
          <w:sz w:val="24"/>
        </w:rPr>
        <w:lastRenderedPageBreak/>
        <w:t>民俗文化具有雅俗共赏、寓教于乐的特点，易于被人们接受。它包含着人们日常生活和交流中最基本的因素，主要体现在一个人的</w:t>
      </w:r>
      <w:r>
        <w:rPr>
          <w:rFonts w:ascii="宋体" w:hAnsi="宋体" w:hint="eastAsia"/>
          <w:color w:val="000000" w:themeColor="text1"/>
          <w:sz w:val="24"/>
        </w:rPr>
        <w:t>价值观、言语和行为上。合理运用民间教育理念辅助学校教育，不仅可以将传统文化的“表象体验”转化为个体的“主观体验”，还可以使抽象的文化内涵演变为具有人文气息的活生生的个体实践行为，可以促进学校教育，培养懂得欣赏和深刻理解民间文化的接班人，提供教育实践的经验和反思，从而有助于更好地在实践领域开展民间文化教育。因此，对民间文化教育价值的分析，有助于弥补在国家层面过于注重宏观文化导向的弊端。在各学科课程中加入合适的地方民俗文化作为课程内容的蓝图，或利用传统民俗文化资源开发新课程，可以使学校课程内容更加丰富多样，增强</w:t>
      </w:r>
      <w:r>
        <w:rPr>
          <w:rFonts w:ascii="宋体" w:hAnsi="宋体" w:hint="eastAsia"/>
          <w:color w:val="000000" w:themeColor="text1"/>
          <w:sz w:val="24"/>
        </w:rPr>
        <w:t>课程结构的灵活性，为当前学校教育注入新的活力。</w:t>
      </w:r>
    </w:p>
    <w:p w:rsidR="009F61DD" w:rsidRDefault="00CC220C">
      <w:pPr>
        <w:spacing w:line="360" w:lineRule="auto"/>
        <w:ind w:rightChars="50" w:right="105" w:firstLineChars="50" w:firstLine="141"/>
        <w:jc w:val="left"/>
        <w:rPr>
          <w:rFonts w:ascii="宋体" w:hAnsi="宋体"/>
          <w:b/>
          <w:bCs/>
          <w:color w:val="000000" w:themeColor="text1"/>
          <w:w w:val="90"/>
          <w:sz w:val="24"/>
        </w:rPr>
      </w:pPr>
      <w:r>
        <w:rPr>
          <w:rFonts w:ascii="宋体" w:hAnsi="宋体" w:hint="eastAsia"/>
          <w:b/>
          <w:color w:val="000000" w:themeColor="text1"/>
          <w:sz w:val="28"/>
          <w:szCs w:val="28"/>
        </w:rPr>
        <w:t xml:space="preserve">   </w:t>
      </w:r>
      <w:r>
        <w:rPr>
          <w:rFonts w:ascii="宋体" w:hAnsi="宋体" w:hint="eastAsia"/>
          <w:b/>
          <w:color w:val="000000" w:themeColor="text1"/>
          <w:sz w:val="24"/>
        </w:rPr>
        <w:t xml:space="preserve"> </w:t>
      </w:r>
      <w:r>
        <w:rPr>
          <w:rFonts w:ascii="宋体" w:hAnsi="宋体" w:hint="eastAsia"/>
          <w:b/>
          <w:color w:val="000000" w:themeColor="text1"/>
          <w:sz w:val="24"/>
        </w:rPr>
        <w:t>三、</w:t>
      </w:r>
      <w:r>
        <w:rPr>
          <w:rFonts w:ascii="宋体" w:hAnsi="宋体" w:hint="eastAsia"/>
          <w:b/>
          <w:bCs/>
          <w:color w:val="000000" w:themeColor="text1"/>
          <w:w w:val="90"/>
          <w:sz w:val="24"/>
        </w:rPr>
        <w:t>基于民族共同体意识下挖掘民俗文化的研究</w:t>
      </w:r>
    </w:p>
    <w:p w:rsidR="009F61DD" w:rsidRDefault="00CC220C">
      <w:pPr>
        <w:autoSpaceDE w:val="0"/>
        <w:autoSpaceDN w:val="0"/>
        <w:adjustRightInd w:val="0"/>
        <w:spacing w:line="360" w:lineRule="auto"/>
        <w:ind w:leftChars="50" w:left="105" w:rightChars="50" w:right="105" w:firstLineChars="200" w:firstLine="480"/>
        <w:jc w:val="left"/>
        <w:rPr>
          <w:rFonts w:ascii="宋体" w:hAnsi="宋体"/>
          <w:color w:val="000000" w:themeColor="text1"/>
          <w:kern w:val="0"/>
          <w:sz w:val="24"/>
        </w:rPr>
      </w:pPr>
      <w:r>
        <w:rPr>
          <w:rFonts w:ascii="宋体" w:hAnsi="宋体" w:cs="宋体" w:hint="eastAsia"/>
          <w:color w:val="000000" w:themeColor="text1"/>
          <w:kern w:val="0"/>
          <w:sz w:val="24"/>
        </w:rPr>
        <w:t>（一）中国民族共同体的理论和实践基础及其在民间文化中的具体表现。本文从中华民族共同体的词源构成入手，着重探讨了中华民族理论与实践的演变以及共同体思想的溯源与借鉴。从中华民族的角度来看，这是一个源自传统、在现代和当代中国形成的概念。它经历了传统的世界观、现代民族主义的冲击和影响，进而形成了中华民族多元融合的基本格局。从社区思想的角度来看，在西方社会语境中，社区是与个体相对应的、本体论意义上的一个重要概念。在马克思主义语境下，马克思描述了社区演化的三个阶段，从自然形成的社区到虚假抽象的社区，再到真实的社区。当代</w:t>
      </w:r>
      <w:r>
        <w:rPr>
          <w:rFonts w:ascii="宋体" w:hAnsi="宋体" w:cs="宋体" w:hint="eastAsia"/>
          <w:color w:val="000000" w:themeColor="text1"/>
          <w:kern w:val="0"/>
          <w:sz w:val="24"/>
        </w:rPr>
        <w:t>人类命运共同体、中华民族共同体是在批判吸收西方共同体思想、继承和发展马克思主义共同体思想基础上的中国实践。</w:t>
      </w:r>
      <w:r>
        <w:rPr>
          <w:rFonts w:ascii="宋体" w:hAnsi="宋体" w:cs="宋体"/>
          <w:color w:val="000000" w:themeColor="text1"/>
          <w:kern w:val="0"/>
          <w:sz w:val="24"/>
        </w:rPr>
        <w:t xml:space="preserve"> </w:t>
      </w:r>
    </w:p>
    <w:p w:rsidR="009F61DD" w:rsidRDefault="00CC220C">
      <w:pPr>
        <w:autoSpaceDE w:val="0"/>
        <w:autoSpaceDN w:val="0"/>
        <w:adjustRightInd w:val="0"/>
        <w:spacing w:line="360" w:lineRule="auto"/>
        <w:ind w:leftChars="50" w:left="105" w:rightChars="50" w:right="105" w:firstLine="482"/>
        <w:jc w:val="left"/>
        <w:rPr>
          <w:rFonts w:ascii="宋体" w:hAnsi="宋体"/>
          <w:color w:val="000000" w:themeColor="text1"/>
          <w:kern w:val="0"/>
          <w:sz w:val="24"/>
        </w:rPr>
      </w:pPr>
      <w:r>
        <w:rPr>
          <w:rFonts w:ascii="宋体" w:hAnsi="宋体" w:cs="宋体" w:hint="eastAsia"/>
          <w:color w:val="000000" w:themeColor="text1"/>
          <w:kern w:val="0"/>
          <w:sz w:val="24"/>
        </w:rPr>
        <w:t>（二）中国民族共同体的基本概念及其意识和民俗文化。就共同体的一般形成和演化而言，人类从孤立、分散的个体走向共同体是一个历史的、必然的过程。在这一时期，形成了各种各样的社区类型，国家是更稳定、更持久的人类社区的基本形式。这种稳定性和持久性在于民族社区的人们经历了政治、经济、文化和社会生活的各个方面。因此，不能从单一的共同体维度来理解中华民族，建议从政治国家共同体、历史文化共同体、社会生活共同体和精神命</w:t>
      </w:r>
      <w:r>
        <w:rPr>
          <w:rFonts w:ascii="宋体" w:hAnsi="宋体" w:cs="宋体" w:hint="eastAsia"/>
          <w:color w:val="000000" w:themeColor="text1"/>
          <w:kern w:val="0"/>
          <w:sz w:val="24"/>
        </w:rPr>
        <w:t>运共同体四个维度来系统地把握中华民族。</w:t>
      </w:r>
      <w:r>
        <w:rPr>
          <w:rFonts w:ascii="宋体" w:hAnsi="宋体" w:cs="宋体"/>
          <w:color w:val="000000" w:themeColor="text1"/>
          <w:kern w:val="0"/>
          <w:sz w:val="24"/>
        </w:rPr>
        <w:t xml:space="preserve"> </w:t>
      </w:r>
    </w:p>
    <w:p w:rsidR="009F61DD" w:rsidRDefault="00CC220C">
      <w:pPr>
        <w:autoSpaceDE w:val="0"/>
        <w:autoSpaceDN w:val="0"/>
        <w:adjustRightInd w:val="0"/>
        <w:spacing w:line="360" w:lineRule="auto"/>
        <w:ind w:leftChars="50" w:left="105" w:rightChars="50" w:right="105" w:firstLineChars="200" w:firstLine="480"/>
        <w:jc w:val="left"/>
        <w:rPr>
          <w:rFonts w:ascii="宋体" w:hAnsi="宋体" w:cs="宋体"/>
          <w:color w:val="000000" w:themeColor="text1"/>
          <w:kern w:val="0"/>
          <w:sz w:val="24"/>
        </w:rPr>
      </w:pPr>
      <w:r>
        <w:rPr>
          <w:rFonts w:ascii="宋体" w:hAnsi="宋体" w:cs="宋体" w:hint="eastAsia"/>
          <w:color w:val="000000" w:themeColor="text1"/>
          <w:kern w:val="0"/>
          <w:sz w:val="24"/>
        </w:rPr>
        <w:t>（三）中国民族共同体意识的优势和机遇。优势分析是基于历史、传统和</w:t>
      </w:r>
      <w:r>
        <w:rPr>
          <w:rFonts w:ascii="宋体" w:hAnsi="宋体" w:cs="宋体" w:hint="eastAsia"/>
          <w:color w:val="000000" w:themeColor="text1"/>
          <w:kern w:val="0"/>
          <w:sz w:val="24"/>
        </w:rPr>
        <w:lastRenderedPageBreak/>
        <w:t>文化的分析维度。从历史传统的角度看，近代以来，中国共产党在民族救亡斗争和团结统一的伟大斗争中，为民族地区的治理奠定了政策基础。另一方面，它塑造和培育了丰富的爱国主义和红色文化基因，这是培育中华民族共同体意识的独特优势。机会分析更多地基于外部和现实分析维度。它以全面建设小康社会、实现中华民族伟大复兴的中国梦为契机，塑造和奠定了中华民族的信心，凝聚了最大的精神力量，实施了惠及全国各族人民的现实战略，促进了稳</w:t>
      </w:r>
      <w:r>
        <w:rPr>
          <w:rFonts w:ascii="宋体" w:hAnsi="宋体" w:cs="宋体" w:hint="eastAsia"/>
          <w:color w:val="000000" w:themeColor="text1"/>
          <w:kern w:val="0"/>
          <w:sz w:val="24"/>
        </w:rPr>
        <w:t>定和平的外部环境。</w:t>
      </w:r>
    </w:p>
    <w:p w:rsidR="009F61DD" w:rsidRDefault="00CC220C">
      <w:pPr>
        <w:autoSpaceDE w:val="0"/>
        <w:autoSpaceDN w:val="0"/>
        <w:adjustRightInd w:val="0"/>
        <w:spacing w:line="360" w:lineRule="auto"/>
        <w:ind w:leftChars="50" w:left="105" w:rightChars="50" w:right="105" w:firstLine="482"/>
        <w:jc w:val="left"/>
        <w:rPr>
          <w:rFonts w:ascii="宋体" w:hAnsi="宋体"/>
          <w:color w:val="000000" w:themeColor="text1"/>
          <w:kern w:val="0"/>
          <w:sz w:val="24"/>
        </w:rPr>
      </w:pPr>
      <w:r>
        <w:rPr>
          <w:rFonts w:ascii="宋体" w:hAnsi="宋体" w:cs="宋体" w:hint="eastAsia"/>
          <w:color w:val="000000" w:themeColor="text1"/>
          <w:kern w:val="0"/>
          <w:sz w:val="24"/>
        </w:rPr>
        <w:t>（四）民间文化培育中国民族共同体意识的可行路径。理论研究最终应该为实践服务。在实践过程中，我们总是需要遵循一定的轨道和原则，防止走弯路和犯错误。培育中华民族共同体意识，要立足于建设有中国特色社会主义，继承和发扬中华民族传统文化和民间活动，坚持马克思主义在意识形态领域的主导地位，坚持中国共产党对国家工作的领导，妥善解决宗教因素，引导宗教与社会主义相适应。就宏观战略建设而言，中华民族的共同体建设及其意识培养也是一项复杂的系统工程，涉及社会生活的方方面面。我们需要从政治、经济、文化、社会、生态</w:t>
      </w:r>
      <w:r>
        <w:rPr>
          <w:rFonts w:ascii="宋体" w:hAnsi="宋体" w:cs="宋体" w:hint="eastAsia"/>
          <w:color w:val="000000" w:themeColor="text1"/>
          <w:kern w:val="0"/>
          <w:sz w:val="24"/>
        </w:rPr>
        <w:t>和法治六个方面进行系统规划和宏观安排。最后，实践的生命力和效度体现在落小、落细之上，作为教育活</w:t>
      </w:r>
      <w:r>
        <w:rPr>
          <w:rFonts w:ascii="宋体" w:hAnsi="宋体" w:cs="宋体"/>
          <w:color w:val="000000" w:themeColor="text1"/>
          <w:kern w:val="0"/>
          <w:sz w:val="24"/>
        </w:rPr>
        <w:t xml:space="preserve"> </w:t>
      </w:r>
      <w:r>
        <w:rPr>
          <w:rFonts w:ascii="宋体" w:hAnsi="宋体" w:cs="宋体" w:hint="eastAsia"/>
          <w:color w:val="000000" w:themeColor="text1"/>
          <w:kern w:val="0"/>
          <w:sz w:val="24"/>
        </w:rPr>
        <w:t>动的中华民族共同体意识的培育，最终要从教育的主体内容、关键环节、心理引</w:t>
      </w:r>
      <w:r>
        <w:rPr>
          <w:rFonts w:ascii="宋体" w:hAnsi="宋体" w:cs="宋体"/>
          <w:color w:val="000000" w:themeColor="text1"/>
          <w:kern w:val="0"/>
          <w:sz w:val="24"/>
        </w:rPr>
        <w:t xml:space="preserve"> </w:t>
      </w:r>
      <w:r>
        <w:rPr>
          <w:rFonts w:ascii="宋体" w:hAnsi="宋体" w:cs="宋体" w:hint="eastAsia"/>
          <w:color w:val="000000" w:themeColor="text1"/>
          <w:kern w:val="0"/>
          <w:sz w:val="24"/>
        </w:rPr>
        <w:t>导、语言桥梁、现实载体、实际效果和人才队伍等方面具体下功夫。</w:t>
      </w:r>
      <w:r>
        <w:rPr>
          <w:rFonts w:ascii="宋体" w:hAnsi="宋体" w:cs="宋体"/>
          <w:color w:val="000000" w:themeColor="text1"/>
          <w:kern w:val="0"/>
          <w:sz w:val="24"/>
        </w:rPr>
        <w:t xml:space="preserve"> </w:t>
      </w:r>
    </w:p>
    <w:p w:rsidR="009F61DD" w:rsidRDefault="00CC220C">
      <w:pPr>
        <w:spacing w:line="360" w:lineRule="auto"/>
        <w:ind w:rightChars="50" w:right="105" w:firstLineChars="50" w:firstLine="141"/>
        <w:jc w:val="left"/>
        <w:rPr>
          <w:rFonts w:ascii="宋体" w:hAnsi="宋体"/>
          <w:color w:val="000000" w:themeColor="text1"/>
          <w:sz w:val="24"/>
        </w:rPr>
      </w:pPr>
      <w:r>
        <w:rPr>
          <w:rFonts w:ascii="宋体" w:hAnsi="宋体" w:hint="eastAsia"/>
          <w:b/>
          <w:color w:val="000000" w:themeColor="text1"/>
          <w:sz w:val="28"/>
          <w:szCs w:val="28"/>
        </w:rPr>
        <w:t xml:space="preserve">   </w:t>
      </w:r>
      <w:r>
        <w:rPr>
          <w:rFonts w:ascii="宋体" w:hAnsi="宋体" w:hint="eastAsia"/>
          <w:b/>
          <w:color w:val="000000" w:themeColor="text1"/>
          <w:sz w:val="24"/>
        </w:rPr>
        <w:t xml:space="preserve"> </w:t>
      </w:r>
      <w:r>
        <w:rPr>
          <w:rFonts w:ascii="宋体" w:hAnsi="宋体" w:hint="eastAsia"/>
          <w:b/>
          <w:color w:val="000000" w:themeColor="text1"/>
          <w:sz w:val="24"/>
        </w:rPr>
        <w:t>（五）</w:t>
      </w:r>
      <w:r>
        <w:rPr>
          <w:rFonts w:ascii="宋体" w:hAnsi="宋体" w:hint="eastAsia"/>
          <w:color w:val="000000" w:themeColor="text1"/>
          <w:sz w:val="24"/>
        </w:rPr>
        <w:t>基于历史和现实的辩证统一中把握中华民族共同体及其意识。</w:t>
      </w:r>
    </w:p>
    <w:p w:rsidR="009F61DD" w:rsidRDefault="00CC220C" w:rsidP="009F61DD">
      <w:pPr>
        <w:spacing w:line="360" w:lineRule="auto"/>
        <w:ind w:leftChars="50" w:left="105" w:rightChars="50" w:right="105" w:firstLineChars="159" w:firstLine="382"/>
        <w:jc w:val="left"/>
        <w:rPr>
          <w:rFonts w:ascii="宋体" w:hAnsi="宋体"/>
          <w:color w:val="000000" w:themeColor="text1"/>
          <w:sz w:val="24"/>
        </w:rPr>
      </w:pPr>
      <w:r>
        <w:rPr>
          <w:rFonts w:ascii="宋体" w:hAnsi="宋体" w:hint="eastAsia"/>
          <w:color w:val="000000" w:themeColor="text1"/>
          <w:sz w:val="24"/>
        </w:rPr>
        <w:t xml:space="preserve"> </w:t>
      </w:r>
      <w:r>
        <w:rPr>
          <w:rFonts w:ascii="宋体" w:hAnsi="宋体" w:hint="eastAsia"/>
          <w:color w:val="000000" w:themeColor="text1"/>
          <w:sz w:val="24"/>
        </w:rPr>
        <w:t>从几千年历史中走向来的中华民族，即便放置于共同体的理论视域中把握，也不是单一</w:t>
      </w:r>
      <w:r>
        <w:rPr>
          <w:rFonts w:ascii="宋体" w:hAnsi="宋体" w:hint="eastAsia"/>
          <w:color w:val="000000" w:themeColor="text1"/>
          <w:sz w:val="24"/>
        </w:rPr>
        <w:t xml:space="preserve"> </w:t>
      </w:r>
      <w:r>
        <w:rPr>
          <w:rFonts w:ascii="宋体" w:hAnsi="宋体" w:hint="eastAsia"/>
          <w:color w:val="000000" w:themeColor="text1"/>
          <w:sz w:val="24"/>
        </w:rPr>
        <w:t>的、固定的内涵，还是一个多维的、不断生成的概念。笔者在本研究中提出了要了解中华民族共同体的四个方面的意蕴，即作为政治国家共同体、历史文化共同体、社会生活共同体和精神命运共同体。同时，在中华民族共同体意识的把握上，</w:t>
      </w:r>
      <w:r>
        <w:rPr>
          <w:rFonts w:ascii="宋体" w:hAnsi="宋体" w:hint="eastAsia"/>
          <w:color w:val="000000" w:themeColor="text1"/>
          <w:sz w:val="24"/>
        </w:rPr>
        <w:t xml:space="preserve"> </w:t>
      </w:r>
      <w:r>
        <w:rPr>
          <w:rFonts w:ascii="宋体" w:hAnsi="宋体" w:hint="eastAsia"/>
          <w:color w:val="000000" w:themeColor="text1"/>
          <w:sz w:val="24"/>
        </w:rPr>
        <w:t>除了存在与意识的一般性关系上，笔者认为从近代中国、当代中国的发展的现实</w:t>
      </w:r>
      <w:r>
        <w:rPr>
          <w:rFonts w:ascii="宋体" w:hAnsi="宋体" w:hint="eastAsia"/>
          <w:color w:val="000000" w:themeColor="text1"/>
          <w:sz w:val="24"/>
        </w:rPr>
        <w:t xml:space="preserve"> </w:t>
      </w:r>
      <w:r>
        <w:rPr>
          <w:rFonts w:ascii="宋体" w:hAnsi="宋体" w:hint="eastAsia"/>
          <w:color w:val="000000" w:themeColor="text1"/>
          <w:sz w:val="24"/>
        </w:rPr>
        <w:t>性上，中华民族共同体意识集中表现在“五个认同”之上，并且基于“五个认</w:t>
      </w:r>
      <w:r>
        <w:rPr>
          <w:rFonts w:ascii="宋体" w:hAnsi="宋体" w:hint="eastAsia"/>
          <w:color w:val="000000" w:themeColor="text1"/>
          <w:sz w:val="24"/>
        </w:rPr>
        <w:t xml:space="preserve"> </w:t>
      </w:r>
      <w:r>
        <w:rPr>
          <w:rFonts w:ascii="宋体" w:hAnsi="宋体" w:hint="eastAsia"/>
          <w:color w:val="000000" w:themeColor="text1"/>
          <w:sz w:val="24"/>
        </w:rPr>
        <w:t>同”，提出了认同视角下中华民族共同体意识的内容谱系。</w:t>
      </w:r>
      <w:r>
        <w:rPr>
          <w:rFonts w:ascii="宋体" w:hAnsi="宋体" w:hint="eastAsia"/>
          <w:color w:val="000000" w:themeColor="text1"/>
          <w:sz w:val="24"/>
        </w:rPr>
        <w:t xml:space="preserve"> </w:t>
      </w:r>
    </w:p>
    <w:p w:rsidR="009F61DD" w:rsidRDefault="00CC220C">
      <w:pPr>
        <w:autoSpaceDE w:val="0"/>
        <w:autoSpaceDN w:val="0"/>
        <w:adjustRightInd w:val="0"/>
        <w:spacing w:line="360" w:lineRule="auto"/>
        <w:ind w:leftChars="50" w:left="105" w:rightChars="50" w:right="105" w:firstLineChars="200" w:firstLine="480"/>
        <w:jc w:val="left"/>
        <w:rPr>
          <w:rFonts w:ascii="宋体" w:hAnsi="宋体"/>
          <w:color w:val="000000" w:themeColor="text1"/>
          <w:sz w:val="24"/>
        </w:rPr>
      </w:pPr>
      <w:r>
        <w:rPr>
          <w:rFonts w:ascii="宋体" w:hAnsi="宋体" w:hint="eastAsia"/>
          <w:color w:val="000000" w:themeColor="text1"/>
          <w:sz w:val="24"/>
        </w:rPr>
        <w:t>（六）</w:t>
      </w:r>
      <w:r>
        <w:rPr>
          <w:rFonts w:ascii="宋体" w:hAnsi="宋体"/>
          <w:color w:val="000000" w:themeColor="text1"/>
          <w:sz w:val="24"/>
        </w:rPr>
        <w:t>增强中华文化认</w:t>
      </w:r>
      <w:r>
        <w:rPr>
          <w:rFonts w:ascii="宋体" w:hAnsi="宋体"/>
          <w:color w:val="000000" w:themeColor="text1"/>
          <w:sz w:val="24"/>
        </w:rPr>
        <w:t>同</w:t>
      </w:r>
      <w:r>
        <w:rPr>
          <w:rFonts w:ascii="宋体" w:hAnsi="宋体"/>
          <w:color w:val="000000" w:themeColor="text1"/>
          <w:sz w:val="24"/>
        </w:rPr>
        <w:t xml:space="preserve"> </w:t>
      </w:r>
    </w:p>
    <w:p w:rsidR="009F61DD" w:rsidRDefault="00CC220C" w:rsidP="009F61DD">
      <w:pPr>
        <w:spacing w:line="360" w:lineRule="auto"/>
        <w:ind w:leftChars="50" w:left="105" w:rightChars="50" w:right="105" w:firstLineChars="209" w:firstLine="502"/>
        <w:jc w:val="left"/>
        <w:rPr>
          <w:rFonts w:ascii="宋体" w:hAnsi="宋体"/>
          <w:color w:val="000000" w:themeColor="text1"/>
          <w:sz w:val="24"/>
        </w:rPr>
      </w:pPr>
      <w:r>
        <w:rPr>
          <w:rFonts w:ascii="宋体" w:hAnsi="宋体"/>
          <w:color w:val="000000" w:themeColor="text1"/>
          <w:sz w:val="24"/>
        </w:rPr>
        <w:t>习近平总书记多次指出</w:t>
      </w:r>
      <w:r>
        <w:rPr>
          <w:rFonts w:ascii="宋体" w:hAnsi="宋体"/>
          <w:color w:val="000000" w:themeColor="text1"/>
          <w:sz w:val="24"/>
        </w:rPr>
        <w:t>: “</w:t>
      </w:r>
      <w:r>
        <w:rPr>
          <w:rFonts w:ascii="宋体" w:hAnsi="宋体"/>
          <w:color w:val="000000" w:themeColor="text1"/>
          <w:sz w:val="24"/>
        </w:rPr>
        <w:t>文化认同是最深层次的认同，是民族团结之根</w:t>
      </w:r>
      <w:r>
        <w:rPr>
          <w:rFonts w:ascii="宋体" w:hAnsi="宋体" w:hint="eastAsia"/>
          <w:color w:val="000000" w:themeColor="text1"/>
          <w:sz w:val="24"/>
        </w:rPr>
        <w:t>、</w:t>
      </w:r>
      <w:r>
        <w:rPr>
          <w:rFonts w:ascii="宋体" w:hAnsi="宋体"/>
          <w:color w:val="000000" w:themeColor="text1"/>
          <w:sz w:val="24"/>
        </w:rPr>
        <w:lastRenderedPageBreak/>
        <w:t>民族和睦之魂。</w:t>
      </w:r>
      <w:r>
        <w:rPr>
          <w:rFonts w:ascii="宋体" w:hAnsi="宋体"/>
          <w:color w:val="000000" w:themeColor="text1"/>
          <w:sz w:val="24"/>
        </w:rPr>
        <w:t>”</w:t>
      </w:r>
      <w:r>
        <w:rPr>
          <w:rFonts w:ascii="宋体" w:hAnsi="宋体" w:hint="eastAsia"/>
          <w:color w:val="000000" w:themeColor="text1"/>
          <w:sz w:val="24"/>
        </w:rPr>
        <w:t>中华民族传统文化不仅是中华民族精神的源泉，也是建设各民族共同精神家园的文化基础。因此，各民族成员对中华民族优秀传统文化的认同是中华民族共同体意识的重要组成部分。因此，加强对中华文化的认同，不仅是铸造中华民族共同体意识的重要内容，也是重要策略之一。这两者是相互依存、相辅相成的。其他研究人员则认为，建立强烈的中华民族共同体意识的关键是弘扬中华民族的传统文化。弘扬传统文化的目的是增强各民族的中华文化认同感，实现各民族文化与中</w:t>
      </w:r>
      <w:r>
        <w:rPr>
          <w:rFonts w:ascii="宋体" w:hAnsi="宋体" w:hint="eastAsia"/>
          <w:color w:val="000000" w:themeColor="text1"/>
          <w:sz w:val="24"/>
        </w:rPr>
        <w:t>国特色社会主义文化发展方向的契合。范军从文化层面指出，中华民族共同体意识实质上是一种中国传统文化，是中国传统文化的重要组成部分。二者之间的关系是共同性、共生性和共同意义。弘扬中华优秀传统文化是铸造中华民族主体意识的价值传承、基本原则和文化策略。以南宁民歌节为例，田民提出，合理开发和利用民族文化的关键符号，有助于形成中华民族共同体的意识。对本研究具有重要的启示意义。</w:t>
      </w:r>
    </w:p>
    <w:p w:rsidR="009F61DD" w:rsidRDefault="00CC220C">
      <w:pPr>
        <w:spacing w:line="360" w:lineRule="auto"/>
        <w:ind w:rightChars="50" w:right="105" w:firstLineChars="50" w:firstLine="141"/>
        <w:jc w:val="left"/>
        <w:rPr>
          <w:rFonts w:ascii="宋体" w:hAnsi="宋体"/>
          <w:color w:val="000000" w:themeColor="text1"/>
          <w:sz w:val="24"/>
        </w:rPr>
      </w:pPr>
      <w:r>
        <w:rPr>
          <w:rFonts w:ascii="宋体" w:hAnsi="宋体" w:hint="eastAsia"/>
          <w:b/>
          <w:color w:val="000000" w:themeColor="text1"/>
          <w:sz w:val="28"/>
          <w:szCs w:val="28"/>
        </w:rPr>
        <w:t xml:space="preserve">  </w:t>
      </w:r>
    </w:p>
    <w:p w:rsidR="009F61DD" w:rsidRDefault="00CC220C">
      <w:pPr>
        <w:spacing w:line="360" w:lineRule="auto"/>
        <w:ind w:rightChars="50" w:right="105" w:firstLineChars="50" w:firstLine="141"/>
        <w:jc w:val="left"/>
        <w:rPr>
          <w:rFonts w:ascii="宋体" w:hAnsi="宋体"/>
          <w:b/>
          <w:color w:val="000000" w:themeColor="text1"/>
          <w:sz w:val="28"/>
          <w:szCs w:val="28"/>
        </w:rPr>
      </w:pPr>
      <w:r>
        <w:rPr>
          <w:rFonts w:ascii="宋体" w:hAnsi="宋体" w:hint="eastAsia"/>
          <w:b/>
          <w:color w:val="000000" w:themeColor="text1"/>
          <w:sz w:val="28"/>
          <w:szCs w:val="28"/>
        </w:rPr>
        <w:t xml:space="preserve">   </w:t>
      </w:r>
      <w:r>
        <w:rPr>
          <w:rFonts w:ascii="宋体" w:hAnsi="宋体" w:hint="eastAsia"/>
          <w:b/>
          <w:color w:val="000000" w:themeColor="text1"/>
          <w:sz w:val="28"/>
          <w:szCs w:val="28"/>
        </w:rPr>
        <w:t>注释</w:t>
      </w:r>
    </w:p>
    <w:p w:rsidR="009F61DD" w:rsidRDefault="00CC220C">
      <w:pPr>
        <w:spacing w:line="360" w:lineRule="auto"/>
        <w:ind w:rightChars="50" w:right="105" w:firstLineChars="200" w:firstLine="480"/>
        <w:jc w:val="left"/>
        <w:rPr>
          <w:rFonts w:ascii="宋体" w:hAnsi="宋体"/>
          <w:color w:val="000000" w:themeColor="text1"/>
          <w:sz w:val="24"/>
        </w:rPr>
      </w:pPr>
      <w:r>
        <w:rPr>
          <w:rFonts w:ascii="宋体" w:hAnsi="宋体" w:hint="eastAsia"/>
          <w:color w:val="000000" w:themeColor="text1"/>
          <w:sz w:val="24"/>
        </w:rPr>
        <w:t>①中共中央办公厅、国务院办公厅印发《关于全面深入持久开展民族团结进步创建工作铸牢中华民族共同体意识的意见》</w:t>
      </w:r>
      <w:r>
        <w:rPr>
          <w:rFonts w:ascii="宋体" w:hAnsi="宋体"/>
          <w:color w:val="000000" w:themeColor="text1"/>
          <w:sz w:val="24"/>
        </w:rPr>
        <w:t>[J].</w:t>
      </w:r>
      <w:r>
        <w:rPr>
          <w:rFonts w:ascii="宋体" w:hAnsi="宋体" w:hint="eastAsia"/>
          <w:color w:val="000000" w:themeColor="text1"/>
          <w:sz w:val="24"/>
        </w:rPr>
        <w:t>今日民族，</w:t>
      </w:r>
      <w:r>
        <w:rPr>
          <w:rFonts w:ascii="宋体" w:hAnsi="宋体" w:hint="eastAsia"/>
          <w:color w:val="000000" w:themeColor="text1"/>
          <w:sz w:val="24"/>
        </w:rPr>
        <w:t>2</w:t>
      </w:r>
      <w:r>
        <w:rPr>
          <w:rFonts w:ascii="宋体" w:hAnsi="宋体" w:hint="eastAsia"/>
          <w:color w:val="000000" w:themeColor="text1"/>
          <w:sz w:val="24"/>
        </w:rPr>
        <w:t>019</w:t>
      </w:r>
      <w:r>
        <w:rPr>
          <w:rFonts w:ascii="宋体" w:hAnsi="宋体" w:hint="eastAsia"/>
          <w:color w:val="000000" w:themeColor="text1"/>
          <w:sz w:val="24"/>
        </w:rPr>
        <w:t>（</w:t>
      </w:r>
      <w:r>
        <w:rPr>
          <w:rFonts w:ascii="宋体" w:hAnsi="宋体" w:hint="eastAsia"/>
          <w:color w:val="000000" w:themeColor="text1"/>
          <w:sz w:val="24"/>
        </w:rPr>
        <w:t>Z</w:t>
      </w:r>
      <w:r>
        <w:rPr>
          <w:rFonts w:ascii="宋体" w:hAnsi="宋体"/>
          <w:color w:val="000000" w:themeColor="text1"/>
          <w:sz w:val="24"/>
        </w:rPr>
        <w:t>1</w:t>
      </w:r>
      <w:r>
        <w:rPr>
          <w:rFonts w:ascii="宋体" w:hAnsi="宋体" w:hint="eastAsia"/>
          <w:color w:val="000000" w:themeColor="text1"/>
          <w:sz w:val="24"/>
        </w:rPr>
        <w:t>）：</w:t>
      </w:r>
      <w:r>
        <w:rPr>
          <w:rFonts w:ascii="宋体" w:hAnsi="宋体" w:hint="eastAsia"/>
          <w:color w:val="000000" w:themeColor="text1"/>
          <w:sz w:val="24"/>
        </w:rPr>
        <w:t>0</w:t>
      </w:r>
      <w:r>
        <w:rPr>
          <w:rFonts w:ascii="宋体" w:hAnsi="宋体"/>
          <w:color w:val="000000" w:themeColor="text1"/>
          <w:sz w:val="24"/>
        </w:rPr>
        <w:t>1-02</w:t>
      </w:r>
    </w:p>
    <w:p w:rsidR="009F61DD" w:rsidRDefault="00CC220C">
      <w:pPr>
        <w:spacing w:line="360" w:lineRule="auto"/>
        <w:ind w:rightChars="50" w:right="105" w:firstLineChars="200" w:firstLine="480"/>
        <w:jc w:val="left"/>
        <w:rPr>
          <w:rFonts w:ascii="宋体" w:hAnsi="宋体"/>
          <w:b/>
          <w:color w:val="000000" w:themeColor="text1"/>
          <w:sz w:val="28"/>
          <w:szCs w:val="28"/>
        </w:rPr>
      </w:pPr>
      <w:r>
        <w:rPr>
          <w:rFonts w:ascii="宋体" w:hAnsi="宋体" w:hint="eastAsia"/>
          <w:color w:val="000000" w:themeColor="text1"/>
          <w:sz w:val="24"/>
        </w:rPr>
        <w:t>②</w:t>
      </w:r>
      <w:r>
        <w:rPr>
          <w:rFonts w:ascii="宋体" w:hAnsi="宋体"/>
          <w:color w:val="000000" w:themeColor="text1"/>
          <w:sz w:val="24"/>
        </w:rPr>
        <w:t>徐杰舜</w:t>
      </w:r>
      <w:r>
        <w:rPr>
          <w:rFonts w:ascii="宋体" w:hAnsi="宋体"/>
          <w:color w:val="000000" w:themeColor="text1"/>
          <w:sz w:val="24"/>
        </w:rPr>
        <w:t>.</w:t>
      </w:r>
      <w:r>
        <w:rPr>
          <w:rStyle w:val="a6"/>
          <w:rFonts w:ascii="宋体" w:hAnsi="宋体"/>
          <w:i w:val="0"/>
          <w:iCs w:val="0"/>
          <w:color w:val="000000" w:themeColor="text1"/>
          <w:sz w:val="24"/>
        </w:rPr>
        <w:t>铸牢中华民族共同体意识</w:t>
      </w:r>
      <w:r>
        <w:rPr>
          <w:rStyle w:val="a6"/>
          <w:rFonts w:ascii="宋体" w:hAnsi="宋体"/>
          <w:i w:val="0"/>
          <w:iCs w:val="0"/>
          <w:color w:val="000000" w:themeColor="text1"/>
          <w:sz w:val="24"/>
        </w:rPr>
        <w:t>:</w:t>
      </w:r>
      <w:r>
        <w:rPr>
          <w:rStyle w:val="a6"/>
          <w:rFonts w:ascii="宋体" w:hAnsi="宋体"/>
          <w:i w:val="0"/>
          <w:iCs w:val="0"/>
          <w:color w:val="000000" w:themeColor="text1"/>
          <w:sz w:val="24"/>
        </w:rPr>
        <w:t>中国民族研究战略方向的反思</w:t>
      </w:r>
      <w:r>
        <w:rPr>
          <w:rFonts w:ascii="宋体" w:hAnsi="宋体"/>
          <w:color w:val="000000" w:themeColor="text1"/>
          <w:sz w:val="24"/>
        </w:rPr>
        <w:t>[J].</w:t>
      </w:r>
      <w:r>
        <w:rPr>
          <w:rFonts w:ascii="宋体" w:hAnsi="宋体"/>
          <w:color w:val="000000" w:themeColor="text1"/>
          <w:sz w:val="24"/>
        </w:rPr>
        <w:t>湖北民族学院学报</w:t>
      </w:r>
      <w:r>
        <w:rPr>
          <w:rFonts w:ascii="宋体" w:hAnsi="宋体"/>
          <w:color w:val="000000" w:themeColor="text1"/>
          <w:sz w:val="24"/>
        </w:rPr>
        <w:t>(</w:t>
      </w:r>
      <w:r>
        <w:rPr>
          <w:rFonts w:ascii="宋体" w:hAnsi="宋体"/>
          <w:color w:val="000000" w:themeColor="text1"/>
          <w:sz w:val="24"/>
        </w:rPr>
        <w:t>哲学社会科学版</w:t>
      </w:r>
      <w:r>
        <w:rPr>
          <w:rFonts w:ascii="宋体" w:hAnsi="宋体"/>
          <w:color w:val="000000" w:themeColor="text1"/>
          <w:sz w:val="24"/>
        </w:rPr>
        <w:t>),2018(3</w:t>
      </w:r>
      <w:r>
        <w:rPr>
          <w:rFonts w:ascii="宋体" w:hAnsi="宋体" w:cs="宋体" w:hint="eastAsia"/>
          <w:color w:val="000000" w:themeColor="text1"/>
          <w:kern w:val="0"/>
          <w:sz w:val="24"/>
        </w:rPr>
        <w:t>)</w:t>
      </w:r>
      <w:r>
        <w:rPr>
          <w:rFonts w:ascii="宋体" w:hAnsi="宋体" w:hint="eastAsia"/>
          <w:b/>
          <w:color w:val="000000" w:themeColor="text1"/>
          <w:sz w:val="28"/>
          <w:szCs w:val="28"/>
        </w:rPr>
        <w:t xml:space="preserve"> </w:t>
      </w:r>
    </w:p>
    <w:p w:rsidR="009F61DD" w:rsidRDefault="00CC220C">
      <w:pPr>
        <w:spacing w:line="360" w:lineRule="auto"/>
        <w:ind w:rightChars="50" w:right="105" w:firstLineChars="200" w:firstLine="562"/>
        <w:jc w:val="left"/>
        <w:rPr>
          <w:rFonts w:ascii="宋体" w:hAnsi="宋体" w:cs="宋体"/>
          <w:color w:val="000000" w:themeColor="text1"/>
          <w:kern w:val="0"/>
          <w:sz w:val="24"/>
        </w:rPr>
      </w:pPr>
      <w:r>
        <w:rPr>
          <w:rFonts w:ascii="宋体" w:hAnsi="宋体" w:hint="eastAsia"/>
          <w:b/>
          <w:color w:val="000000" w:themeColor="text1"/>
          <w:sz w:val="28"/>
          <w:szCs w:val="28"/>
        </w:rPr>
        <w:t>参考文献</w:t>
      </w:r>
    </w:p>
    <w:p w:rsidR="009F61DD" w:rsidRDefault="00CC220C">
      <w:pPr>
        <w:spacing w:line="360" w:lineRule="auto"/>
        <w:ind w:rightChars="50" w:right="105" w:firstLineChars="50" w:firstLine="90"/>
        <w:jc w:val="left"/>
        <w:rPr>
          <w:rFonts w:ascii="宋体" w:hAnsi="宋体"/>
          <w:color w:val="000000" w:themeColor="text1"/>
          <w:kern w:val="0"/>
          <w:sz w:val="18"/>
          <w:szCs w:val="18"/>
        </w:rPr>
      </w:pPr>
      <w:r>
        <w:rPr>
          <w:rFonts w:ascii="宋体" w:hAnsi="宋体" w:cs="宋体"/>
          <w:color w:val="000000" w:themeColor="text1"/>
          <w:kern w:val="0"/>
          <w:sz w:val="18"/>
          <w:szCs w:val="18"/>
        </w:rPr>
        <w:t>[</w:t>
      </w:r>
      <w:r>
        <w:rPr>
          <w:rFonts w:ascii="宋体" w:hAnsi="宋体" w:cs="宋体" w:hint="eastAsia"/>
          <w:color w:val="000000" w:themeColor="text1"/>
          <w:kern w:val="0"/>
          <w:sz w:val="18"/>
          <w:szCs w:val="18"/>
        </w:rPr>
        <w:t>1</w:t>
      </w:r>
      <w:r>
        <w:rPr>
          <w:rFonts w:ascii="宋体" w:hAnsi="宋体" w:cs="宋体"/>
          <w:color w:val="000000" w:themeColor="text1"/>
          <w:kern w:val="0"/>
          <w:sz w:val="18"/>
          <w:szCs w:val="18"/>
        </w:rPr>
        <w:t>]</w:t>
      </w:r>
      <w:r>
        <w:rPr>
          <w:rFonts w:ascii="宋体" w:hAnsi="宋体" w:cs="宋体" w:hint="eastAsia"/>
          <w:color w:val="000000" w:themeColor="text1"/>
          <w:kern w:val="0"/>
          <w:sz w:val="18"/>
          <w:szCs w:val="18"/>
        </w:rPr>
        <w:t>《习近平关于全面建成小康社会论述摘编》，中央文献出版社</w:t>
      </w:r>
      <w:r>
        <w:rPr>
          <w:rFonts w:ascii="宋体" w:hAnsi="宋体" w:cs="宋体"/>
          <w:color w:val="000000" w:themeColor="text1"/>
          <w:kern w:val="0"/>
          <w:sz w:val="18"/>
          <w:szCs w:val="18"/>
        </w:rPr>
        <w:t xml:space="preserve"> 2016</w:t>
      </w:r>
      <w:r>
        <w:rPr>
          <w:rFonts w:ascii="宋体" w:hAnsi="宋体" w:cs="宋体" w:hint="eastAsia"/>
          <w:color w:val="000000" w:themeColor="text1"/>
          <w:kern w:val="0"/>
          <w:sz w:val="18"/>
          <w:szCs w:val="18"/>
        </w:rPr>
        <w:t>年版。</w:t>
      </w:r>
      <w:r>
        <w:rPr>
          <w:rFonts w:ascii="宋体" w:hAnsi="宋体" w:cs="宋体"/>
          <w:color w:val="000000" w:themeColor="text1"/>
          <w:kern w:val="0"/>
          <w:sz w:val="18"/>
          <w:szCs w:val="18"/>
        </w:rPr>
        <w:t xml:space="preserve">    </w:t>
      </w:r>
    </w:p>
    <w:p w:rsidR="009F61DD" w:rsidRDefault="00CC220C">
      <w:pPr>
        <w:autoSpaceDE w:val="0"/>
        <w:autoSpaceDN w:val="0"/>
        <w:adjustRightInd w:val="0"/>
        <w:spacing w:line="360" w:lineRule="auto"/>
        <w:ind w:leftChars="50" w:left="105" w:rightChars="50" w:right="105"/>
        <w:jc w:val="left"/>
        <w:rPr>
          <w:rFonts w:ascii="宋体" w:hAnsi="宋体"/>
          <w:color w:val="000000" w:themeColor="text1"/>
          <w:kern w:val="0"/>
          <w:sz w:val="18"/>
          <w:szCs w:val="18"/>
        </w:rPr>
      </w:pPr>
      <w:r>
        <w:rPr>
          <w:rFonts w:ascii="宋体" w:hAnsi="宋体" w:cs="宋体"/>
          <w:color w:val="000000" w:themeColor="text1"/>
          <w:kern w:val="0"/>
          <w:sz w:val="18"/>
          <w:szCs w:val="18"/>
        </w:rPr>
        <w:t>[</w:t>
      </w:r>
      <w:r>
        <w:rPr>
          <w:rFonts w:ascii="宋体" w:hAnsi="宋体" w:cs="宋体" w:hint="eastAsia"/>
          <w:color w:val="000000" w:themeColor="text1"/>
          <w:kern w:val="0"/>
          <w:sz w:val="18"/>
          <w:szCs w:val="18"/>
        </w:rPr>
        <w:t>2</w:t>
      </w:r>
      <w:r>
        <w:rPr>
          <w:rFonts w:ascii="宋体" w:hAnsi="宋体" w:cs="宋体"/>
          <w:color w:val="000000" w:themeColor="text1"/>
          <w:kern w:val="0"/>
          <w:sz w:val="18"/>
          <w:szCs w:val="18"/>
        </w:rPr>
        <w:t>]</w:t>
      </w:r>
      <w:r>
        <w:rPr>
          <w:rFonts w:ascii="宋体" w:hAnsi="宋体" w:cs="宋体" w:hint="eastAsia"/>
          <w:color w:val="000000" w:themeColor="text1"/>
          <w:kern w:val="0"/>
          <w:sz w:val="18"/>
          <w:szCs w:val="18"/>
        </w:rPr>
        <w:t>《习近平关于社会主义生态文明建设论述摘编》，中央文献出版社</w:t>
      </w:r>
      <w:r>
        <w:rPr>
          <w:rFonts w:ascii="宋体" w:hAnsi="宋体" w:cs="宋体"/>
          <w:color w:val="000000" w:themeColor="text1"/>
          <w:kern w:val="0"/>
          <w:sz w:val="18"/>
          <w:szCs w:val="18"/>
        </w:rPr>
        <w:t xml:space="preserve"> 2017</w:t>
      </w:r>
      <w:r>
        <w:rPr>
          <w:rFonts w:ascii="宋体" w:hAnsi="宋体" w:cs="宋体" w:hint="eastAsia"/>
          <w:color w:val="000000" w:themeColor="text1"/>
          <w:kern w:val="0"/>
          <w:sz w:val="18"/>
          <w:szCs w:val="18"/>
        </w:rPr>
        <w:t>年版。</w:t>
      </w:r>
    </w:p>
    <w:p w:rsidR="009F61DD" w:rsidRDefault="00CC220C">
      <w:pPr>
        <w:spacing w:line="360" w:lineRule="auto"/>
        <w:ind w:rightChars="50" w:right="105"/>
        <w:jc w:val="left"/>
        <w:rPr>
          <w:rFonts w:ascii="宋体" w:hAnsi="宋体"/>
          <w:color w:val="000000" w:themeColor="text1"/>
          <w:sz w:val="18"/>
          <w:szCs w:val="18"/>
        </w:rPr>
      </w:pPr>
      <w:r>
        <w:rPr>
          <w:rFonts w:ascii="宋体" w:hAnsi="宋体" w:hint="eastAsia"/>
          <w:color w:val="000000" w:themeColor="text1"/>
          <w:sz w:val="18"/>
          <w:szCs w:val="18"/>
        </w:rPr>
        <w:t xml:space="preserve"> [3]</w:t>
      </w:r>
      <w:r>
        <w:rPr>
          <w:rFonts w:ascii="宋体" w:hAnsi="宋体" w:hint="eastAsia"/>
          <w:color w:val="000000" w:themeColor="text1"/>
          <w:sz w:val="18"/>
          <w:szCs w:val="18"/>
        </w:rPr>
        <w:t>龙梦晴</w:t>
      </w:r>
      <w:r>
        <w:rPr>
          <w:rFonts w:ascii="宋体" w:hAnsi="宋体" w:hint="eastAsia"/>
          <w:color w:val="000000" w:themeColor="text1"/>
          <w:sz w:val="18"/>
          <w:szCs w:val="18"/>
        </w:rPr>
        <w:t>.</w:t>
      </w:r>
      <w:r>
        <w:rPr>
          <w:rFonts w:ascii="宋体" w:hAnsi="宋体" w:hint="eastAsia"/>
          <w:color w:val="000000" w:themeColor="text1"/>
          <w:sz w:val="18"/>
          <w:szCs w:val="18"/>
        </w:rPr>
        <w:t>民俗文化教育发展论</w:t>
      </w:r>
      <w:r>
        <w:rPr>
          <w:rFonts w:ascii="宋体" w:hAnsi="宋体" w:hint="eastAsia"/>
          <w:color w:val="000000" w:themeColor="text1"/>
          <w:sz w:val="18"/>
          <w:szCs w:val="18"/>
        </w:rPr>
        <w:t>[J].</w:t>
      </w:r>
      <w:r>
        <w:rPr>
          <w:rFonts w:ascii="宋体" w:hAnsi="宋体" w:hint="eastAsia"/>
          <w:color w:val="000000" w:themeColor="text1"/>
          <w:sz w:val="18"/>
          <w:szCs w:val="18"/>
        </w:rPr>
        <w:t>湖南师范大学教育科学学报</w:t>
      </w:r>
      <w:r>
        <w:rPr>
          <w:rFonts w:ascii="宋体" w:hAnsi="宋体" w:hint="eastAsia"/>
          <w:color w:val="000000" w:themeColor="text1"/>
          <w:sz w:val="18"/>
          <w:szCs w:val="18"/>
        </w:rPr>
        <w:t>,2012(6):79.</w:t>
      </w:r>
    </w:p>
    <w:p w:rsidR="009F61DD" w:rsidRDefault="00CC220C">
      <w:pPr>
        <w:spacing w:line="360" w:lineRule="auto"/>
        <w:ind w:rightChars="50" w:right="105" w:firstLineChars="50" w:firstLine="90"/>
        <w:jc w:val="left"/>
        <w:rPr>
          <w:rFonts w:ascii="宋体" w:hAnsi="宋体"/>
          <w:color w:val="000000" w:themeColor="text1"/>
          <w:sz w:val="18"/>
          <w:szCs w:val="18"/>
        </w:rPr>
      </w:pPr>
      <w:r>
        <w:rPr>
          <w:rFonts w:ascii="宋体" w:hAnsi="宋体" w:hint="eastAsia"/>
          <w:color w:val="000000" w:themeColor="text1"/>
          <w:sz w:val="18"/>
          <w:szCs w:val="18"/>
        </w:rPr>
        <w:t xml:space="preserve"> [</w:t>
      </w:r>
      <w:r>
        <w:rPr>
          <w:rFonts w:ascii="宋体" w:hAnsi="宋体"/>
          <w:color w:val="000000" w:themeColor="text1"/>
          <w:sz w:val="18"/>
          <w:szCs w:val="18"/>
        </w:rPr>
        <w:t>4</w:t>
      </w:r>
      <w:r>
        <w:rPr>
          <w:rFonts w:ascii="宋体" w:hAnsi="宋体" w:hint="eastAsia"/>
          <w:color w:val="000000" w:themeColor="text1"/>
          <w:sz w:val="18"/>
          <w:szCs w:val="18"/>
        </w:rPr>
        <w:t>]</w:t>
      </w:r>
      <w:r>
        <w:rPr>
          <w:rFonts w:ascii="宋体" w:hAnsi="宋体" w:hint="eastAsia"/>
          <w:color w:val="000000" w:themeColor="text1"/>
          <w:sz w:val="18"/>
          <w:szCs w:val="18"/>
        </w:rPr>
        <w:t>马丽萍</w:t>
      </w:r>
      <w:r>
        <w:rPr>
          <w:rFonts w:ascii="宋体" w:hAnsi="宋体" w:hint="eastAsia"/>
          <w:color w:val="000000" w:themeColor="text1"/>
          <w:sz w:val="18"/>
          <w:szCs w:val="18"/>
        </w:rPr>
        <w:t>.</w:t>
      </w:r>
      <w:r>
        <w:rPr>
          <w:rFonts w:ascii="宋体" w:hAnsi="宋体" w:hint="eastAsia"/>
          <w:color w:val="000000" w:themeColor="text1"/>
          <w:sz w:val="18"/>
          <w:szCs w:val="18"/>
        </w:rPr>
        <w:t>论民俗文化教育思想在学科教学中的渗透</w:t>
      </w:r>
      <w:r>
        <w:rPr>
          <w:rFonts w:ascii="宋体" w:hAnsi="宋体" w:hint="eastAsia"/>
          <w:color w:val="000000" w:themeColor="text1"/>
          <w:sz w:val="18"/>
          <w:szCs w:val="18"/>
        </w:rPr>
        <w:t>[J].</w:t>
      </w:r>
      <w:r>
        <w:rPr>
          <w:rFonts w:ascii="宋体" w:hAnsi="宋体" w:hint="eastAsia"/>
          <w:color w:val="000000" w:themeColor="text1"/>
          <w:sz w:val="18"/>
          <w:szCs w:val="18"/>
        </w:rPr>
        <w:t>辽宁教育行政学院学报</w:t>
      </w:r>
      <w:r>
        <w:rPr>
          <w:rFonts w:ascii="宋体" w:hAnsi="宋体" w:hint="eastAsia"/>
          <w:color w:val="000000" w:themeColor="text1"/>
          <w:sz w:val="18"/>
          <w:szCs w:val="18"/>
        </w:rPr>
        <w:t>,2010(11):35.</w:t>
      </w:r>
    </w:p>
    <w:p w:rsidR="009F61DD" w:rsidRDefault="00CC220C">
      <w:pPr>
        <w:spacing w:line="360" w:lineRule="auto"/>
        <w:ind w:rightChars="50" w:right="105" w:firstLineChars="100" w:firstLine="180"/>
        <w:jc w:val="left"/>
        <w:rPr>
          <w:rFonts w:ascii="宋体" w:hAnsi="宋体"/>
          <w:color w:val="000000" w:themeColor="text1"/>
          <w:sz w:val="18"/>
          <w:szCs w:val="18"/>
        </w:rPr>
      </w:pPr>
      <w:r>
        <w:rPr>
          <w:rFonts w:ascii="宋体" w:hAnsi="宋体" w:hint="eastAsia"/>
          <w:color w:val="000000" w:themeColor="text1"/>
          <w:sz w:val="18"/>
          <w:szCs w:val="18"/>
        </w:rPr>
        <w:t>[</w:t>
      </w:r>
      <w:r>
        <w:rPr>
          <w:rFonts w:ascii="宋体" w:hAnsi="宋体"/>
          <w:color w:val="000000" w:themeColor="text1"/>
          <w:sz w:val="18"/>
          <w:szCs w:val="18"/>
        </w:rPr>
        <w:t>5</w:t>
      </w:r>
      <w:r>
        <w:rPr>
          <w:rFonts w:ascii="宋体" w:hAnsi="宋体" w:hint="eastAsia"/>
          <w:color w:val="000000" w:themeColor="text1"/>
          <w:sz w:val="18"/>
          <w:szCs w:val="18"/>
        </w:rPr>
        <w:t>]</w:t>
      </w:r>
      <w:r>
        <w:rPr>
          <w:color w:val="000000" w:themeColor="text1"/>
        </w:rPr>
        <w:t xml:space="preserve"> </w:t>
      </w:r>
      <w:r>
        <w:rPr>
          <w:color w:val="000000" w:themeColor="text1"/>
        </w:rPr>
        <w:t>李永婷</w:t>
      </w:r>
      <w:r>
        <w:rPr>
          <w:color w:val="000000" w:themeColor="text1"/>
        </w:rPr>
        <w:t>-</w:t>
      </w:r>
      <w:r>
        <w:rPr>
          <w:color w:val="000000" w:themeColor="text1"/>
        </w:rPr>
        <w:t>民俗文化的教育价值研究</w:t>
      </w:r>
      <w:r>
        <w:rPr>
          <w:rFonts w:ascii="宋体" w:hAnsi="宋体" w:hint="eastAsia"/>
          <w:color w:val="000000" w:themeColor="text1"/>
          <w:sz w:val="18"/>
          <w:szCs w:val="18"/>
        </w:rPr>
        <w:t>[</w:t>
      </w:r>
      <w:r>
        <w:rPr>
          <w:rFonts w:ascii="宋体" w:hAnsi="宋体"/>
          <w:color w:val="000000" w:themeColor="text1"/>
          <w:sz w:val="18"/>
          <w:szCs w:val="18"/>
        </w:rPr>
        <w:t>D</w:t>
      </w:r>
      <w:r>
        <w:rPr>
          <w:rFonts w:ascii="宋体" w:hAnsi="宋体" w:hint="eastAsia"/>
          <w:color w:val="000000" w:themeColor="text1"/>
          <w:sz w:val="18"/>
          <w:szCs w:val="18"/>
        </w:rPr>
        <w:t>].</w:t>
      </w:r>
      <w:r>
        <w:rPr>
          <w:color w:val="000000" w:themeColor="text1"/>
        </w:rPr>
        <w:t>山东师范大学硕士论文</w:t>
      </w:r>
      <w:r>
        <w:rPr>
          <w:color w:val="000000" w:themeColor="text1"/>
        </w:rPr>
        <w:t>-2014</w:t>
      </w:r>
    </w:p>
    <w:p w:rsidR="009F61DD" w:rsidRDefault="00CC220C">
      <w:pPr>
        <w:spacing w:line="360" w:lineRule="auto"/>
        <w:ind w:rightChars="50" w:right="105" w:firstLineChars="50" w:firstLine="90"/>
        <w:jc w:val="left"/>
        <w:rPr>
          <w:rFonts w:ascii="宋体" w:hAnsi="宋体"/>
          <w:color w:val="000000" w:themeColor="text1"/>
          <w:sz w:val="18"/>
          <w:szCs w:val="18"/>
        </w:rPr>
      </w:pPr>
      <w:r>
        <w:rPr>
          <w:rFonts w:ascii="宋体" w:hAnsi="宋体" w:hint="eastAsia"/>
          <w:color w:val="000000" w:themeColor="text1"/>
          <w:sz w:val="18"/>
          <w:szCs w:val="18"/>
        </w:rPr>
        <w:t xml:space="preserve"> [</w:t>
      </w:r>
      <w:r>
        <w:rPr>
          <w:rFonts w:ascii="宋体" w:hAnsi="宋体"/>
          <w:color w:val="000000" w:themeColor="text1"/>
          <w:sz w:val="18"/>
          <w:szCs w:val="18"/>
        </w:rPr>
        <w:t>6</w:t>
      </w:r>
      <w:r>
        <w:rPr>
          <w:rFonts w:ascii="宋体" w:hAnsi="宋体" w:hint="eastAsia"/>
          <w:color w:val="000000" w:themeColor="text1"/>
          <w:sz w:val="18"/>
          <w:szCs w:val="18"/>
        </w:rPr>
        <w:t>]</w:t>
      </w:r>
      <w:r>
        <w:rPr>
          <w:rFonts w:ascii="宋体" w:hAnsi="宋体" w:hint="eastAsia"/>
          <w:color w:val="000000" w:themeColor="text1"/>
          <w:sz w:val="18"/>
          <w:szCs w:val="18"/>
        </w:rPr>
        <w:t>王晓葵</w:t>
      </w:r>
      <w:r>
        <w:rPr>
          <w:rFonts w:ascii="宋体" w:hAnsi="宋体" w:hint="eastAsia"/>
          <w:color w:val="000000" w:themeColor="text1"/>
          <w:sz w:val="18"/>
          <w:szCs w:val="18"/>
        </w:rPr>
        <w:t>.</w:t>
      </w:r>
      <w:r>
        <w:rPr>
          <w:rFonts w:ascii="宋体" w:hAnsi="宋体" w:hint="eastAsia"/>
          <w:color w:val="000000" w:themeColor="text1"/>
          <w:sz w:val="18"/>
          <w:szCs w:val="18"/>
        </w:rPr>
        <w:t>民俗与现代社会</w:t>
      </w:r>
      <w:r>
        <w:rPr>
          <w:rFonts w:ascii="宋体" w:hAnsi="宋体" w:hint="eastAsia"/>
          <w:color w:val="000000" w:themeColor="text1"/>
          <w:sz w:val="18"/>
          <w:szCs w:val="18"/>
        </w:rPr>
        <w:t>[M].</w:t>
      </w:r>
      <w:r>
        <w:rPr>
          <w:rFonts w:ascii="宋体" w:hAnsi="宋体" w:hint="eastAsia"/>
          <w:color w:val="000000" w:themeColor="text1"/>
          <w:sz w:val="18"/>
          <w:szCs w:val="18"/>
        </w:rPr>
        <w:t>上海</w:t>
      </w:r>
      <w:r>
        <w:rPr>
          <w:rFonts w:ascii="宋体" w:hAnsi="宋体" w:hint="eastAsia"/>
          <w:color w:val="000000" w:themeColor="text1"/>
          <w:sz w:val="18"/>
          <w:szCs w:val="18"/>
        </w:rPr>
        <w:t>:</w:t>
      </w:r>
      <w:r>
        <w:rPr>
          <w:rFonts w:ascii="宋体" w:hAnsi="宋体" w:hint="eastAsia"/>
          <w:color w:val="000000" w:themeColor="text1"/>
          <w:sz w:val="18"/>
          <w:szCs w:val="18"/>
        </w:rPr>
        <w:t>上海文艺出版社</w:t>
      </w:r>
      <w:r>
        <w:rPr>
          <w:rFonts w:ascii="宋体" w:hAnsi="宋体" w:hint="eastAsia"/>
          <w:color w:val="000000" w:themeColor="text1"/>
          <w:sz w:val="18"/>
          <w:szCs w:val="18"/>
        </w:rPr>
        <w:t>,2011.</w:t>
      </w:r>
    </w:p>
    <w:p w:rsidR="009F61DD" w:rsidRDefault="00CC220C">
      <w:pPr>
        <w:spacing w:line="360" w:lineRule="auto"/>
        <w:ind w:rightChars="50" w:right="105" w:firstLineChars="100" w:firstLine="180"/>
        <w:jc w:val="left"/>
        <w:rPr>
          <w:rFonts w:ascii="宋体" w:hAnsi="宋体"/>
          <w:color w:val="000000" w:themeColor="text1"/>
          <w:sz w:val="18"/>
          <w:szCs w:val="18"/>
        </w:rPr>
      </w:pPr>
      <w:r>
        <w:rPr>
          <w:rFonts w:ascii="宋体" w:hAnsi="宋体" w:hint="eastAsia"/>
          <w:color w:val="000000" w:themeColor="text1"/>
          <w:sz w:val="18"/>
          <w:szCs w:val="18"/>
        </w:rPr>
        <w:t>[</w:t>
      </w:r>
      <w:r>
        <w:rPr>
          <w:rFonts w:ascii="宋体" w:hAnsi="宋体"/>
          <w:color w:val="000000" w:themeColor="text1"/>
          <w:sz w:val="18"/>
          <w:szCs w:val="18"/>
        </w:rPr>
        <w:t>7</w:t>
      </w:r>
      <w:r>
        <w:rPr>
          <w:rFonts w:ascii="宋体" w:hAnsi="宋体" w:hint="eastAsia"/>
          <w:color w:val="000000" w:themeColor="text1"/>
          <w:sz w:val="18"/>
          <w:szCs w:val="18"/>
        </w:rPr>
        <w:t>]</w:t>
      </w:r>
      <w:r>
        <w:rPr>
          <w:rFonts w:ascii="宋体" w:hAnsi="宋体" w:hint="eastAsia"/>
          <w:color w:val="000000" w:themeColor="text1"/>
          <w:sz w:val="18"/>
          <w:szCs w:val="18"/>
        </w:rPr>
        <w:t>钟敬文</w:t>
      </w:r>
      <w:r>
        <w:rPr>
          <w:rFonts w:ascii="宋体" w:hAnsi="宋体" w:hint="eastAsia"/>
          <w:color w:val="000000" w:themeColor="text1"/>
          <w:sz w:val="18"/>
          <w:szCs w:val="18"/>
        </w:rPr>
        <w:t>.</w:t>
      </w:r>
      <w:r>
        <w:rPr>
          <w:rFonts w:ascii="宋体" w:hAnsi="宋体" w:hint="eastAsia"/>
          <w:color w:val="000000" w:themeColor="text1"/>
          <w:sz w:val="18"/>
          <w:szCs w:val="18"/>
        </w:rPr>
        <w:t>民俗学概论</w:t>
      </w:r>
      <w:r>
        <w:rPr>
          <w:rFonts w:ascii="宋体" w:hAnsi="宋体" w:hint="eastAsia"/>
          <w:color w:val="000000" w:themeColor="text1"/>
          <w:sz w:val="18"/>
          <w:szCs w:val="18"/>
        </w:rPr>
        <w:t>[M].</w:t>
      </w:r>
      <w:r>
        <w:rPr>
          <w:rFonts w:ascii="宋体" w:hAnsi="宋体" w:hint="eastAsia"/>
          <w:color w:val="000000" w:themeColor="text1"/>
          <w:sz w:val="18"/>
          <w:szCs w:val="18"/>
        </w:rPr>
        <w:t>上海</w:t>
      </w:r>
      <w:r>
        <w:rPr>
          <w:rFonts w:ascii="宋体" w:hAnsi="宋体" w:hint="eastAsia"/>
          <w:color w:val="000000" w:themeColor="text1"/>
          <w:sz w:val="18"/>
          <w:szCs w:val="18"/>
        </w:rPr>
        <w:t>:</w:t>
      </w:r>
      <w:r>
        <w:rPr>
          <w:rFonts w:ascii="宋体" w:hAnsi="宋体" w:hint="eastAsia"/>
          <w:color w:val="000000" w:themeColor="text1"/>
          <w:sz w:val="18"/>
          <w:szCs w:val="18"/>
        </w:rPr>
        <w:t>上海文艺出版社</w:t>
      </w:r>
      <w:r>
        <w:rPr>
          <w:rFonts w:ascii="宋体" w:hAnsi="宋体" w:hint="eastAsia"/>
          <w:color w:val="000000" w:themeColor="text1"/>
          <w:sz w:val="18"/>
          <w:szCs w:val="18"/>
        </w:rPr>
        <w:t>,1998.</w:t>
      </w:r>
      <w:r>
        <w:rPr>
          <w:rFonts w:ascii="宋体" w:hAnsi="宋体" w:hint="eastAsia"/>
          <w:color w:val="000000" w:themeColor="text1"/>
          <w:sz w:val="18"/>
          <w:szCs w:val="18"/>
        </w:rPr>
        <w:t>序</w:t>
      </w:r>
      <w:r>
        <w:rPr>
          <w:rFonts w:ascii="宋体" w:hAnsi="宋体" w:hint="eastAsia"/>
          <w:color w:val="000000" w:themeColor="text1"/>
          <w:sz w:val="18"/>
          <w:szCs w:val="18"/>
        </w:rPr>
        <w:t xml:space="preserve"> 1.</w:t>
      </w:r>
    </w:p>
    <w:p w:rsidR="009F61DD" w:rsidRDefault="00CC220C">
      <w:pPr>
        <w:spacing w:line="360" w:lineRule="auto"/>
        <w:ind w:rightChars="50" w:right="105"/>
        <w:jc w:val="left"/>
        <w:rPr>
          <w:rFonts w:ascii="宋体" w:hAnsi="宋体"/>
          <w:color w:val="000000" w:themeColor="text1"/>
          <w:sz w:val="18"/>
          <w:szCs w:val="18"/>
        </w:rPr>
      </w:pPr>
      <w:r>
        <w:rPr>
          <w:rFonts w:ascii="宋体" w:hAnsi="宋体" w:hint="eastAsia"/>
          <w:color w:val="000000" w:themeColor="text1"/>
          <w:sz w:val="18"/>
          <w:szCs w:val="18"/>
        </w:rPr>
        <w:t xml:space="preserve"> </w:t>
      </w:r>
      <w:r>
        <w:rPr>
          <w:rFonts w:ascii="宋体" w:hAnsi="宋体"/>
          <w:color w:val="000000" w:themeColor="text1"/>
          <w:sz w:val="18"/>
          <w:szCs w:val="18"/>
        </w:rPr>
        <w:t xml:space="preserve"> </w:t>
      </w:r>
      <w:r>
        <w:rPr>
          <w:rFonts w:ascii="宋体" w:hAnsi="宋体" w:hint="eastAsia"/>
          <w:color w:val="000000" w:themeColor="text1"/>
          <w:sz w:val="18"/>
          <w:szCs w:val="18"/>
        </w:rPr>
        <w:t>[</w:t>
      </w:r>
      <w:r>
        <w:rPr>
          <w:rFonts w:ascii="宋体" w:hAnsi="宋体"/>
          <w:color w:val="000000" w:themeColor="text1"/>
          <w:sz w:val="18"/>
          <w:szCs w:val="18"/>
        </w:rPr>
        <w:t>8</w:t>
      </w:r>
      <w:r>
        <w:rPr>
          <w:rFonts w:ascii="宋体" w:hAnsi="宋体" w:hint="eastAsia"/>
          <w:color w:val="000000" w:themeColor="text1"/>
          <w:sz w:val="18"/>
          <w:szCs w:val="18"/>
        </w:rPr>
        <w:t>]</w:t>
      </w:r>
      <w:r>
        <w:rPr>
          <w:rFonts w:ascii="宋体" w:hAnsi="宋体" w:hint="eastAsia"/>
          <w:color w:val="000000" w:themeColor="text1"/>
          <w:sz w:val="18"/>
          <w:szCs w:val="18"/>
        </w:rPr>
        <w:t>石中英</w:t>
      </w:r>
      <w:r>
        <w:rPr>
          <w:rFonts w:ascii="宋体" w:hAnsi="宋体" w:hint="eastAsia"/>
          <w:color w:val="000000" w:themeColor="text1"/>
          <w:sz w:val="18"/>
          <w:szCs w:val="18"/>
        </w:rPr>
        <w:t>.</w:t>
      </w:r>
      <w:r>
        <w:rPr>
          <w:rFonts w:ascii="宋体" w:hAnsi="宋体" w:hint="eastAsia"/>
          <w:color w:val="000000" w:themeColor="text1"/>
          <w:sz w:val="18"/>
          <w:szCs w:val="18"/>
        </w:rPr>
        <w:t>教育学的文化性格</w:t>
      </w:r>
      <w:r>
        <w:rPr>
          <w:rFonts w:ascii="宋体" w:hAnsi="宋体" w:hint="eastAsia"/>
          <w:color w:val="000000" w:themeColor="text1"/>
          <w:sz w:val="18"/>
          <w:szCs w:val="18"/>
        </w:rPr>
        <w:t>[M].</w:t>
      </w:r>
      <w:r>
        <w:rPr>
          <w:rFonts w:ascii="宋体" w:hAnsi="宋体" w:hint="eastAsia"/>
          <w:color w:val="000000" w:themeColor="text1"/>
          <w:sz w:val="18"/>
          <w:szCs w:val="18"/>
        </w:rPr>
        <w:t>太原</w:t>
      </w:r>
      <w:r>
        <w:rPr>
          <w:rFonts w:ascii="宋体" w:hAnsi="宋体" w:hint="eastAsia"/>
          <w:color w:val="000000" w:themeColor="text1"/>
          <w:sz w:val="18"/>
          <w:szCs w:val="18"/>
        </w:rPr>
        <w:t>:</w:t>
      </w:r>
      <w:r>
        <w:rPr>
          <w:rFonts w:ascii="宋体" w:hAnsi="宋体" w:hint="eastAsia"/>
          <w:color w:val="000000" w:themeColor="text1"/>
          <w:sz w:val="18"/>
          <w:szCs w:val="18"/>
        </w:rPr>
        <w:t>陕西教育出版社</w:t>
      </w:r>
      <w:r>
        <w:rPr>
          <w:rFonts w:ascii="宋体" w:hAnsi="宋体" w:hint="eastAsia"/>
          <w:color w:val="000000" w:themeColor="text1"/>
          <w:sz w:val="18"/>
          <w:szCs w:val="18"/>
        </w:rPr>
        <w:t>,2004:146.</w:t>
      </w:r>
    </w:p>
    <w:p w:rsidR="009F61DD" w:rsidRDefault="00CC220C">
      <w:pPr>
        <w:spacing w:line="360" w:lineRule="auto"/>
        <w:ind w:rightChars="50" w:right="105"/>
        <w:jc w:val="left"/>
        <w:rPr>
          <w:rFonts w:ascii="宋体" w:hAnsi="宋体"/>
          <w:color w:val="000000" w:themeColor="text1"/>
          <w:sz w:val="18"/>
          <w:szCs w:val="18"/>
        </w:rPr>
      </w:pPr>
      <w:r>
        <w:rPr>
          <w:rFonts w:ascii="宋体" w:hAnsi="宋体" w:hint="eastAsia"/>
          <w:color w:val="000000" w:themeColor="text1"/>
          <w:szCs w:val="21"/>
        </w:rPr>
        <w:t xml:space="preserve">  [</w:t>
      </w:r>
      <w:r>
        <w:rPr>
          <w:rFonts w:ascii="宋体" w:hAnsi="宋体"/>
          <w:color w:val="000000" w:themeColor="text1"/>
          <w:szCs w:val="21"/>
        </w:rPr>
        <w:t>9</w:t>
      </w:r>
      <w:r>
        <w:rPr>
          <w:rFonts w:ascii="宋体" w:hAnsi="宋体" w:hint="eastAsia"/>
          <w:color w:val="000000" w:themeColor="text1"/>
          <w:szCs w:val="21"/>
        </w:rPr>
        <w:t xml:space="preserve">] </w:t>
      </w:r>
      <w:r>
        <w:rPr>
          <w:rFonts w:ascii="宋体" w:hAnsi="宋体" w:hint="eastAsia"/>
          <w:color w:val="000000" w:themeColor="text1"/>
          <w:szCs w:val="21"/>
        </w:rPr>
        <w:t>顾超</w:t>
      </w:r>
      <w:r>
        <w:rPr>
          <w:rFonts w:ascii="宋体" w:hAnsi="宋体" w:hint="eastAsia"/>
          <w:color w:val="000000" w:themeColor="text1"/>
          <w:szCs w:val="21"/>
        </w:rPr>
        <w:t>.</w:t>
      </w:r>
      <w:r>
        <w:rPr>
          <w:rFonts w:ascii="宋体" w:hAnsi="宋体" w:hint="eastAsia"/>
          <w:color w:val="000000" w:themeColor="text1"/>
          <w:szCs w:val="21"/>
        </w:rPr>
        <w:t>西北地区中华民族共同体意识培育研究</w:t>
      </w:r>
      <w:r>
        <w:rPr>
          <w:rFonts w:ascii="宋体" w:hAnsi="宋体" w:hint="eastAsia"/>
          <w:color w:val="000000" w:themeColor="text1"/>
          <w:sz w:val="18"/>
          <w:szCs w:val="18"/>
        </w:rPr>
        <w:t>[</w:t>
      </w:r>
      <w:r>
        <w:rPr>
          <w:rFonts w:ascii="宋体" w:hAnsi="宋体"/>
          <w:color w:val="000000" w:themeColor="text1"/>
          <w:sz w:val="18"/>
          <w:szCs w:val="18"/>
        </w:rPr>
        <w:t>D</w:t>
      </w:r>
      <w:r>
        <w:rPr>
          <w:rFonts w:ascii="宋体" w:hAnsi="宋体" w:hint="eastAsia"/>
          <w:color w:val="000000" w:themeColor="text1"/>
          <w:sz w:val="18"/>
          <w:szCs w:val="18"/>
        </w:rPr>
        <w:t>].</w:t>
      </w:r>
      <w:r>
        <w:rPr>
          <w:rFonts w:ascii="宋体" w:hAnsi="宋体" w:hint="eastAsia"/>
          <w:color w:val="000000" w:themeColor="text1"/>
          <w:szCs w:val="21"/>
        </w:rPr>
        <w:t>兰州大学博士论文，</w:t>
      </w:r>
      <w:r>
        <w:rPr>
          <w:rFonts w:ascii="宋体" w:hAnsi="宋体" w:hint="eastAsia"/>
          <w:color w:val="000000" w:themeColor="text1"/>
          <w:szCs w:val="21"/>
        </w:rPr>
        <w:t>2020</w:t>
      </w:r>
      <w:r>
        <w:rPr>
          <w:rFonts w:ascii="宋体" w:hAnsi="宋体" w:hint="eastAsia"/>
          <w:color w:val="000000" w:themeColor="text1"/>
          <w:sz w:val="18"/>
          <w:szCs w:val="18"/>
        </w:rPr>
        <w:t xml:space="preserve"> </w:t>
      </w:r>
    </w:p>
    <w:p w:rsidR="009F61DD" w:rsidRDefault="00CC220C">
      <w:pPr>
        <w:spacing w:line="360" w:lineRule="auto"/>
        <w:ind w:rightChars="50" w:right="105" w:firstLineChars="50" w:firstLine="90"/>
        <w:jc w:val="left"/>
        <w:rPr>
          <w:rFonts w:ascii="宋体" w:hAnsi="宋体"/>
          <w:color w:val="000000" w:themeColor="text1"/>
          <w:sz w:val="18"/>
          <w:szCs w:val="18"/>
        </w:rPr>
      </w:pPr>
      <w:r>
        <w:rPr>
          <w:rFonts w:ascii="宋体" w:hAnsi="宋体" w:hint="eastAsia"/>
          <w:color w:val="000000" w:themeColor="text1"/>
          <w:sz w:val="18"/>
          <w:szCs w:val="18"/>
        </w:rPr>
        <w:t xml:space="preserve"> [1</w:t>
      </w:r>
      <w:r>
        <w:rPr>
          <w:rFonts w:ascii="宋体" w:hAnsi="宋体"/>
          <w:color w:val="000000" w:themeColor="text1"/>
          <w:sz w:val="18"/>
          <w:szCs w:val="18"/>
        </w:rPr>
        <w:t>0</w:t>
      </w:r>
      <w:r>
        <w:rPr>
          <w:rFonts w:ascii="宋体" w:hAnsi="宋体" w:hint="eastAsia"/>
          <w:color w:val="000000" w:themeColor="text1"/>
          <w:sz w:val="18"/>
          <w:szCs w:val="18"/>
        </w:rPr>
        <w:t>]</w:t>
      </w:r>
      <w:r>
        <w:rPr>
          <w:rFonts w:ascii="宋体" w:hAnsi="宋体" w:hint="eastAsia"/>
          <w:color w:val="000000" w:themeColor="text1"/>
          <w:sz w:val="18"/>
          <w:szCs w:val="18"/>
        </w:rPr>
        <w:t>曲金良</w:t>
      </w:r>
      <w:r>
        <w:rPr>
          <w:rFonts w:ascii="宋体" w:hAnsi="宋体" w:hint="eastAsia"/>
          <w:color w:val="000000" w:themeColor="text1"/>
          <w:sz w:val="18"/>
          <w:szCs w:val="18"/>
        </w:rPr>
        <w:t>.</w:t>
      </w:r>
      <w:r>
        <w:rPr>
          <w:rFonts w:ascii="宋体" w:hAnsi="宋体" w:hint="eastAsia"/>
          <w:color w:val="000000" w:themeColor="text1"/>
          <w:sz w:val="18"/>
          <w:szCs w:val="18"/>
        </w:rPr>
        <w:t>中国民俗文化论</w:t>
      </w:r>
      <w:r>
        <w:rPr>
          <w:rFonts w:ascii="宋体" w:hAnsi="宋体" w:hint="eastAsia"/>
          <w:color w:val="000000" w:themeColor="text1"/>
          <w:sz w:val="18"/>
          <w:szCs w:val="18"/>
        </w:rPr>
        <w:t>[M].</w:t>
      </w:r>
      <w:r>
        <w:rPr>
          <w:rFonts w:ascii="宋体" w:hAnsi="宋体" w:hint="eastAsia"/>
          <w:color w:val="000000" w:themeColor="text1"/>
          <w:sz w:val="18"/>
          <w:szCs w:val="18"/>
        </w:rPr>
        <w:t>青岛</w:t>
      </w:r>
      <w:r>
        <w:rPr>
          <w:rFonts w:ascii="宋体" w:hAnsi="宋体" w:hint="eastAsia"/>
          <w:color w:val="000000" w:themeColor="text1"/>
          <w:sz w:val="18"/>
          <w:szCs w:val="18"/>
        </w:rPr>
        <w:t>:</w:t>
      </w:r>
      <w:r>
        <w:rPr>
          <w:rFonts w:ascii="宋体" w:hAnsi="宋体" w:hint="eastAsia"/>
          <w:color w:val="000000" w:themeColor="text1"/>
          <w:sz w:val="18"/>
          <w:szCs w:val="18"/>
        </w:rPr>
        <w:t>青岛海洋大学出版社</w:t>
      </w:r>
      <w:r>
        <w:rPr>
          <w:rFonts w:ascii="宋体" w:hAnsi="宋体" w:hint="eastAsia"/>
          <w:color w:val="000000" w:themeColor="text1"/>
          <w:sz w:val="18"/>
          <w:szCs w:val="18"/>
        </w:rPr>
        <w:t>,1995.</w:t>
      </w:r>
    </w:p>
    <w:p w:rsidR="009F61DD" w:rsidRDefault="00CC220C">
      <w:pPr>
        <w:spacing w:line="360" w:lineRule="auto"/>
        <w:ind w:rightChars="50" w:right="105" w:firstLineChars="50" w:firstLine="90"/>
        <w:jc w:val="left"/>
        <w:rPr>
          <w:rFonts w:ascii="宋体" w:hAnsi="宋体"/>
          <w:color w:val="000000" w:themeColor="text1"/>
          <w:sz w:val="18"/>
          <w:szCs w:val="18"/>
        </w:rPr>
      </w:pPr>
      <w:r>
        <w:rPr>
          <w:rFonts w:ascii="宋体" w:hAnsi="宋体" w:hint="eastAsia"/>
          <w:color w:val="000000" w:themeColor="text1"/>
          <w:sz w:val="18"/>
          <w:szCs w:val="18"/>
        </w:rPr>
        <w:lastRenderedPageBreak/>
        <w:t xml:space="preserve"> </w:t>
      </w:r>
    </w:p>
    <w:sectPr w:rsidR="009F61DD" w:rsidSect="009F61D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ZmYyOTVjOTI3OGIzYTY2ZTk4MTVlYmIwZDA0MTYzZjkifQ=="/>
  </w:docVars>
  <w:rsids>
    <w:rsidRoot w:val="00D233BF"/>
    <w:rsid w:val="00023D44"/>
    <w:rsid w:val="00030E7E"/>
    <w:rsid w:val="000317D1"/>
    <w:rsid w:val="00041BBA"/>
    <w:rsid w:val="0005178C"/>
    <w:rsid w:val="00053604"/>
    <w:rsid w:val="00062107"/>
    <w:rsid w:val="000E4917"/>
    <w:rsid w:val="000E4ACF"/>
    <w:rsid w:val="00100126"/>
    <w:rsid w:val="00117C59"/>
    <w:rsid w:val="00172374"/>
    <w:rsid w:val="001935E4"/>
    <w:rsid w:val="001A35AA"/>
    <w:rsid w:val="001C34D1"/>
    <w:rsid w:val="001C73F6"/>
    <w:rsid w:val="00213049"/>
    <w:rsid w:val="002402FE"/>
    <w:rsid w:val="002754AF"/>
    <w:rsid w:val="002D4F8F"/>
    <w:rsid w:val="00301E18"/>
    <w:rsid w:val="00313DC9"/>
    <w:rsid w:val="003225A3"/>
    <w:rsid w:val="00357175"/>
    <w:rsid w:val="003E2BF1"/>
    <w:rsid w:val="003E4069"/>
    <w:rsid w:val="00472165"/>
    <w:rsid w:val="004803D4"/>
    <w:rsid w:val="00494AAB"/>
    <w:rsid w:val="004F7E0B"/>
    <w:rsid w:val="00535E08"/>
    <w:rsid w:val="00555313"/>
    <w:rsid w:val="00564FF1"/>
    <w:rsid w:val="005844B4"/>
    <w:rsid w:val="005D4E69"/>
    <w:rsid w:val="005F2385"/>
    <w:rsid w:val="005F36F2"/>
    <w:rsid w:val="00610190"/>
    <w:rsid w:val="00631A84"/>
    <w:rsid w:val="00676E88"/>
    <w:rsid w:val="00686D3E"/>
    <w:rsid w:val="006908E9"/>
    <w:rsid w:val="00695338"/>
    <w:rsid w:val="006C2410"/>
    <w:rsid w:val="006C3D17"/>
    <w:rsid w:val="006C7C2B"/>
    <w:rsid w:val="006F7BBC"/>
    <w:rsid w:val="0075059C"/>
    <w:rsid w:val="007A1F4B"/>
    <w:rsid w:val="007D6EC6"/>
    <w:rsid w:val="007E01B7"/>
    <w:rsid w:val="007F1D57"/>
    <w:rsid w:val="008034CC"/>
    <w:rsid w:val="008123C2"/>
    <w:rsid w:val="008235D8"/>
    <w:rsid w:val="0084592F"/>
    <w:rsid w:val="008A19E1"/>
    <w:rsid w:val="008A1C0F"/>
    <w:rsid w:val="008F1F77"/>
    <w:rsid w:val="008F2906"/>
    <w:rsid w:val="008F48B1"/>
    <w:rsid w:val="00966389"/>
    <w:rsid w:val="009A37F0"/>
    <w:rsid w:val="009A71E5"/>
    <w:rsid w:val="009C315D"/>
    <w:rsid w:val="009F61DD"/>
    <w:rsid w:val="00A4136B"/>
    <w:rsid w:val="00A8479E"/>
    <w:rsid w:val="00AD6888"/>
    <w:rsid w:val="00B16FB7"/>
    <w:rsid w:val="00B94BDB"/>
    <w:rsid w:val="00BA1C44"/>
    <w:rsid w:val="00BB37A2"/>
    <w:rsid w:val="00BD25AD"/>
    <w:rsid w:val="00C06773"/>
    <w:rsid w:val="00C22B5E"/>
    <w:rsid w:val="00C30A63"/>
    <w:rsid w:val="00C91E1F"/>
    <w:rsid w:val="00CA0E60"/>
    <w:rsid w:val="00CC1AC7"/>
    <w:rsid w:val="00CC220C"/>
    <w:rsid w:val="00D01448"/>
    <w:rsid w:val="00D22856"/>
    <w:rsid w:val="00D233BF"/>
    <w:rsid w:val="00D467E5"/>
    <w:rsid w:val="00DC4F4F"/>
    <w:rsid w:val="00DE70F8"/>
    <w:rsid w:val="00E100AC"/>
    <w:rsid w:val="00E41188"/>
    <w:rsid w:val="00E62CB7"/>
    <w:rsid w:val="00ED7E02"/>
    <w:rsid w:val="00F146CE"/>
    <w:rsid w:val="00F618AD"/>
    <w:rsid w:val="00FB258C"/>
    <w:rsid w:val="00FB4B9E"/>
    <w:rsid w:val="00FC71B6"/>
    <w:rsid w:val="00FF4636"/>
    <w:rsid w:val="29E247E1"/>
  </w:rsids>
  <m:mathPr>
    <m:mathFont m:val="Cambria Math"/>
    <m:brkBin m:val="before"/>
    <m:brkBinSub m:val="--"/>
    <m:smallFrac m:val="off"/>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61DD"/>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F61DD"/>
    <w:rPr>
      <w:sz w:val="18"/>
      <w:szCs w:val="18"/>
    </w:rPr>
  </w:style>
  <w:style w:type="paragraph" w:styleId="a4">
    <w:name w:val="footer"/>
    <w:basedOn w:val="a"/>
    <w:link w:val="Char0"/>
    <w:uiPriority w:val="99"/>
    <w:unhideWhenUsed/>
    <w:rsid w:val="009F61DD"/>
    <w:pPr>
      <w:tabs>
        <w:tab w:val="center" w:pos="4153"/>
        <w:tab w:val="right" w:pos="8306"/>
      </w:tabs>
      <w:snapToGrid w:val="0"/>
      <w:jc w:val="left"/>
    </w:pPr>
    <w:rPr>
      <w:sz w:val="18"/>
      <w:szCs w:val="18"/>
    </w:rPr>
  </w:style>
  <w:style w:type="paragraph" w:styleId="a5">
    <w:name w:val="header"/>
    <w:basedOn w:val="a"/>
    <w:link w:val="Char1"/>
    <w:uiPriority w:val="99"/>
    <w:unhideWhenUsed/>
    <w:rsid w:val="009F61DD"/>
    <w:pPr>
      <w:pBdr>
        <w:bottom w:val="single" w:sz="6" w:space="1" w:color="auto"/>
      </w:pBdr>
      <w:tabs>
        <w:tab w:val="center" w:pos="4153"/>
        <w:tab w:val="right" w:pos="8306"/>
      </w:tabs>
      <w:snapToGrid w:val="0"/>
      <w:jc w:val="center"/>
    </w:pPr>
    <w:rPr>
      <w:sz w:val="18"/>
      <w:szCs w:val="18"/>
    </w:rPr>
  </w:style>
  <w:style w:type="character" w:styleId="a6">
    <w:name w:val="Emphasis"/>
    <w:basedOn w:val="a0"/>
    <w:uiPriority w:val="20"/>
    <w:qFormat/>
    <w:rsid w:val="009F61DD"/>
    <w:rPr>
      <w:i/>
      <w:iCs/>
    </w:rPr>
  </w:style>
  <w:style w:type="character" w:customStyle="1" w:styleId="Char1">
    <w:name w:val="页眉 Char"/>
    <w:basedOn w:val="a0"/>
    <w:link w:val="a5"/>
    <w:uiPriority w:val="99"/>
    <w:rsid w:val="009F61DD"/>
    <w:rPr>
      <w:rFonts w:ascii="Times New Roman" w:eastAsia="宋体" w:hAnsi="Times New Roman" w:cs="Times New Roman"/>
      <w:sz w:val="18"/>
      <w:szCs w:val="18"/>
    </w:rPr>
  </w:style>
  <w:style w:type="character" w:customStyle="1" w:styleId="Char0">
    <w:name w:val="页脚 Char"/>
    <w:basedOn w:val="a0"/>
    <w:link w:val="a4"/>
    <w:uiPriority w:val="99"/>
    <w:rsid w:val="009F61DD"/>
    <w:rPr>
      <w:rFonts w:ascii="Times New Roman" w:eastAsia="宋体" w:hAnsi="Times New Roman" w:cs="Times New Roman"/>
      <w:sz w:val="18"/>
      <w:szCs w:val="18"/>
    </w:rPr>
  </w:style>
  <w:style w:type="paragraph" w:styleId="a7">
    <w:name w:val="List Paragraph"/>
    <w:basedOn w:val="a"/>
    <w:uiPriority w:val="34"/>
    <w:qFormat/>
    <w:rsid w:val="009F61DD"/>
    <w:pPr>
      <w:ind w:firstLineChars="200" w:firstLine="420"/>
    </w:pPr>
  </w:style>
  <w:style w:type="character" w:customStyle="1" w:styleId="Char">
    <w:name w:val="批注框文本 Char"/>
    <w:basedOn w:val="a0"/>
    <w:link w:val="a3"/>
    <w:uiPriority w:val="99"/>
    <w:semiHidden/>
    <w:rsid w:val="009F61D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1.xlsx"/></Relationships>
</file>

<file path=word/charts/chart1.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a:t>CNKI</a:t>
            </a:r>
            <a:r>
              <a:rPr lang="zh-CN" altLang="en-US" sz="1200"/>
              <a:t>期刊篇名包含“中华民族共同体意识”的主题分布图</a:t>
            </a:r>
          </a:p>
        </c:rich>
      </c:tx>
      <c:layout/>
      <c:spPr>
        <a:noFill/>
        <a:ln>
          <a:noFill/>
        </a:ln>
        <a:effectLst/>
      </c:spPr>
    </c:title>
    <c:plotArea>
      <c:layout>
        <c:manualLayout>
          <c:layoutTarget val="inner"/>
          <c:xMode val="edge"/>
          <c:yMode val="edge"/>
          <c:x val="0.12711982982554698"/>
          <c:y val="0.16485688157758602"/>
          <c:w val="0.84455155827643602"/>
          <c:h val="0.51085209371453"/>
        </c:manualLayout>
      </c:layout>
      <c:barChart>
        <c:barDir val="col"/>
        <c:grouping val="stacked"/>
        <c:ser>
          <c:idx val="0"/>
          <c:order val="0"/>
          <c:tx>
            <c:strRef>
              <c:f>Sheet1!$B$1</c:f>
              <c:strCache>
                <c:ptCount val="1"/>
                <c:pt idx="0">
                  <c:v>列1</c:v>
                </c:pt>
              </c:strCache>
            </c:strRef>
          </c:tx>
          <c:spPr>
            <a:solidFill>
              <a:schemeClr val="accent1"/>
            </a:solidFill>
            <a:ln>
              <a:noFill/>
            </a:ln>
            <a:effectLst/>
          </c:spPr>
          <c:dLbls>
            <c:dLbl>
              <c:idx val="0"/>
              <c:layout>
                <c:manualLayout>
                  <c:x val="0"/>
                  <c:y val="-0.24563671622495198"/>
                </c:manualLayout>
              </c:layout>
              <c:dLblPos val="ctr"/>
              <c:showVal val="1"/>
              <c:extLst>
                <c:ext xmlns:c15="http://schemas.microsoft.com/office/drawing/2012/chart" uri="{CE6537A1-D6FC-4f65-9D91-7224C49458BB}">
                  <c15:layout/>
                </c:ext>
              </c:extLst>
            </c:dLbl>
            <c:dLbl>
              <c:idx val="1"/>
              <c:layout>
                <c:manualLayout>
                  <c:x val="2.5753283543651804E-3"/>
                  <c:y val="-9.0497737556561111E-2"/>
                </c:manualLayout>
              </c:layout>
              <c:dLblPos val="ctr"/>
              <c:showVal val="1"/>
              <c:extLst>
                <c:ext xmlns:c15="http://schemas.microsoft.com/office/drawing/2012/chart" uri="{CE6537A1-D6FC-4f65-9D91-7224C49458BB}">
                  <c15:layout/>
                </c:ext>
              </c:extLst>
            </c:dLbl>
            <c:dLbl>
              <c:idx val="2"/>
              <c:layout>
                <c:manualLayout>
                  <c:x val="-3.8629925315477706E-3"/>
                  <c:y val="-5.1712653565363108E-2"/>
                </c:manualLayout>
              </c:layout>
              <c:spPr>
                <a:noFill/>
                <a:ln>
                  <a:noFill/>
                </a:ln>
                <a:effectLst/>
              </c:spPr>
              <c:txPr>
                <a:bodyPr rot="0" spcFirstLastPara="1" vertOverflow="ellipsis" vert="horz" wrap="square" lIns="38100" tIns="19050" rIns="38100" bIns="19050" anchor="ctr" anchorCtr="1">
                  <a:no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ctr"/>
              <c:showVal val="1"/>
              <c:extLst>
                <c:ext xmlns:c15="http://schemas.microsoft.com/office/drawing/2012/chart" uri="{CE6537A1-D6FC-4f65-9D91-7224C49458BB}">
                  <c15:layout>
                    <c:manualLayout>
                      <c:w val="0.052073139325264"/>
                      <c:h val="0.0826763170440799"/>
                    </c:manualLayout>
                  </c15:layout>
                </c:ext>
              </c:extLst>
            </c:dLbl>
            <c:dLbl>
              <c:idx val="3"/>
              <c:layout>
                <c:manualLayout>
                  <c:x val="-4.7213807745425751E-17"/>
                  <c:y val="-5.38677009265245E-2"/>
                </c:manualLayout>
              </c:layout>
              <c:spPr>
                <a:noFill/>
                <a:ln>
                  <a:noFill/>
                </a:ln>
                <a:effectLst/>
              </c:spPr>
              <c:txPr>
                <a:bodyPr rot="0" spcFirstLastPara="1" vertOverflow="ellipsis" vert="horz" wrap="square" lIns="38100" tIns="19050" rIns="38100" bIns="19050" anchor="ctr" anchorCtr="1">
                  <a:no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ctr"/>
              <c:showVal val="1"/>
              <c:extLst>
                <c:ext xmlns:c15="http://schemas.microsoft.com/office/drawing/2012/chart" uri="{CE6537A1-D6FC-4f65-9D91-7224C49458BB}">
                  <c15:layout>
                    <c:manualLayout>
                      <c:w val="0.0572237960339943"/>
                      <c:h val="0.0912951491923238"/>
                    </c:manualLayout>
                  </c15:layout>
                </c:ext>
              </c:extLst>
            </c:dLbl>
            <c:dLbl>
              <c:idx val="4"/>
              <c:layout>
                <c:manualLayout>
                  <c:x val="2.5753283543651804E-3"/>
                  <c:y val="-3.8784744667097588E-2"/>
                </c:manualLayout>
              </c:layout>
              <c:spPr>
                <a:noFill/>
                <a:ln>
                  <a:noFill/>
                </a:ln>
                <a:effectLst/>
              </c:spPr>
              <c:txPr>
                <a:bodyPr rot="0" spcFirstLastPara="1" vertOverflow="ellipsis" vert="horz" wrap="square" lIns="38100" tIns="19050" rIns="38100" bIns="19050" anchor="ctr" anchorCtr="1">
                  <a:no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ctr"/>
              <c:showVal val="1"/>
              <c:extLst>
                <c:ext xmlns:c15="http://schemas.microsoft.com/office/drawing/2012/chart" uri="{CE6537A1-D6FC-4f65-9D91-7224C49458BB}">
                  <c15:layout>
                    <c:manualLayout>
                      <c:w val="0.0572237960339943"/>
                      <c:h val="0.0826763170440799"/>
                    </c:manualLayout>
                  </c15:layout>
                </c:ext>
              </c:extLst>
            </c:dLbl>
            <c:dLbl>
              <c:idx val="5"/>
              <c:layout>
                <c:manualLayout>
                  <c:x val="0"/>
                  <c:y val="-3.0165912518853609E-2"/>
                </c:manualLayout>
              </c:layout>
              <c:dLblPos val="ctr"/>
              <c:showVal val="1"/>
              <c:extLst>
                <c:ext xmlns:c15="http://schemas.microsoft.com/office/drawing/2012/chart" uri="{CE6537A1-D6FC-4f65-9D91-7224C49458BB}">
                  <c15:layout/>
                </c:ext>
              </c:extLst>
            </c:dLbl>
            <c:dLbl>
              <c:idx val="6"/>
              <c:layout>
                <c:manualLayout>
                  <c:x val="-9.4427615490851502E-17"/>
                  <c:y val="-3.016591251885371E-2"/>
                </c:manualLayout>
              </c:layout>
              <c:dLblPos val="ctr"/>
              <c:showVal val="1"/>
              <c:extLst>
                <c:ext xmlns:c15="http://schemas.microsoft.com/office/drawing/2012/chart" uri="{CE6537A1-D6FC-4f65-9D91-7224C49458BB}">
                  <c15:layout/>
                </c:ext>
              </c:extLst>
            </c:dLbl>
            <c:dLbl>
              <c:idx val="7"/>
              <c:layout>
                <c:manualLayout>
                  <c:x val="-9.4427615490851502E-17"/>
                  <c:y val="-2.5856496444731706E-2"/>
                </c:manualLayout>
              </c:layout>
              <c:dLblPos val="ctr"/>
              <c:showVal val="1"/>
              <c:extLst>
                <c:ext xmlns:c15="http://schemas.microsoft.com/office/drawing/2012/chart" uri="{CE6537A1-D6FC-4f65-9D91-7224C49458BB}">
                  <c15:layout/>
                </c:ext>
              </c:extLst>
            </c:dLbl>
            <c:dLbl>
              <c:idx val="8"/>
              <c:layout>
                <c:manualLayout>
                  <c:x val="0"/>
                  <c:y val="-3.447532859297571E-2"/>
                </c:manualLayout>
              </c:layout>
              <c:dLblPos val="ctr"/>
              <c:showVal val="1"/>
              <c:extLst>
                <c:ext xmlns:c15="http://schemas.microsoft.com/office/drawing/2012/chart" uri="{CE6537A1-D6FC-4f65-9D91-7224C49458BB}">
                  <c15:layout/>
                </c:ext>
              </c:extLst>
            </c:dLbl>
            <c:dLbl>
              <c:idx val="9"/>
              <c:layout>
                <c:manualLayout>
                  <c:x val="0"/>
                  <c:y val="-3.8784744667097693E-2"/>
                </c:manualLayout>
              </c:layout>
              <c:dLblPos val="ctr"/>
              <c:showVal val="1"/>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ctr"/>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中华民族共同体意识</c:v>
                </c:pt>
                <c:pt idx="1">
                  <c:v>中华民族</c:v>
                </c:pt>
                <c:pt idx="2">
                  <c:v>中华民族共同体</c:v>
                </c:pt>
                <c:pt idx="3">
                  <c:v>铸牢中华民族共同体</c:v>
                </c:pt>
                <c:pt idx="4">
                  <c:v>共同体意识</c:v>
                </c:pt>
                <c:pt idx="5">
                  <c:v>民族团结进步</c:v>
                </c:pt>
                <c:pt idx="6">
                  <c:v>新时代</c:v>
                </c:pt>
                <c:pt idx="7">
                  <c:v>实践路径</c:v>
                </c:pt>
                <c:pt idx="8">
                  <c:v>民族地区</c:v>
                </c:pt>
                <c:pt idx="9">
                  <c:v>民族团结</c:v>
                </c:pt>
              </c:strCache>
            </c:strRef>
          </c:cat>
          <c:val>
            <c:numRef>
              <c:f>Sheet1!$B$2:$B$11</c:f>
              <c:numCache>
                <c:formatCode>General</c:formatCode>
                <c:ptCount val="10"/>
                <c:pt idx="0">
                  <c:v>1567</c:v>
                </c:pt>
                <c:pt idx="1">
                  <c:v>488</c:v>
                </c:pt>
                <c:pt idx="2">
                  <c:v>180</c:v>
                </c:pt>
                <c:pt idx="3">
                  <c:v>170</c:v>
                </c:pt>
                <c:pt idx="4">
                  <c:v>126</c:v>
                </c:pt>
                <c:pt idx="5">
                  <c:v>50</c:v>
                </c:pt>
                <c:pt idx="6">
                  <c:v>44</c:v>
                </c:pt>
                <c:pt idx="7">
                  <c:v>32</c:v>
                </c:pt>
                <c:pt idx="8">
                  <c:v>29</c:v>
                </c:pt>
                <c:pt idx="9">
                  <c:v>28</c:v>
                </c:pt>
              </c:numCache>
            </c:numRef>
          </c:val>
        </c:ser>
        <c:ser>
          <c:idx val="1"/>
          <c:order val="1"/>
          <c:tx>
            <c:strRef>
              <c:f>Sheet1!$C$1</c:f>
              <c:strCache>
                <c:ptCount val="1"/>
                <c:pt idx="0">
                  <c:v>列2</c:v>
                </c:pt>
              </c:strCache>
            </c:strRef>
          </c:tx>
          <c:spPr>
            <a:solidFill>
              <a:schemeClr val="accent2"/>
            </a:solidFill>
            <a:ln>
              <a:noFill/>
            </a:ln>
            <a:effectLst/>
          </c:spPr>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ctr"/>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中华民族共同体意识</c:v>
                </c:pt>
                <c:pt idx="1">
                  <c:v>中华民族</c:v>
                </c:pt>
                <c:pt idx="2">
                  <c:v>中华民族共同体</c:v>
                </c:pt>
                <c:pt idx="3">
                  <c:v>铸牢中华民族共同体</c:v>
                </c:pt>
                <c:pt idx="4">
                  <c:v>共同体意识</c:v>
                </c:pt>
                <c:pt idx="5">
                  <c:v>民族团结进步</c:v>
                </c:pt>
                <c:pt idx="6">
                  <c:v>新时代</c:v>
                </c:pt>
                <c:pt idx="7">
                  <c:v>实践路径</c:v>
                </c:pt>
                <c:pt idx="8">
                  <c:v>民族地区</c:v>
                </c:pt>
                <c:pt idx="9">
                  <c:v>民族团结</c:v>
                </c:pt>
              </c:strCache>
            </c:strRef>
          </c:cat>
          <c:val>
            <c:numRef>
              <c:f>Sheet1!$C$2:$C$11</c:f>
              <c:numCache>
                <c:formatCode>General</c:formatCode>
                <c:ptCount val="10"/>
              </c:numCache>
            </c:numRef>
          </c:val>
        </c:ser>
        <c:dLbls>
          <c:showVal val="1"/>
        </c:dLbls>
        <c:overlap val="100"/>
        <c:axId val="116760960"/>
        <c:axId val="116762496"/>
      </c:barChart>
      <c:catAx>
        <c:axId val="116760960"/>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16762496"/>
        <c:crosses val="autoZero"/>
        <c:auto val="1"/>
        <c:lblAlgn val="ctr"/>
        <c:lblOffset val="100"/>
      </c:catAx>
      <c:valAx>
        <c:axId val="116762496"/>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16760960"/>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452</TotalTime>
  <Pages>8</Pages>
  <Words>900</Words>
  <Characters>5136</Characters>
  <Application>Microsoft Office Word</Application>
  <DocSecurity>0</DocSecurity>
  <Lines>42</Lines>
  <Paragraphs>12</Paragraphs>
  <ScaleCrop>false</ScaleCrop>
  <Company/>
  <LinksUpToDate>false</LinksUpToDate>
  <CharactersWithSpaces>6024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哈斯同力嘎</dc:creator>
  <cp:lastModifiedBy>1</cp:lastModifiedBy>
  <cp:revision>88</cp:revision>
  <cp:lastPrinted>2022-03-30T14:09:00Z</cp:lastPrinted>
  <dcterms:created xsi:type="dcterms:W3CDTF">2022-03-23T11:28:00Z</dcterms:created>
  <dcterms:modified xsi:type="dcterms:W3CDTF">2025-03-04T22:42:00Z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602AFCBA638E4F5C85DE1FD136360413</vt:lpwstr>
  </property>
</Properties>
</file>