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13E0" w:rsidRDefault="007115C6">
      <w:pPr>
        <w:ind w:firstLine="482"/>
        <w:jc w:val="center"/>
        <w:rPr>
          <w:rFonts w:asciiTheme="minorEastAsia" w:hAnsiTheme="minorEastAsia"/>
          <w:b/>
          <w:sz w:val="24"/>
          <w:szCs w:val="24"/>
        </w:rPr>
      </w:pPr>
      <w:r>
        <w:rPr>
          <w:rFonts w:asciiTheme="minorEastAsia" w:hAnsiTheme="minorEastAsia" w:hint="eastAsia"/>
          <w:b/>
          <w:sz w:val="24"/>
          <w:szCs w:val="24"/>
        </w:rPr>
        <w:t>研发费用加计扣除、研发投入与企业财务风险</w:t>
      </w:r>
    </w:p>
    <w:p w:rsidR="00F013E0" w:rsidRDefault="00CD1B7D">
      <w:pPr>
        <w:ind w:firstLine="420"/>
        <w:jc w:val="center"/>
        <w:rPr>
          <w:rFonts w:asciiTheme="minorEastAsia" w:hAnsiTheme="minorEastAsia"/>
          <w:szCs w:val="21"/>
        </w:rPr>
      </w:pPr>
      <w:r>
        <w:rPr>
          <w:rFonts w:asciiTheme="minorEastAsia" w:hAnsiTheme="minorEastAsia" w:hint="eastAsia"/>
          <w:szCs w:val="21"/>
        </w:rPr>
        <w:t xml:space="preserve"> </w:t>
      </w:r>
    </w:p>
    <w:p w:rsidR="00F013E0" w:rsidRDefault="007115C6">
      <w:pPr>
        <w:ind w:firstLineChars="0" w:firstLine="0"/>
        <w:rPr>
          <w:rFonts w:ascii="楷体" w:eastAsia="楷体" w:hAnsi="楷体"/>
          <w:szCs w:val="21"/>
        </w:rPr>
      </w:pPr>
      <w:r>
        <w:rPr>
          <w:rFonts w:hint="eastAsia"/>
        </w:rPr>
        <w:t>【</w:t>
      </w:r>
      <w:r>
        <w:rPr>
          <w:rFonts w:hint="eastAsia"/>
          <w:b/>
          <w:bCs/>
        </w:rPr>
        <w:t>摘要</w:t>
      </w:r>
      <w:r>
        <w:rPr>
          <w:rFonts w:hint="eastAsia"/>
        </w:rPr>
        <w:t>】</w:t>
      </w:r>
      <w:r>
        <w:rPr>
          <w:rFonts w:ascii="楷体" w:eastAsia="楷体" w:hAnsi="楷体" w:hint="eastAsia"/>
          <w:szCs w:val="21"/>
        </w:rPr>
        <w:t>越来越多的学者开始研究“研发</w:t>
      </w:r>
      <w:r w:rsidR="00837E42">
        <w:rPr>
          <w:rFonts w:ascii="楷体" w:eastAsia="楷体" w:hAnsi="楷体" w:hint="eastAsia"/>
          <w:szCs w:val="21"/>
        </w:rPr>
        <w:t>投入与财务风险的关系”，但他们往往只是研究这两者之间的关系，未考虑税收优惠</w:t>
      </w:r>
      <w:r>
        <w:rPr>
          <w:rFonts w:ascii="楷体" w:eastAsia="楷体" w:hAnsi="楷体" w:hint="eastAsia"/>
          <w:szCs w:val="21"/>
        </w:rPr>
        <w:t>的调节作用。本文引入研发费用加计扣除强度作为调节变量</w:t>
      </w:r>
      <w:r w:rsidR="00837E42">
        <w:rPr>
          <w:rFonts w:ascii="楷体" w:eastAsia="楷体" w:hAnsi="楷体" w:hint="eastAsia"/>
          <w:szCs w:val="21"/>
        </w:rPr>
        <w:t>，</w:t>
      </w:r>
      <w:r>
        <w:rPr>
          <w:rFonts w:ascii="楷体" w:eastAsia="楷体" w:hAnsi="楷体" w:hint="eastAsia"/>
          <w:szCs w:val="21"/>
        </w:rPr>
        <w:t>构建新的模型，对2017—2021年A股上市的电子设备制造企业的面板数据进行实证研究分析。结果表明，研发投入强度越大财务风险越大，而研发费用加计扣除政策可以缓解高研发投入带来的财务风险。</w:t>
      </w:r>
    </w:p>
    <w:p w:rsidR="00F013E0" w:rsidRDefault="007115C6">
      <w:pPr>
        <w:ind w:firstLineChars="0" w:firstLine="0"/>
        <w:rPr>
          <w:szCs w:val="21"/>
        </w:rPr>
      </w:pPr>
      <w:r>
        <w:rPr>
          <w:rFonts w:hint="eastAsia"/>
          <w:b/>
        </w:rPr>
        <w:t>【关键词】</w:t>
      </w:r>
      <w:r>
        <w:rPr>
          <w:rFonts w:ascii="楷体" w:eastAsia="楷体" w:hAnsi="楷体" w:hint="eastAsia"/>
          <w:szCs w:val="21"/>
        </w:rPr>
        <w:t>研发费用加计扣除、研发投入、财务风险、电子设备制造企业</w:t>
      </w:r>
    </w:p>
    <w:p w:rsidR="00F013E0" w:rsidRDefault="00CD1B7D">
      <w:pPr>
        <w:ind w:firstLineChars="0" w:firstLine="0"/>
      </w:pPr>
      <w:r>
        <w:rPr>
          <w:rFonts w:hint="eastAsia"/>
        </w:rPr>
        <w:t xml:space="preserve"> </w:t>
      </w:r>
    </w:p>
    <w:p w:rsidR="00F013E0" w:rsidRDefault="007115C6">
      <w:pPr>
        <w:ind w:firstLine="422"/>
        <w:rPr>
          <w:rFonts w:asciiTheme="minorEastAsia" w:hAnsiTheme="minorEastAsia"/>
          <w:b/>
          <w:szCs w:val="21"/>
        </w:rPr>
      </w:pPr>
      <w:r>
        <w:rPr>
          <w:rFonts w:asciiTheme="minorEastAsia" w:hAnsiTheme="minorEastAsia" w:hint="eastAsia"/>
          <w:b/>
          <w:szCs w:val="21"/>
        </w:rPr>
        <w:t>一、引言</w:t>
      </w:r>
    </w:p>
    <w:p w:rsidR="00F013E0" w:rsidRDefault="007115C6">
      <w:pPr>
        <w:ind w:firstLine="420"/>
        <w:rPr>
          <w:szCs w:val="21"/>
        </w:rPr>
      </w:pPr>
      <w:r>
        <w:rPr>
          <w:rFonts w:hint="eastAsia"/>
          <w:szCs w:val="21"/>
        </w:rPr>
        <w:t>《中国制造</w:t>
      </w:r>
      <w:r>
        <w:rPr>
          <w:rFonts w:hint="eastAsia"/>
          <w:szCs w:val="21"/>
        </w:rPr>
        <w:t>2025</w:t>
      </w:r>
      <w:r>
        <w:rPr>
          <w:rFonts w:hint="eastAsia"/>
          <w:szCs w:val="21"/>
        </w:rPr>
        <w:t>》指出我国企业想要从低端走向高端就要加强自主创新能力，并对符合条件的企业提出了有关研发经费与专利数的目标任务。但是，企业创新不是一蹴而就的，研发过程存在一定的机会成本，有可能占用企业大量现金流，从而引发企业财务风险</w:t>
      </w:r>
      <w:r>
        <w:rPr>
          <w:rFonts w:hint="eastAsia"/>
          <w:szCs w:val="21"/>
          <w:vertAlign w:val="superscript"/>
        </w:rPr>
        <w:t>[14]</w:t>
      </w:r>
      <w:r>
        <w:rPr>
          <w:rFonts w:hint="eastAsia"/>
          <w:szCs w:val="21"/>
        </w:rPr>
        <w:t>。考虑到企业研发创新的不确定性与市场环境的复杂性，我国政府出台了许多税收优惠</w:t>
      </w:r>
      <w:r w:rsidR="00837E42">
        <w:rPr>
          <w:rFonts w:hint="eastAsia"/>
          <w:szCs w:val="21"/>
        </w:rPr>
        <w:t>政策与财政补贴政策，希望能激励企业进行研发创新。其中</w:t>
      </w:r>
      <w:r>
        <w:rPr>
          <w:rFonts w:hint="eastAsia"/>
          <w:szCs w:val="21"/>
        </w:rPr>
        <w:t>税收优惠主要是通过加计扣除研发费用来减</w:t>
      </w:r>
      <w:r w:rsidR="00190D54">
        <w:rPr>
          <w:rFonts w:hint="eastAsia"/>
          <w:szCs w:val="21"/>
        </w:rPr>
        <w:t>轻企业的税负，从而间接缓解企业的经济压力。</w:t>
      </w:r>
      <w:r w:rsidR="00190D54">
        <w:rPr>
          <w:rFonts w:hint="eastAsia"/>
          <w:szCs w:val="21"/>
        </w:rPr>
        <w:t>90</w:t>
      </w:r>
      <w:r w:rsidR="00190D54">
        <w:rPr>
          <w:rFonts w:hint="eastAsia"/>
          <w:szCs w:val="21"/>
        </w:rPr>
        <w:t>年代，</w:t>
      </w:r>
      <w:r>
        <w:rPr>
          <w:rFonts w:hint="eastAsia"/>
          <w:szCs w:val="21"/>
        </w:rPr>
        <w:t>我国部分国有企业</w:t>
      </w:r>
      <w:r w:rsidR="00190D54">
        <w:rPr>
          <w:rFonts w:hint="eastAsia"/>
          <w:szCs w:val="21"/>
        </w:rPr>
        <w:t>开始享受</w:t>
      </w:r>
      <w:r>
        <w:rPr>
          <w:rFonts w:hint="eastAsia"/>
          <w:szCs w:val="21"/>
        </w:rPr>
        <w:t>研发费用加计扣除政策，并在后续逐步扩大政策的范围与扣除比例。甚至在</w:t>
      </w:r>
      <w:r>
        <w:rPr>
          <w:rFonts w:hint="eastAsia"/>
          <w:szCs w:val="21"/>
        </w:rPr>
        <w:t>2021</w:t>
      </w:r>
      <w:r w:rsidR="00190D54">
        <w:rPr>
          <w:rFonts w:hint="eastAsia"/>
          <w:szCs w:val="21"/>
        </w:rPr>
        <w:t>年的《工作报告》中指出，</w:t>
      </w:r>
      <w:r>
        <w:rPr>
          <w:rFonts w:hint="eastAsia"/>
          <w:szCs w:val="21"/>
        </w:rPr>
        <w:t>2021</w:t>
      </w:r>
      <w:r>
        <w:rPr>
          <w:rFonts w:hint="eastAsia"/>
          <w:szCs w:val="21"/>
        </w:rPr>
        <w:t>年制造企业的加计扣除比例上调至</w:t>
      </w:r>
      <w:r>
        <w:rPr>
          <w:rFonts w:hint="eastAsia"/>
          <w:szCs w:val="21"/>
        </w:rPr>
        <w:t>100%</w:t>
      </w:r>
      <w:r>
        <w:rPr>
          <w:rFonts w:hint="eastAsia"/>
          <w:szCs w:val="21"/>
        </w:rPr>
        <w:t>。</w:t>
      </w:r>
    </w:p>
    <w:p w:rsidR="00F013E0" w:rsidRDefault="007115C6">
      <w:pPr>
        <w:ind w:firstLine="420"/>
        <w:rPr>
          <w:szCs w:val="21"/>
        </w:rPr>
      </w:pPr>
      <w:r>
        <w:rPr>
          <w:rFonts w:hint="eastAsia"/>
          <w:szCs w:val="21"/>
        </w:rPr>
        <w:t>对于加</w:t>
      </w:r>
      <w:r w:rsidR="00BE4E18">
        <w:rPr>
          <w:rFonts w:hint="eastAsia"/>
          <w:szCs w:val="21"/>
        </w:rPr>
        <w:t>计扣除研发费用能否激励企业创新，学者们做了大量的</w:t>
      </w:r>
      <w:r>
        <w:rPr>
          <w:rFonts w:hint="eastAsia"/>
          <w:szCs w:val="21"/>
        </w:rPr>
        <w:t>研究。大部分学者认为研发费用加计扣除政策</w:t>
      </w:r>
      <w:r w:rsidR="001C2C0B">
        <w:rPr>
          <w:rFonts w:hint="eastAsia"/>
          <w:szCs w:val="21"/>
        </w:rPr>
        <w:t>能起到积极作用</w:t>
      </w:r>
      <w:r>
        <w:rPr>
          <w:rFonts w:hint="eastAsia"/>
          <w:szCs w:val="21"/>
        </w:rPr>
        <w:t>。关于研发投入强度会对企业财务风险产生影响，学者们也进行了热烈的探讨，但是由于选择的研究对象、方法的不同，得到的结果也不尽相同。本文以</w:t>
      </w:r>
      <w:r>
        <w:rPr>
          <w:rFonts w:hint="eastAsia"/>
          <w:szCs w:val="21"/>
        </w:rPr>
        <w:t>2017</w:t>
      </w:r>
      <w:r>
        <w:rPr>
          <w:rFonts w:hint="eastAsia"/>
          <w:szCs w:val="21"/>
        </w:rPr>
        <w:t>—</w:t>
      </w:r>
      <w:r>
        <w:rPr>
          <w:rFonts w:hint="eastAsia"/>
          <w:szCs w:val="21"/>
        </w:rPr>
        <w:t>2021</w:t>
      </w:r>
      <w:r>
        <w:rPr>
          <w:rFonts w:hint="eastAsia"/>
          <w:szCs w:val="21"/>
        </w:rPr>
        <w:t>年</w:t>
      </w:r>
      <w:r>
        <w:rPr>
          <w:rFonts w:hint="eastAsia"/>
          <w:szCs w:val="21"/>
        </w:rPr>
        <w:t>A</w:t>
      </w:r>
      <w:r>
        <w:rPr>
          <w:rFonts w:hint="eastAsia"/>
          <w:szCs w:val="21"/>
        </w:rPr>
        <w:t>股上市的电子设备制造企业的面板数据为样本，实证研究分析研发投入对于财务风险的影响，并引入研发费用加计扣除强度这一调节变量，以此探讨研发费用加计扣除的效用性，为企业完善研发投入提供参考依据。</w:t>
      </w:r>
    </w:p>
    <w:p w:rsidR="00F013E0" w:rsidRDefault="007115C6">
      <w:pPr>
        <w:ind w:firstLine="422"/>
        <w:rPr>
          <w:rFonts w:asciiTheme="minorEastAsia" w:hAnsiTheme="minorEastAsia"/>
          <w:b/>
          <w:szCs w:val="21"/>
        </w:rPr>
      </w:pPr>
      <w:r>
        <w:rPr>
          <w:rFonts w:asciiTheme="minorEastAsia" w:hAnsiTheme="minorEastAsia" w:hint="eastAsia"/>
          <w:b/>
          <w:szCs w:val="21"/>
        </w:rPr>
        <w:t>二、</w:t>
      </w:r>
      <w:r>
        <w:rPr>
          <w:rFonts w:hint="eastAsia"/>
          <w:b/>
        </w:rPr>
        <w:t>文献回顾与假设提出</w:t>
      </w:r>
    </w:p>
    <w:p w:rsidR="00F013E0" w:rsidRDefault="007115C6">
      <w:pPr>
        <w:ind w:firstLine="420"/>
        <w:rPr>
          <w:rFonts w:asciiTheme="minorEastAsia" w:eastAsiaTheme="minorEastAsia" w:hAnsiTheme="minorEastAsia"/>
          <w:szCs w:val="21"/>
        </w:rPr>
      </w:pPr>
      <w:r>
        <w:rPr>
          <w:rFonts w:asciiTheme="minorEastAsia" w:hAnsiTheme="minorEastAsia" w:hint="eastAsia"/>
          <w:szCs w:val="21"/>
        </w:rPr>
        <w:t>（一）研发费用加计扣除与研发投入</w:t>
      </w:r>
    </w:p>
    <w:p w:rsidR="00F013E0" w:rsidRDefault="007115C6">
      <w:pPr>
        <w:ind w:firstLine="420"/>
      </w:pPr>
      <w:r>
        <w:rPr>
          <w:rFonts w:hint="eastAsia"/>
        </w:rPr>
        <w:t>创新活动本身存在的风险性、外部性和信息不对称性会降低企业自主研发的意愿，仅单纯地依靠市场的自我调节能力并不能有效带动企业进行创新，这个时候就需要政府帮忙调动企业创新的积极性</w:t>
      </w:r>
      <w:r>
        <w:rPr>
          <w:rFonts w:hint="eastAsia"/>
          <w:vertAlign w:val="superscript"/>
        </w:rPr>
        <w:t>[1]</w:t>
      </w:r>
      <w:r>
        <w:rPr>
          <w:rFonts w:hint="eastAsia"/>
        </w:rPr>
        <w:t>。由于</w:t>
      </w:r>
      <w:r>
        <w:rPr>
          <w:rFonts w:hint="eastAsia"/>
        </w:rPr>
        <w:t>R&amp;D</w:t>
      </w:r>
      <w:r>
        <w:rPr>
          <w:rFonts w:hint="eastAsia"/>
        </w:rPr>
        <w:t>资本的使用成本会随着企业所得税的征收而增加，因此为了激励企业创新，政府会对一些符合条件的企业和研发项目提供一定比例的研发费用加计扣</w:t>
      </w:r>
      <w:r>
        <w:rPr>
          <w:rFonts w:hint="eastAsia"/>
        </w:rPr>
        <w:lastRenderedPageBreak/>
        <w:t>除优惠。</w:t>
      </w:r>
    </w:p>
    <w:p w:rsidR="00F013E0" w:rsidRDefault="007115C6">
      <w:pPr>
        <w:ind w:firstLine="420"/>
      </w:pPr>
      <w:r>
        <w:rPr>
          <w:rFonts w:asciiTheme="minorEastAsia" w:hAnsiTheme="minorEastAsia" w:hint="eastAsia"/>
          <w:szCs w:val="21"/>
        </w:rPr>
        <w:t>对于研发费用加计扣除力度与研发强度的关系，学者们做了大量的研究。</w:t>
      </w:r>
      <w:r>
        <w:rPr>
          <w:rFonts w:hint="eastAsia"/>
        </w:rPr>
        <w:t>孙莹</w:t>
      </w:r>
      <w:r>
        <w:rPr>
          <w:rFonts w:hint="eastAsia"/>
          <w:vertAlign w:val="superscript"/>
        </w:rPr>
        <w:t>[2]</w:t>
      </w:r>
      <w:r>
        <w:rPr>
          <w:rFonts w:hint="eastAsia"/>
        </w:rPr>
        <w:t>从成本的视角出发，认为加计扣除政策可以降低企业的人力成本，从而使企业获得更多</w:t>
      </w:r>
      <w:r w:rsidR="001C2C0B">
        <w:rPr>
          <w:rFonts w:hint="eastAsia"/>
        </w:rPr>
        <w:t>的</w:t>
      </w:r>
      <w:r>
        <w:rPr>
          <w:rFonts w:hint="eastAsia"/>
        </w:rPr>
        <w:t>融资。任海云</w:t>
      </w:r>
      <w:r>
        <w:rPr>
          <w:rFonts w:hint="eastAsia"/>
          <w:vertAlign w:val="superscript"/>
        </w:rPr>
        <w:t>[3]</w:t>
      </w:r>
      <w:r w:rsidR="001C2C0B">
        <w:rPr>
          <w:rFonts w:hint="eastAsia"/>
        </w:rPr>
        <w:t>从现金流的角度出发，他认为加计扣除研发费用可以较少</w:t>
      </w:r>
      <w:r>
        <w:rPr>
          <w:rFonts w:hint="eastAsia"/>
        </w:rPr>
        <w:t>企业</w:t>
      </w:r>
      <w:r w:rsidR="001C2C0B">
        <w:rPr>
          <w:rFonts w:hint="eastAsia"/>
        </w:rPr>
        <w:t>档期应缴纳的</w:t>
      </w:r>
      <w:r>
        <w:rPr>
          <w:rFonts w:hint="eastAsia"/>
        </w:rPr>
        <w:t>所得税，从而节约企业当期的现金流，有利于促进企业加的研发投入力度。根据上述分析，本文提出假设</w:t>
      </w:r>
      <w:r>
        <w:rPr>
          <w:rFonts w:hint="eastAsia"/>
        </w:rPr>
        <w:t>1</w:t>
      </w:r>
      <w:r>
        <w:rPr>
          <w:rFonts w:hint="eastAsia"/>
        </w:rPr>
        <w:t>：</w:t>
      </w:r>
    </w:p>
    <w:p w:rsidR="00F013E0" w:rsidRDefault="007115C6">
      <w:pPr>
        <w:ind w:firstLine="420"/>
      </w:pPr>
      <w:r>
        <w:rPr>
          <w:rFonts w:hint="eastAsia"/>
        </w:rPr>
        <w:t>H1</w:t>
      </w:r>
      <w:r>
        <w:rPr>
          <w:rFonts w:hint="eastAsia"/>
        </w:rPr>
        <w:t>：研发费用加计扣除与企业研发投入正相关。</w:t>
      </w:r>
    </w:p>
    <w:p w:rsidR="00F013E0" w:rsidRDefault="007115C6">
      <w:pPr>
        <w:numPr>
          <w:ilvl w:val="0"/>
          <w:numId w:val="1"/>
        </w:numPr>
        <w:ind w:firstLine="420"/>
        <w:rPr>
          <w:rFonts w:asciiTheme="minorEastAsia" w:hAnsiTheme="minorEastAsia"/>
          <w:szCs w:val="21"/>
        </w:rPr>
      </w:pPr>
      <w:r>
        <w:rPr>
          <w:rFonts w:asciiTheme="minorEastAsia" w:hAnsiTheme="minorEastAsia" w:hint="eastAsia"/>
          <w:szCs w:val="21"/>
        </w:rPr>
        <w:t>研发投入与财务风险</w:t>
      </w:r>
    </w:p>
    <w:p w:rsidR="00F013E0" w:rsidRDefault="007115C6">
      <w:pPr>
        <w:ind w:firstLine="420"/>
        <w:rPr>
          <w:rFonts w:asciiTheme="minorEastAsia" w:hAnsiTheme="minorEastAsia"/>
          <w:szCs w:val="21"/>
        </w:rPr>
      </w:pPr>
      <w:r>
        <w:rPr>
          <w:rFonts w:asciiTheme="minorEastAsia" w:hAnsiTheme="minorEastAsia" w:hint="eastAsia"/>
          <w:szCs w:val="21"/>
        </w:rPr>
        <w:t>根据相机财务理论可知，对于像电子设备这种技术密集型企业而言，研发产品是企业获得高额利润的主要途径。为此，企业管理层往往愿意在研发项目中投入大量的资金。但是，形成无形资产的不确定性，以及形成资产后带来的经济效益具有滞后性等都可能会影响企业资金的正常运转，为企业带来财务风险，甚至导致企业破产。</w:t>
      </w:r>
    </w:p>
    <w:p w:rsidR="00F013E0" w:rsidRDefault="00190D54">
      <w:pPr>
        <w:ind w:firstLine="420"/>
      </w:pPr>
      <w:r>
        <w:rPr>
          <w:rFonts w:asciiTheme="minorEastAsia" w:hAnsiTheme="minorEastAsia" w:hint="eastAsia"/>
          <w:szCs w:val="21"/>
        </w:rPr>
        <w:t>对于研发投入与财务风险的研究</w:t>
      </w:r>
      <w:r w:rsidR="007115C6">
        <w:rPr>
          <w:rFonts w:asciiTheme="minorEastAsia" w:hAnsiTheme="minorEastAsia" w:hint="eastAsia"/>
          <w:szCs w:val="21"/>
        </w:rPr>
        <w:t>，现有的研究结论主要分为三点。第一，部分学者认为两者呈现一种U型关系；比如郝清民</w:t>
      </w:r>
      <w:r w:rsidR="007115C6">
        <w:rPr>
          <w:rFonts w:asciiTheme="minorEastAsia" w:hAnsiTheme="minorEastAsia" w:hint="eastAsia"/>
          <w:szCs w:val="21"/>
          <w:vertAlign w:val="superscript"/>
        </w:rPr>
        <w:t>[4]</w:t>
      </w:r>
      <w:r w:rsidR="007115C6">
        <w:rPr>
          <w:rFonts w:asciiTheme="minorEastAsia" w:hAnsiTheme="minorEastAsia"/>
          <w:szCs w:val="21"/>
        </w:rPr>
        <w:t>对制造业</w:t>
      </w:r>
      <w:r w:rsidR="007115C6">
        <w:rPr>
          <w:rFonts w:asciiTheme="minorEastAsia" w:hAnsiTheme="minorEastAsia" w:hint="eastAsia"/>
          <w:szCs w:val="21"/>
        </w:rPr>
        <w:t>的研发投入与财务风险的关系进行了研究，他认为两者呈倒U型关系，而融资约束会加剧二者之间的倒U型关系。第二，部分学者认为两者负相关；孙艳梅</w:t>
      </w:r>
      <w:r w:rsidR="007115C6">
        <w:rPr>
          <w:rFonts w:asciiTheme="minorEastAsia" w:hAnsiTheme="minorEastAsia" w:hint="eastAsia"/>
          <w:szCs w:val="21"/>
          <w:vertAlign w:val="superscript"/>
        </w:rPr>
        <w:t>[5]</w:t>
      </w:r>
      <w:r w:rsidR="007115C6">
        <w:rPr>
          <w:rFonts w:asciiTheme="minorEastAsia" w:hAnsiTheme="minorEastAsia" w:hint="eastAsia"/>
          <w:szCs w:val="21"/>
        </w:rPr>
        <w:t>研究表明企业进行创造性的研发活动，能够缓解信息不对称，进而能够缓解企业承担的风险。第三，大部分学者认为研发投入与财务风险是正相关的关系。</w:t>
      </w:r>
      <w:r w:rsidR="007115C6">
        <w:t>钟田丽</w:t>
      </w:r>
      <w:r w:rsidR="007115C6">
        <w:rPr>
          <w:rFonts w:hint="eastAsia"/>
          <w:vertAlign w:val="superscript"/>
        </w:rPr>
        <w:t>[6]</w:t>
      </w:r>
      <w:r w:rsidR="007115C6">
        <w:rPr>
          <w:rFonts w:hint="eastAsia"/>
        </w:rPr>
        <w:t>研究认为当研发投入过多的专用资产时，债权人风险增加，债权人就会向企业收取更多回报，从而增加企业的财务风险。郑淑霞</w:t>
      </w:r>
      <w:r w:rsidR="007115C6">
        <w:rPr>
          <w:rFonts w:hint="eastAsia"/>
          <w:vertAlign w:val="superscript"/>
        </w:rPr>
        <w:t>[7]</w:t>
      </w:r>
      <w:r w:rsidR="007115C6">
        <w:rPr>
          <w:rFonts w:hint="eastAsia"/>
        </w:rPr>
        <w:t>对制造企业的研发强度与绩效风险的关系进行了实证检验，发现研发投入越大绩效风险越高。陈标金</w:t>
      </w:r>
      <w:r w:rsidR="007115C6">
        <w:rPr>
          <w:rFonts w:hint="eastAsia"/>
          <w:vertAlign w:val="superscript"/>
        </w:rPr>
        <w:t>[8]</w:t>
      </w:r>
      <w:r>
        <w:rPr>
          <w:rFonts w:hint="eastAsia"/>
        </w:rPr>
        <w:t>利用</w:t>
      </w:r>
      <w:r w:rsidR="007115C6">
        <w:rPr>
          <w:rFonts w:cs="Times New Roman" w:hint="eastAsia"/>
          <w:szCs w:val="21"/>
        </w:rPr>
        <w:t>A</w:t>
      </w:r>
      <w:r>
        <w:rPr>
          <w:rFonts w:hint="eastAsia"/>
        </w:rPr>
        <w:t>股上市的非金融企业的数据进行实证研究</w:t>
      </w:r>
      <w:r w:rsidR="007115C6">
        <w:rPr>
          <w:rFonts w:hint="eastAsia"/>
        </w:rPr>
        <w:t>，</w:t>
      </w:r>
      <w:r w:rsidR="007115C6">
        <w:rPr>
          <w:rFonts w:asciiTheme="minorEastAsia" w:hAnsiTheme="minorEastAsia"/>
          <w:szCs w:val="21"/>
        </w:rPr>
        <w:t xml:space="preserve"> </w:t>
      </w:r>
      <w:r>
        <w:rPr>
          <w:rFonts w:asciiTheme="minorEastAsia" w:hAnsiTheme="minorEastAsia"/>
          <w:szCs w:val="21"/>
        </w:rPr>
        <w:t>发现</w:t>
      </w:r>
      <w:r w:rsidR="007115C6">
        <w:rPr>
          <w:rFonts w:asciiTheme="minorEastAsia" w:hAnsiTheme="minorEastAsia" w:hint="eastAsia"/>
          <w:szCs w:val="21"/>
        </w:rPr>
        <w:t>企业财务风险与企业研发投入强度存在显著的正相关关系。基于上述梳理，再结合我国电子设备制造企业研发投入大，但发展不成熟的特点，本文提出假设</w:t>
      </w:r>
      <w:r w:rsidR="007115C6">
        <w:rPr>
          <w:rFonts w:cs="Times New Roman" w:hint="eastAsia"/>
          <w:szCs w:val="21"/>
        </w:rPr>
        <w:t>2</w:t>
      </w:r>
      <w:r w:rsidR="007115C6">
        <w:rPr>
          <w:rFonts w:asciiTheme="minorEastAsia" w:hAnsiTheme="minorEastAsia" w:hint="eastAsia"/>
          <w:szCs w:val="21"/>
        </w:rPr>
        <w:t>：</w:t>
      </w:r>
    </w:p>
    <w:p w:rsidR="00F013E0" w:rsidRDefault="007115C6">
      <w:pPr>
        <w:ind w:firstLine="420"/>
        <w:rPr>
          <w:rFonts w:asciiTheme="minorEastAsia" w:hAnsiTheme="minorEastAsia"/>
          <w:szCs w:val="21"/>
        </w:rPr>
      </w:pPr>
      <w:r>
        <w:rPr>
          <w:rFonts w:cs="Times New Roman"/>
          <w:szCs w:val="21"/>
        </w:rPr>
        <w:t>H</w:t>
      </w:r>
      <w:r>
        <w:rPr>
          <w:szCs w:val="21"/>
        </w:rPr>
        <w:t>2</w:t>
      </w:r>
      <w:r>
        <w:rPr>
          <w:rFonts w:asciiTheme="minorEastAsia" w:hAnsiTheme="minorEastAsia" w:hint="eastAsia"/>
          <w:szCs w:val="21"/>
        </w:rPr>
        <w:t>：研发强度与企业财务风险正相关。</w:t>
      </w:r>
    </w:p>
    <w:p w:rsidR="00F013E0" w:rsidRDefault="007115C6">
      <w:pPr>
        <w:ind w:firstLine="420"/>
        <w:rPr>
          <w:rFonts w:asciiTheme="minorEastAsia" w:hAnsiTheme="minorEastAsia"/>
          <w:szCs w:val="21"/>
        </w:rPr>
      </w:pPr>
      <w:r>
        <w:rPr>
          <w:rFonts w:asciiTheme="minorEastAsia" w:hAnsiTheme="minorEastAsia" w:hint="eastAsia"/>
          <w:szCs w:val="21"/>
        </w:rPr>
        <w:t>（三）研发费用加计扣除的调节效应</w:t>
      </w:r>
    </w:p>
    <w:p w:rsidR="00F013E0" w:rsidRDefault="007115C6">
      <w:pPr>
        <w:ind w:firstLine="420"/>
        <w:rPr>
          <w:rFonts w:asciiTheme="minorEastAsia" w:hAnsiTheme="minorEastAsia"/>
          <w:szCs w:val="21"/>
        </w:rPr>
      </w:pPr>
      <w:r>
        <w:rPr>
          <w:rFonts w:asciiTheme="minorEastAsia" w:hAnsiTheme="minorEastAsia" w:hint="eastAsia"/>
          <w:szCs w:val="21"/>
        </w:rPr>
        <w:t>根据信号传递理论可知，研发费用加计扣除政策不仅可以</w:t>
      </w:r>
      <w:r w:rsidR="001C2C0B">
        <w:rPr>
          <w:rFonts w:asciiTheme="minorEastAsia" w:hAnsiTheme="minorEastAsia" w:hint="eastAsia"/>
          <w:szCs w:val="21"/>
        </w:rPr>
        <w:t>为企业</w:t>
      </w:r>
      <w:r>
        <w:rPr>
          <w:rFonts w:asciiTheme="minorEastAsia" w:hAnsiTheme="minorEastAsia" w:hint="eastAsia"/>
          <w:szCs w:val="21"/>
        </w:rPr>
        <w:t>节约现金流，还能够向外传递积极正面的信息，为企业获得更多的外部融资，降低企业的财务风险。张亚连</w:t>
      </w:r>
      <w:r>
        <w:rPr>
          <w:rFonts w:asciiTheme="minorEastAsia" w:hAnsiTheme="minorEastAsia" w:hint="eastAsia"/>
          <w:szCs w:val="21"/>
          <w:vertAlign w:val="superscript"/>
        </w:rPr>
        <w:t>[9]</w:t>
      </w:r>
      <w:r>
        <w:rPr>
          <w:rFonts w:asciiTheme="minorEastAsia" w:hAnsiTheme="minorEastAsia" w:hint="eastAsia"/>
          <w:szCs w:val="21"/>
        </w:rPr>
        <w:t>借鉴</w:t>
      </w:r>
      <w:r w:rsidR="009A23EF">
        <w:rPr>
          <w:rFonts w:asciiTheme="minorEastAsia" w:hAnsiTheme="minorEastAsia" w:hint="eastAsia"/>
          <w:szCs w:val="21"/>
        </w:rPr>
        <w:t>欧美等国家的具体实践</w:t>
      </w:r>
      <w:r>
        <w:rPr>
          <w:rFonts w:asciiTheme="minorEastAsia" w:hAnsiTheme="minorEastAsia" w:hint="eastAsia"/>
          <w:szCs w:val="21"/>
        </w:rPr>
        <w:t>，分析发现，较大的税收优惠能够降低企业风险。樊勇</w:t>
      </w:r>
      <w:r>
        <w:rPr>
          <w:rFonts w:asciiTheme="minorEastAsia" w:hAnsiTheme="minorEastAsia" w:hint="eastAsia"/>
          <w:szCs w:val="21"/>
          <w:vertAlign w:val="superscript"/>
        </w:rPr>
        <w:t>[10]</w:t>
      </w:r>
      <w:r>
        <w:rPr>
          <w:rFonts w:asciiTheme="minorEastAsia" w:hAnsiTheme="minorEastAsia" w:hint="eastAsia"/>
          <w:szCs w:val="21"/>
        </w:rPr>
        <w:t>以A股上市公司为样本，实证研究指出，税前扣除的范围</w:t>
      </w:r>
      <w:r w:rsidR="009A23EF">
        <w:rPr>
          <w:rFonts w:asciiTheme="minorEastAsia" w:hAnsiTheme="minorEastAsia" w:hint="eastAsia"/>
          <w:szCs w:val="21"/>
        </w:rPr>
        <w:t>扩大</w:t>
      </w:r>
      <w:r>
        <w:rPr>
          <w:rFonts w:asciiTheme="minorEastAsia" w:hAnsiTheme="minorEastAsia" w:hint="eastAsia"/>
          <w:szCs w:val="21"/>
        </w:rPr>
        <w:t>，</w:t>
      </w:r>
      <w:r w:rsidR="009A23EF">
        <w:rPr>
          <w:rFonts w:asciiTheme="minorEastAsia" w:hAnsiTheme="minorEastAsia" w:hint="eastAsia"/>
          <w:szCs w:val="21"/>
        </w:rPr>
        <w:t>可以促进更多</w:t>
      </w:r>
      <w:r>
        <w:rPr>
          <w:rFonts w:asciiTheme="minorEastAsia" w:hAnsiTheme="minorEastAsia" w:hint="eastAsia"/>
          <w:szCs w:val="21"/>
        </w:rPr>
        <w:t>行业的发展。于为宁</w:t>
      </w:r>
      <w:r>
        <w:rPr>
          <w:rFonts w:asciiTheme="minorEastAsia" w:hAnsiTheme="minorEastAsia" w:hint="eastAsia"/>
          <w:szCs w:val="21"/>
          <w:vertAlign w:val="superscript"/>
        </w:rPr>
        <w:t>[11]</w:t>
      </w:r>
      <w:r>
        <w:rPr>
          <w:rFonts w:asciiTheme="minorEastAsia" w:hAnsiTheme="minorEastAsia" w:hint="eastAsia"/>
          <w:szCs w:val="21"/>
        </w:rPr>
        <w:t>认为对高新技术企业实施研发费用加计扣除政策可以缓减企业负担，在一定程度上能够降低企业面临的财务风险。</w:t>
      </w:r>
    </w:p>
    <w:p w:rsidR="00F013E0" w:rsidRDefault="007115C6">
      <w:pPr>
        <w:ind w:firstLine="420"/>
        <w:rPr>
          <w:rFonts w:asciiTheme="minorEastAsia" w:hAnsiTheme="minorEastAsia"/>
          <w:szCs w:val="21"/>
        </w:rPr>
      </w:pPr>
      <w:r>
        <w:rPr>
          <w:rFonts w:asciiTheme="minorEastAsia" w:hAnsiTheme="minorEastAsia" w:hint="eastAsia"/>
          <w:szCs w:val="21"/>
        </w:rPr>
        <w:lastRenderedPageBreak/>
        <w:t>通过梳理文献，我们可以知道，两个正相关关系不能简单地传递得出结论，大部分学者认为加大研发费用加计扣除强度会降低企业的财务风险。那么研发费用加计扣除政策能否缓解研发强度对企业财务风险的影响？基于这个想法，本文提出假设</w:t>
      </w:r>
      <w:r>
        <w:rPr>
          <w:rFonts w:cs="Times New Roman" w:hint="eastAsia"/>
          <w:szCs w:val="21"/>
        </w:rPr>
        <w:t>3</w:t>
      </w:r>
      <w:r>
        <w:rPr>
          <w:rFonts w:asciiTheme="minorEastAsia" w:hAnsiTheme="minorEastAsia" w:hint="eastAsia"/>
          <w:szCs w:val="21"/>
        </w:rPr>
        <w:t>：</w:t>
      </w:r>
    </w:p>
    <w:p w:rsidR="00F013E0" w:rsidRDefault="007115C6">
      <w:pPr>
        <w:ind w:firstLine="420"/>
        <w:rPr>
          <w:rFonts w:asciiTheme="minorEastAsia" w:hAnsiTheme="minorEastAsia"/>
          <w:szCs w:val="21"/>
        </w:rPr>
      </w:pPr>
      <w:r>
        <w:rPr>
          <w:rFonts w:cs="Times New Roman" w:hint="eastAsia"/>
          <w:szCs w:val="21"/>
        </w:rPr>
        <w:t>H</w:t>
      </w:r>
      <w:r>
        <w:rPr>
          <w:szCs w:val="21"/>
        </w:rPr>
        <w:t>3</w:t>
      </w:r>
      <w:r>
        <w:rPr>
          <w:rFonts w:asciiTheme="minorEastAsia" w:hAnsiTheme="minorEastAsia" w:hint="eastAsia"/>
          <w:szCs w:val="21"/>
        </w:rPr>
        <w:t>：研发费用加计扣除对研发投入对企业财务风险的影响具有负向调节作用。</w:t>
      </w:r>
    </w:p>
    <w:p w:rsidR="00F013E0" w:rsidRDefault="007115C6">
      <w:pPr>
        <w:ind w:firstLine="422"/>
        <w:rPr>
          <w:rFonts w:asciiTheme="minorEastAsia" w:hAnsiTheme="minorEastAsia"/>
          <w:b/>
          <w:szCs w:val="21"/>
        </w:rPr>
      </w:pPr>
      <w:r>
        <w:rPr>
          <w:rFonts w:asciiTheme="minorEastAsia" w:hAnsiTheme="minorEastAsia" w:hint="eastAsia"/>
          <w:b/>
          <w:szCs w:val="21"/>
        </w:rPr>
        <w:t>三、研究设计</w:t>
      </w:r>
    </w:p>
    <w:p w:rsidR="00F013E0" w:rsidRDefault="007115C6">
      <w:pPr>
        <w:ind w:firstLine="420"/>
      </w:pPr>
      <w:r>
        <w:rPr>
          <w:rFonts w:hint="eastAsia"/>
        </w:rPr>
        <w:t>（一）样本数据来源</w:t>
      </w:r>
    </w:p>
    <w:p w:rsidR="00F013E0" w:rsidRDefault="007115C6">
      <w:pPr>
        <w:ind w:firstLine="420"/>
      </w:pPr>
      <w:r>
        <w:rPr>
          <w:rFonts w:hint="eastAsia"/>
        </w:rPr>
        <w:t>本文以</w:t>
      </w:r>
      <w:r>
        <w:rPr>
          <w:rFonts w:hint="eastAsia"/>
        </w:rPr>
        <w:t>2017</w:t>
      </w:r>
      <w:r>
        <w:rPr>
          <w:rFonts w:hint="eastAsia"/>
        </w:rPr>
        <w:t>—</w:t>
      </w:r>
      <w:r>
        <w:rPr>
          <w:rFonts w:hint="eastAsia"/>
        </w:rPr>
        <w:t>2021</w:t>
      </w:r>
      <w:r>
        <w:rPr>
          <w:rFonts w:hint="eastAsia"/>
        </w:rPr>
        <w:t>年上交所、深交所</w:t>
      </w:r>
      <w:r>
        <w:rPr>
          <w:rFonts w:hint="eastAsia"/>
        </w:rPr>
        <w:t>A</w:t>
      </w:r>
      <w:r>
        <w:rPr>
          <w:rFonts w:hint="eastAsia"/>
        </w:rPr>
        <w:t>股上市的通信和其他电子设备制造业为样本，剔除以下样本：（</w:t>
      </w:r>
      <w:r>
        <w:rPr>
          <w:rFonts w:hint="eastAsia"/>
        </w:rPr>
        <w:t>1</w:t>
      </w:r>
      <w:r>
        <w:rPr>
          <w:rFonts w:hint="eastAsia"/>
        </w:rPr>
        <w:t>）</w:t>
      </w:r>
      <w:r>
        <w:rPr>
          <w:rFonts w:hint="eastAsia"/>
        </w:rPr>
        <w:t>ST</w:t>
      </w:r>
      <w:r>
        <w:rPr>
          <w:rFonts w:hint="eastAsia"/>
        </w:rPr>
        <w:t>企业；（</w:t>
      </w:r>
      <w:r>
        <w:rPr>
          <w:rFonts w:hint="eastAsia"/>
        </w:rPr>
        <w:t>2</w:t>
      </w:r>
      <w:r>
        <w:rPr>
          <w:rFonts w:hint="eastAsia"/>
        </w:rPr>
        <w:t>）</w:t>
      </w:r>
      <w:r>
        <w:rPr>
          <w:rFonts w:hint="eastAsia"/>
        </w:rPr>
        <w:t>2017</w:t>
      </w:r>
      <w:r>
        <w:rPr>
          <w:rFonts w:hint="eastAsia"/>
        </w:rPr>
        <w:t>—</w:t>
      </w:r>
      <w:r>
        <w:rPr>
          <w:rFonts w:hint="eastAsia"/>
        </w:rPr>
        <w:t>2021</w:t>
      </w:r>
      <w:r>
        <w:rPr>
          <w:rFonts w:hint="eastAsia"/>
        </w:rPr>
        <w:t>年主要变量信息披露不完全的样本。最终获得有效样本企业</w:t>
      </w:r>
      <w:r>
        <w:rPr>
          <w:rFonts w:hint="eastAsia"/>
        </w:rPr>
        <w:t>301</w:t>
      </w:r>
      <w:r>
        <w:rPr>
          <w:rFonts w:hint="eastAsia"/>
        </w:rPr>
        <w:t>家，共</w:t>
      </w:r>
      <w:r>
        <w:rPr>
          <w:rFonts w:hint="eastAsia"/>
        </w:rPr>
        <w:t>1505</w:t>
      </w:r>
      <w:r>
        <w:rPr>
          <w:rFonts w:hint="eastAsia"/>
        </w:rPr>
        <w:t>个有效观测值。以上数据来自于国泰安数据库，然后利用</w:t>
      </w:r>
      <w:r>
        <w:rPr>
          <w:rFonts w:hint="eastAsia"/>
        </w:rPr>
        <w:t>EXCEL</w:t>
      </w:r>
      <w:r>
        <w:rPr>
          <w:rFonts w:hint="eastAsia"/>
        </w:rPr>
        <w:t>表格以及</w:t>
      </w:r>
      <w:r>
        <w:rPr>
          <w:rFonts w:hint="eastAsia"/>
        </w:rPr>
        <w:t>stata15.0</w:t>
      </w:r>
      <w:r>
        <w:rPr>
          <w:rFonts w:hint="eastAsia"/>
        </w:rPr>
        <w:t>等软件完成相关数据的处理与检验。</w:t>
      </w:r>
    </w:p>
    <w:p w:rsidR="00F013E0" w:rsidRDefault="007115C6">
      <w:pPr>
        <w:ind w:firstLine="420"/>
      </w:pPr>
      <w:r>
        <w:rPr>
          <w:rFonts w:hint="eastAsia"/>
        </w:rPr>
        <w:t>（二）变量选择</w:t>
      </w:r>
    </w:p>
    <w:p w:rsidR="00F013E0" w:rsidRDefault="007115C6">
      <w:pPr>
        <w:ind w:firstLine="420"/>
      </w:pPr>
      <w:r>
        <w:rPr>
          <w:rFonts w:hint="eastAsia"/>
        </w:rPr>
        <w:t>1.</w:t>
      </w:r>
      <w:r>
        <w:rPr>
          <w:rFonts w:hint="eastAsia"/>
        </w:rPr>
        <w:t>因变量：财务风险。本文根据</w:t>
      </w:r>
      <w:r>
        <w:rPr>
          <w:rFonts w:hint="eastAsia"/>
        </w:rPr>
        <w:t>Altman</w:t>
      </w:r>
      <w:r>
        <w:rPr>
          <w:rFonts w:hint="eastAsia"/>
        </w:rPr>
        <w:t>提出的</w:t>
      </w:r>
      <w:r>
        <w:rPr>
          <w:rFonts w:hint="eastAsia"/>
        </w:rPr>
        <w:t>Z</w:t>
      </w:r>
      <w:r>
        <w:rPr>
          <w:rFonts w:hint="eastAsia"/>
        </w:rPr>
        <w:t>指数作为衡量财务风险的指标，</w:t>
      </w:r>
      <w:r>
        <w:rPr>
          <w:rFonts w:hint="eastAsia"/>
        </w:rPr>
        <w:t>Z</w:t>
      </w:r>
      <w:r>
        <w:rPr>
          <w:rFonts w:hint="eastAsia"/>
        </w:rPr>
        <w:t>值高于</w:t>
      </w:r>
      <w:r>
        <w:rPr>
          <w:rFonts w:hint="eastAsia"/>
        </w:rPr>
        <w:t>2.90</w:t>
      </w:r>
      <w:r>
        <w:rPr>
          <w:rFonts w:hint="eastAsia"/>
        </w:rPr>
        <w:t>说明企业没有破产风险；</w:t>
      </w:r>
      <w:r>
        <w:rPr>
          <w:rFonts w:hint="eastAsia"/>
        </w:rPr>
        <w:t>Z</w:t>
      </w:r>
      <w:r>
        <w:rPr>
          <w:rFonts w:hint="eastAsia"/>
        </w:rPr>
        <w:t>值介于</w:t>
      </w:r>
      <w:r>
        <w:rPr>
          <w:rFonts w:hint="eastAsia"/>
        </w:rPr>
        <w:t>1.20</w:t>
      </w:r>
      <w:r>
        <w:rPr>
          <w:rFonts w:hint="eastAsia"/>
        </w:rPr>
        <w:t>与</w:t>
      </w:r>
      <w:r>
        <w:rPr>
          <w:rFonts w:hint="eastAsia"/>
        </w:rPr>
        <w:t>2.90</w:t>
      </w:r>
      <w:r>
        <w:rPr>
          <w:rFonts w:hint="eastAsia"/>
        </w:rPr>
        <w:t>之间时，企业处于灰色区域；</w:t>
      </w:r>
      <w:r>
        <w:rPr>
          <w:rFonts w:hint="eastAsia"/>
        </w:rPr>
        <w:t>Z</w:t>
      </w:r>
      <w:r>
        <w:rPr>
          <w:rFonts w:hint="eastAsia"/>
        </w:rPr>
        <w:t>值低于</w:t>
      </w:r>
      <w:r>
        <w:rPr>
          <w:rFonts w:hint="eastAsia"/>
        </w:rPr>
        <w:t>1.20</w:t>
      </w:r>
      <w:r>
        <w:rPr>
          <w:rFonts w:hint="eastAsia"/>
        </w:rPr>
        <w:t>时，企业面临破产危机。</w:t>
      </w:r>
    </w:p>
    <w:p w:rsidR="00F013E0" w:rsidRDefault="007115C6" w:rsidP="00837E42">
      <w:pPr>
        <w:ind w:firstLine="420"/>
      </w:pPr>
      <w:r>
        <w:rPr>
          <w:rFonts w:hint="eastAsia"/>
        </w:rPr>
        <w:t xml:space="preserve">    </w:t>
      </w:r>
      <w:r>
        <w:t>Z=1.20X1+1.40X2+3.30X3+0.60X4+0.99X5</w:t>
      </w:r>
      <w:r>
        <w:rPr>
          <w:rFonts w:hint="eastAsia"/>
        </w:rPr>
        <w:t>。</w:t>
      </w:r>
      <w:r>
        <w:rPr>
          <w:rFonts w:hint="eastAsia"/>
        </w:rPr>
        <w:t>X</w:t>
      </w:r>
      <w:r>
        <w:rPr>
          <w:rFonts w:hint="eastAsia"/>
        </w:rPr>
        <w:t>的含义如图所示：</w:t>
      </w:r>
    </w:p>
    <w:p w:rsidR="00837E42" w:rsidRDefault="00837E42" w:rsidP="0013286A">
      <w:pPr>
        <w:ind w:firstLine="420"/>
        <w:jc w:val="center"/>
      </w:pPr>
      <w:bookmarkStart w:id="0" w:name="_GoBack"/>
      <w:r>
        <w:rPr>
          <w:noProof/>
        </w:rPr>
        <w:drawing>
          <wp:inline distT="0" distB="0" distL="0" distR="0">
            <wp:extent cx="4007454" cy="699715"/>
            <wp:effectExtent l="0" t="0" r="0" b="571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4031331" cy="703884"/>
                    </a:xfrm>
                    <a:prstGeom prst="rect">
                      <a:avLst/>
                    </a:prstGeom>
                    <a:noFill/>
                  </pic:spPr>
                </pic:pic>
              </a:graphicData>
            </a:graphic>
          </wp:inline>
        </w:drawing>
      </w:r>
      <w:bookmarkEnd w:id="0"/>
    </w:p>
    <w:p w:rsidR="0013286A" w:rsidRPr="0013286A" w:rsidRDefault="0013286A" w:rsidP="0013286A">
      <w:pPr>
        <w:ind w:firstLine="360"/>
        <w:jc w:val="center"/>
        <w:rPr>
          <w:sz w:val="18"/>
        </w:rPr>
      </w:pPr>
      <w:r w:rsidRPr="0013286A">
        <w:rPr>
          <w:rFonts w:hint="eastAsia"/>
          <w:sz w:val="18"/>
        </w:rPr>
        <w:t>图</w:t>
      </w:r>
      <w:r w:rsidRPr="0013286A">
        <w:rPr>
          <w:rFonts w:hint="eastAsia"/>
          <w:sz w:val="18"/>
        </w:rPr>
        <w:t>1 X</w:t>
      </w:r>
      <w:r w:rsidRPr="0013286A">
        <w:rPr>
          <w:rFonts w:hint="eastAsia"/>
          <w:sz w:val="18"/>
        </w:rPr>
        <w:t>的含义</w:t>
      </w:r>
    </w:p>
    <w:p w:rsidR="00F013E0" w:rsidRDefault="007115C6" w:rsidP="00837E42">
      <w:pPr>
        <w:ind w:firstLine="420"/>
      </w:pPr>
      <w:r>
        <w:rPr>
          <w:rFonts w:hint="eastAsia"/>
        </w:rPr>
        <w:t>2.</w:t>
      </w:r>
      <w:r>
        <w:rPr>
          <w:rFonts w:hint="eastAsia"/>
        </w:rPr>
        <w:t>自变量：研发强度。参考杨记军等</w:t>
      </w:r>
      <w:r>
        <w:rPr>
          <w:rFonts w:hint="eastAsia"/>
          <w:vertAlign w:val="superscript"/>
        </w:rPr>
        <w:t>[12]</w:t>
      </w:r>
      <w:r>
        <w:rPr>
          <w:rFonts w:hint="eastAsia"/>
        </w:rPr>
        <w:t>的做法，本文选自“研发费用</w:t>
      </w:r>
      <w:r>
        <w:rPr>
          <w:rFonts w:hint="eastAsia"/>
        </w:rPr>
        <w:t>/</w:t>
      </w:r>
      <w:r>
        <w:rPr>
          <w:rFonts w:hint="eastAsia"/>
        </w:rPr>
        <w:t>营业收入”作为衡量企业研发强度的指标，以消除指标“研发费用</w:t>
      </w:r>
      <w:r>
        <w:rPr>
          <w:rFonts w:hint="eastAsia"/>
        </w:rPr>
        <w:t>/</w:t>
      </w:r>
      <w:r>
        <w:rPr>
          <w:rFonts w:hint="eastAsia"/>
        </w:rPr>
        <w:t>总资产”中企业规模带来的影响。</w:t>
      </w:r>
    </w:p>
    <w:p w:rsidR="00F013E0" w:rsidRDefault="007115C6">
      <w:pPr>
        <w:ind w:firstLine="420"/>
      </w:pPr>
      <w:r>
        <w:rPr>
          <w:rFonts w:hint="eastAsia"/>
        </w:rPr>
        <w:t>3.</w:t>
      </w:r>
      <w:r>
        <w:rPr>
          <w:rFonts w:hint="eastAsia"/>
        </w:rPr>
        <w:t>调节变量：研发费用加计扣除。参考刘圻等</w:t>
      </w:r>
      <w:r>
        <w:rPr>
          <w:rFonts w:hint="eastAsia"/>
          <w:vertAlign w:val="superscript"/>
        </w:rPr>
        <w:t>[13]</w:t>
      </w:r>
      <w:r>
        <w:rPr>
          <w:rFonts w:hint="eastAsia"/>
        </w:rPr>
        <w:t>的做法，考虑到企业规模的影响，本文以研发费用和加计扣除比例和企业所得税税率三者的乘积得到的优惠额度来除以企业营业收入表示研发费用加计扣除强度，以此衡量企业得到的研发费用加计扣除优惠力度。</w:t>
      </w:r>
    </w:p>
    <w:p w:rsidR="00F013E0" w:rsidRDefault="007115C6">
      <w:pPr>
        <w:ind w:firstLine="420"/>
      </w:pPr>
      <w:r>
        <w:rPr>
          <w:rFonts w:hint="eastAsia"/>
        </w:rPr>
        <w:t>4.</w:t>
      </w:r>
      <w:r>
        <w:rPr>
          <w:rFonts w:hint="eastAsia"/>
        </w:rPr>
        <w:t>控制变量：本文以企业规模、资产负债率、企业年龄</w:t>
      </w:r>
      <w:r>
        <w:rPr>
          <w:rFonts w:hint="eastAsia"/>
        </w:rPr>
        <w:t xml:space="preserve"> </w:t>
      </w:r>
      <w:r>
        <w:rPr>
          <w:rFonts w:hint="eastAsia"/>
        </w:rPr>
        <w:t>、企业性质作为主要控制变量。各个变量的</w:t>
      </w:r>
      <w:r w:rsidR="0013286A">
        <w:rPr>
          <w:rFonts w:hint="eastAsia"/>
        </w:rPr>
        <w:t>解释</w:t>
      </w:r>
      <w:r>
        <w:rPr>
          <w:rFonts w:hint="eastAsia"/>
        </w:rPr>
        <w:t>如表</w:t>
      </w:r>
      <w:r>
        <w:rPr>
          <w:rFonts w:hint="eastAsia"/>
        </w:rPr>
        <w:t>1</w:t>
      </w:r>
      <w:r>
        <w:rPr>
          <w:rFonts w:hint="eastAsia"/>
        </w:rPr>
        <w:t>所示。</w:t>
      </w:r>
    </w:p>
    <w:p w:rsidR="00F013E0" w:rsidRDefault="007115C6">
      <w:pPr>
        <w:pStyle w:val="a3"/>
        <w:ind w:firstLine="400"/>
        <w:jc w:val="center"/>
        <w:rPr>
          <w:rFonts w:eastAsia="宋体"/>
        </w:rPr>
      </w:pPr>
      <w:r>
        <w:t>表</w:t>
      </w:r>
      <w:r>
        <w:t xml:space="preserve"> </w:t>
      </w:r>
      <w:r w:rsidR="006C584B">
        <w:fldChar w:fldCharType="begin"/>
      </w:r>
      <w:r>
        <w:instrText xml:space="preserve"> SEQ </w:instrText>
      </w:r>
      <w:r>
        <w:instrText>表</w:instrText>
      </w:r>
      <w:r>
        <w:instrText xml:space="preserve"> \* ARABIC </w:instrText>
      </w:r>
      <w:r w:rsidR="006C584B">
        <w:fldChar w:fldCharType="separate"/>
      </w:r>
      <w:r>
        <w:t>1</w:t>
      </w:r>
      <w:r w:rsidR="006C584B">
        <w:fldChar w:fldCharType="end"/>
      </w:r>
      <w:r>
        <w:rPr>
          <w:rFonts w:hint="eastAsia"/>
        </w:rPr>
        <w:t xml:space="preserve"> </w:t>
      </w:r>
      <w:r>
        <w:rPr>
          <w:rFonts w:hint="eastAsia"/>
        </w:rPr>
        <w:t>变量定义</w:t>
      </w:r>
    </w:p>
    <w:tbl>
      <w:tblPr>
        <w:tblStyle w:val="a8"/>
        <w:tblW w:w="0" w:type="auto"/>
        <w:jc w:val="center"/>
        <w:tblBorders>
          <w:left w:val="none" w:sz="0" w:space="0" w:color="auto"/>
          <w:right w:val="none" w:sz="0" w:space="0" w:color="auto"/>
        </w:tblBorders>
        <w:tblLook w:val="04A0"/>
      </w:tblPr>
      <w:tblGrid>
        <w:gridCol w:w="1242"/>
        <w:gridCol w:w="2694"/>
        <w:gridCol w:w="850"/>
        <w:gridCol w:w="3736"/>
      </w:tblGrid>
      <w:tr w:rsidR="00F013E0">
        <w:trPr>
          <w:jc w:val="center"/>
        </w:trPr>
        <w:tc>
          <w:tcPr>
            <w:tcW w:w="1242" w:type="dxa"/>
          </w:tcPr>
          <w:p w:rsidR="00F013E0" w:rsidRDefault="007115C6">
            <w:pPr>
              <w:spacing w:line="240" w:lineRule="auto"/>
              <w:ind w:firstLineChars="111"/>
              <w:jc w:val="center"/>
              <w:rPr>
                <w:rFonts w:asciiTheme="minorEastAsia" w:hAnsiTheme="minorEastAsia"/>
                <w:sz w:val="18"/>
                <w:szCs w:val="18"/>
              </w:rPr>
            </w:pPr>
            <w:r>
              <w:rPr>
                <w:rFonts w:asciiTheme="minorEastAsia" w:hAnsiTheme="minorEastAsia" w:hint="eastAsia"/>
                <w:sz w:val="18"/>
                <w:szCs w:val="18"/>
              </w:rPr>
              <w:t>变量</w:t>
            </w: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名称</w:t>
            </w:r>
          </w:p>
        </w:tc>
        <w:tc>
          <w:tcPr>
            <w:tcW w:w="850"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符号</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含义</w:t>
            </w:r>
          </w:p>
        </w:tc>
      </w:tr>
      <w:tr w:rsidR="00F013E0">
        <w:trPr>
          <w:jc w:val="center"/>
        </w:trPr>
        <w:tc>
          <w:tcPr>
            <w:tcW w:w="1242" w:type="dxa"/>
          </w:tcPr>
          <w:p w:rsidR="00F013E0" w:rsidRDefault="007115C6">
            <w:pPr>
              <w:spacing w:line="240" w:lineRule="auto"/>
              <w:ind w:firstLineChars="111"/>
              <w:jc w:val="center"/>
              <w:rPr>
                <w:rFonts w:asciiTheme="minorEastAsia" w:hAnsiTheme="minorEastAsia"/>
                <w:sz w:val="18"/>
                <w:szCs w:val="18"/>
              </w:rPr>
            </w:pPr>
            <w:r>
              <w:rPr>
                <w:rFonts w:asciiTheme="minorEastAsia" w:hAnsiTheme="minorEastAsia" w:hint="eastAsia"/>
                <w:sz w:val="18"/>
                <w:szCs w:val="18"/>
              </w:rPr>
              <w:t>因变量</w:t>
            </w: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财务风险</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Risk</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Z值</w:t>
            </w:r>
          </w:p>
        </w:tc>
      </w:tr>
      <w:tr w:rsidR="00F013E0">
        <w:trPr>
          <w:jc w:val="center"/>
        </w:trPr>
        <w:tc>
          <w:tcPr>
            <w:tcW w:w="1242" w:type="dxa"/>
          </w:tcPr>
          <w:p w:rsidR="00F013E0" w:rsidRDefault="007115C6">
            <w:pPr>
              <w:spacing w:line="240" w:lineRule="auto"/>
              <w:ind w:firstLineChars="111"/>
              <w:jc w:val="center"/>
              <w:rPr>
                <w:rFonts w:asciiTheme="minorEastAsia" w:hAnsiTheme="minorEastAsia"/>
                <w:sz w:val="18"/>
                <w:szCs w:val="18"/>
              </w:rPr>
            </w:pPr>
            <w:r>
              <w:rPr>
                <w:rFonts w:asciiTheme="minorEastAsia" w:hAnsiTheme="minorEastAsia" w:hint="eastAsia"/>
                <w:sz w:val="18"/>
                <w:szCs w:val="18"/>
              </w:rPr>
              <w:t>自变量</w:t>
            </w: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研发投入强度</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RDI</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研发投入/营业收入*100%</w:t>
            </w:r>
          </w:p>
        </w:tc>
      </w:tr>
      <w:tr w:rsidR="00F013E0">
        <w:trPr>
          <w:jc w:val="center"/>
        </w:trPr>
        <w:tc>
          <w:tcPr>
            <w:tcW w:w="1242" w:type="dxa"/>
          </w:tcPr>
          <w:p w:rsidR="00F013E0" w:rsidRDefault="007115C6">
            <w:pPr>
              <w:spacing w:line="240" w:lineRule="auto"/>
              <w:ind w:firstLineChars="0" w:firstLine="0"/>
              <w:jc w:val="center"/>
              <w:rPr>
                <w:rFonts w:asciiTheme="minorEastAsia" w:hAnsiTheme="minorEastAsia"/>
                <w:sz w:val="18"/>
                <w:szCs w:val="18"/>
              </w:rPr>
            </w:pPr>
            <w:r>
              <w:rPr>
                <w:rFonts w:asciiTheme="minorEastAsia" w:hAnsiTheme="minorEastAsia" w:hint="eastAsia"/>
                <w:sz w:val="18"/>
                <w:szCs w:val="18"/>
              </w:rPr>
              <w:lastRenderedPageBreak/>
              <w:t>调节变量</w:t>
            </w: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研发费用加计扣除强度</w:t>
            </w:r>
          </w:p>
        </w:tc>
        <w:tc>
          <w:tcPr>
            <w:tcW w:w="850" w:type="dxa"/>
          </w:tcPr>
          <w:p w:rsidR="00F013E0" w:rsidRDefault="007115C6">
            <w:pPr>
              <w:spacing w:line="240" w:lineRule="auto"/>
              <w:ind w:firstLineChars="0" w:firstLine="0"/>
              <w:rPr>
                <w:rFonts w:asciiTheme="minorEastAsia" w:hAnsiTheme="minorEastAsia"/>
                <w:sz w:val="18"/>
                <w:szCs w:val="18"/>
              </w:rPr>
            </w:pPr>
            <w:proofErr w:type="spellStart"/>
            <w:r>
              <w:rPr>
                <w:rFonts w:asciiTheme="minorEastAsia" w:hAnsiTheme="minorEastAsia" w:hint="eastAsia"/>
                <w:sz w:val="18"/>
                <w:szCs w:val="18"/>
              </w:rPr>
              <w:t>Ded</w:t>
            </w:r>
            <w:proofErr w:type="spellEnd"/>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（当年研发费用*加计扣除比例*企业所得税税率）/营业收入*100%</w:t>
            </w:r>
          </w:p>
        </w:tc>
      </w:tr>
      <w:tr w:rsidR="00F013E0">
        <w:trPr>
          <w:jc w:val="center"/>
        </w:trPr>
        <w:tc>
          <w:tcPr>
            <w:tcW w:w="1242" w:type="dxa"/>
            <w:vMerge w:val="restart"/>
          </w:tcPr>
          <w:p w:rsidR="00F013E0" w:rsidRDefault="007115C6">
            <w:pPr>
              <w:spacing w:line="240" w:lineRule="auto"/>
              <w:ind w:firstLineChars="0" w:firstLine="0"/>
              <w:jc w:val="center"/>
              <w:rPr>
                <w:rFonts w:asciiTheme="minorEastAsia" w:hAnsiTheme="minorEastAsia"/>
                <w:sz w:val="18"/>
                <w:szCs w:val="18"/>
              </w:rPr>
            </w:pPr>
            <w:r>
              <w:rPr>
                <w:rFonts w:asciiTheme="minorEastAsia" w:hAnsiTheme="minorEastAsia" w:hint="eastAsia"/>
                <w:sz w:val="18"/>
                <w:szCs w:val="18"/>
              </w:rPr>
              <w:t>控制变量</w:t>
            </w: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企业规模</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Size</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资产总额取自然对数</w:t>
            </w:r>
          </w:p>
        </w:tc>
      </w:tr>
      <w:tr w:rsidR="00F013E0">
        <w:trPr>
          <w:jc w:val="center"/>
        </w:trPr>
        <w:tc>
          <w:tcPr>
            <w:tcW w:w="1242" w:type="dxa"/>
            <w:vMerge/>
          </w:tcPr>
          <w:p w:rsidR="00F013E0" w:rsidRDefault="00F013E0">
            <w:pPr>
              <w:spacing w:line="240" w:lineRule="auto"/>
              <w:ind w:firstLine="360"/>
              <w:jc w:val="center"/>
              <w:rPr>
                <w:rFonts w:asciiTheme="minorEastAsia" w:hAnsiTheme="minorEastAsia"/>
                <w:sz w:val="18"/>
                <w:szCs w:val="18"/>
              </w:rPr>
            </w:pP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资产负债率</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Lev</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企业总负债/总资产*100%</w:t>
            </w:r>
          </w:p>
        </w:tc>
      </w:tr>
      <w:tr w:rsidR="00F013E0">
        <w:trPr>
          <w:jc w:val="center"/>
        </w:trPr>
        <w:tc>
          <w:tcPr>
            <w:tcW w:w="1242" w:type="dxa"/>
            <w:vMerge/>
          </w:tcPr>
          <w:p w:rsidR="00F013E0" w:rsidRDefault="00F013E0">
            <w:pPr>
              <w:spacing w:line="240" w:lineRule="auto"/>
              <w:ind w:firstLine="360"/>
              <w:jc w:val="center"/>
              <w:rPr>
                <w:rFonts w:asciiTheme="minorEastAsia" w:hAnsiTheme="minorEastAsia"/>
                <w:sz w:val="18"/>
                <w:szCs w:val="18"/>
              </w:rPr>
            </w:pP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企业年龄</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Age</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上市年限取自然对数</w:t>
            </w:r>
          </w:p>
        </w:tc>
      </w:tr>
      <w:tr w:rsidR="00F013E0">
        <w:trPr>
          <w:jc w:val="center"/>
        </w:trPr>
        <w:tc>
          <w:tcPr>
            <w:tcW w:w="1242" w:type="dxa"/>
            <w:vMerge/>
          </w:tcPr>
          <w:p w:rsidR="00F013E0" w:rsidRDefault="00F013E0">
            <w:pPr>
              <w:spacing w:line="240" w:lineRule="auto"/>
              <w:ind w:firstLine="360"/>
              <w:jc w:val="center"/>
              <w:rPr>
                <w:rFonts w:asciiTheme="minorEastAsia" w:hAnsiTheme="minorEastAsia"/>
                <w:sz w:val="18"/>
                <w:szCs w:val="18"/>
              </w:rPr>
            </w:pPr>
          </w:p>
        </w:tc>
        <w:tc>
          <w:tcPr>
            <w:tcW w:w="2694"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企业性质</w:t>
            </w:r>
          </w:p>
        </w:tc>
        <w:tc>
          <w:tcPr>
            <w:tcW w:w="850" w:type="dxa"/>
          </w:tcPr>
          <w:p w:rsidR="00F013E0" w:rsidRDefault="007115C6">
            <w:pPr>
              <w:spacing w:line="240" w:lineRule="auto"/>
              <w:ind w:firstLineChars="0" w:firstLine="0"/>
              <w:rPr>
                <w:rFonts w:asciiTheme="minorEastAsia" w:hAnsiTheme="minorEastAsia"/>
                <w:sz w:val="18"/>
                <w:szCs w:val="18"/>
              </w:rPr>
            </w:pPr>
            <w:r>
              <w:rPr>
                <w:rFonts w:asciiTheme="minorEastAsia" w:hAnsiTheme="minorEastAsia" w:hint="eastAsia"/>
                <w:sz w:val="18"/>
                <w:szCs w:val="18"/>
              </w:rPr>
              <w:t>CHK</w:t>
            </w:r>
          </w:p>
        </w:tc>
        <w:tc>
          <w:tcPr>
            <w:tcW w:w="3736" w:type="dxa"/>
          </w:tcPr>
          <w:p w:rsidR="00F013E0" w:rsidRDefault="007115C6">
            <w:pPr>
              <w:spacing w:line="240" w:lineRule="auto"/>
              <w:ind w:firstLine="360"/>
              <w:jc w:val="center"/>
              <w:rPr>
                <w:rFonts w:asciiTheme="minorEastAsia" w:hAnsiTheme="minorEastAsia"/>
                <w:sz w:val="18"/>
                <w:szCs w:val="18"/>
              </w:rPr>
            </w:pPr>
            <w:r>
              <w:rPr>
                <w:rFonts w:asciiTheme="minorEastAsia" w:hAnsiTheme="minorEastAsia" w:hint="eastAsia"/>
                <w:sz w:val="18"/>
                <w:szCs w:val="18"/>
              </w:rPr>
              <w:t>国营企业为1，非国营企业为0</w:t>
            </w:r>
          </w:p>
        </w:tc>
      </w:tr>
    </w:tbl>
    <w:p w:rsidR="00F013E0" w:rsidRDefault="007115C6">
      <w:pPr>
        <w:ind w:firstLine="420"/>
      </w:pPr>
      <w:r>
        <w:rPr>
          <w:rFonts w:hint="eastAsia"/>
        </w:rPr>
        <w:t>（三）模型构建</w:t>
      </w:r>
    </w:p>
    <w:p w:rsidR="00F013E0" w:rsidRDefault="007115C6">
      <w:pPr>
        <w:ind w:firstLine="420"/>
      </w:pPr>
      <w:r>
        <w:rPr>
          <w:rFonts w:hint="eastAsia"/>
        </w:rPr>
        <w:t>为研究研发费用加计扣除对研发投入、企业财务风险的影响，本文构建了四个回归模型：</w:t>
      </w:r>
    </w:p>
    <w:p w:rsidR="00F013E0" w:rsidRDefault="007115C6">
      <w:pPr>
        <w:ind w:firstLineChars="0" w:firstLine="0"/>
      </w:pPr>
      <w:proofErr w:type="spellStart"/>
      <w:r>
        <w:rPr>
          <w:rFonts w:hint="eastAsia"/>
        </w:rPr>
        <w:t>RDI</w:t>
      </w:r>
      <w:r>
        <w:rPr>
          <w:rFonts w:hint="eastAsia"/>
          <w:vertAlign w:val="subscript"/>
        </w:rPr>
        <w:t>i,t</w:t>
      </w:r>
      <w:proofErr w:type="spellEnd"/>
      <w:r>
        <w:rPr>
          <w:rFonts w:hint="eastAsia"/>
        </w:rPr>
        <w:t>=</w:t>
      </w:r>
      <w:r>
        <w:rPr>
          <w:szCs w:val="21"/>
        </w:rPr>
        <w:t>α</w:t>
      </w:r>
      <w:r>
        <w:rPr>
          <w:rFonts w:hint="eastAsia"/>
          <w:vertAlign w:val="subscript"/>
        </w:rPr>
        <w:t>0</w:t>
      </w:r>
      <w:r>
        <w:rPr>
          <w:rFonts w:hint="eastAsia"/>
        </w:rPr>
        <w:t>+</w:t>
      </w:r>
      <w:r>
        <w:rPr>
          <w:szCs w:val="21"/>
        </w:rPr>
        <w:t>α</w:t>
      </w:r>
      <w:r>
        <w:rPr>
          <w:rFonts w:hint="eastAsia"/>
          <w:vertAlign w:val="subscript"/>
        </w:rPr>
        <w:t>1</w:t>
      </w:r>
      <w:r>
        <w:rPr>
          <w:rFonts w:asciiTheme="minorEastAsia" w:eastAsiaTheme="minorEastAsia" w:hAnsiTheme="minorEastAsia" w:hint="eastAsia"/>
        </w:rPr>
        <w:t>*</w:t>
      </w:r>
      <w:r>
        <w:rPr>
          <w:rFonts w:hint="eastAsia"/>
          <w:szCs w:val="21"/>
        </w:rPr>
        <w:t>De</w:t>
      </w:r>
      <w:r>
        <w:rPr>
          <w:rFonts w:hint="eastAsia"/>
        </w:rPr>
        <w:t>d</w:t>
      </w:r>
      <w:r>
        <w:rPr>
          <w:rFonts w:hint="eastAsia"/>
          <w:vertAlign w:val="subscript"/>
        </w:rPr>
        <w:t>i,t</w:t>
      </w:r>
      <w:r>
        <w:rPr>
          <w:rFonts w:hint="eastAsia"/>
        </w:rPr>
        <w:t>+</w:t>
      </w:r>
      <w:r>
        <w:rPr>
          <w:szCs w:val="21"/>
        </w:rPr>
        <w:t>α</w:t>
      </w:r>
      <w:r>
        <w:rPr>
          <w:rFonts w:hint="eastAsia"/>
          <w:vertAlign w:val="subscript"/>
        </w:rPr>
        <w:t>2</w:t>
      </w:r>
      <w:r>
        <w:rPr>
          <w:rFonts w:asciiTheme="minorEastAsia" w:eastAsiaTheme="minorEastAsia" w:hAnsiTheme="minorEastAsia" w:hint="eastAsia"/>
        </w:rPr>
        <w:t>*</w:t>
      </w:r>
      <w:r>
        <w:rPr>
          <w:rFonts w:hint="eastAsia"/>
        </w:rPr>
        <w:t>Size</w:t>
      </w:r>
      <w:r>
        <w:rPr>
          <w:rFonts w:hint="eastAsia"/>
          <w:vertAlign w:val="subscript"/>
        </w:rPr>
        <w:t>i,t</w:t>
      </w:r>
      <w:r>
        <w:rPr>
          <w:rFonts w:hint="eastAsia"/>
        </w:rPr>
        <w:t>+</w:t>
      </w:r>
      <w:r>
        <w:rPr>
          <w:szCs w:val="21"/>
        </w:rPr>
        <w:t>α</w:t>
      </w:r>
      <w:r>
        <w:rPr>
          <w:rFonts w:hint="eastAsia"/>
          <w:vertAlign w:val="subscript"/>
        </w:rPr>
        <w:t>3</w:t>
      </w:r>
      <w:r>
        <w:rPr>
          <w:rFonts w:asciiTheme="minorEastAsia" w:eastAsiaTheme="minorEastAsia" w:hAnsiTheme="minorEastAsia" w:hint="eastAsia"/>
        </w:rPr>
        <w:t>*</w:t>
      </w:r>
      <w:r>
        <w:rPr>
          <w:rFonts w:cs="Times New Roman"/>
          <w:sz w:val="18"/>
          <w:szCs w:val="18"/>
        </w:rPr>
        <w:t>Lev</w:t>
      </w:r>
      <w:r>
        <w:rPr>
          <w:rFonts w:hint="eastAsia"/>
          <w:vertAlign w:val="subscript"/>
        </w:rPr>
        <w:t xml:space="preserve"> i,t</w:t>
      </w:r>
      <w:r>
        <w:rPr>
          <w:rFonts w:hint="eastAsia"/>
        </w:rPr>
        <w:t>+</w:t>
      </w:r>
      <w:r>
        <w:rPr>
          <w:szCs w:val="21"/>
        </w:rPr>
        <w:t>α</w:t>
      </w:r>
      <w:r>
        <w:rPr>
          <w:rFonts w:hint="eastAsia"/>
          <w:vertAlign w:val="subscript"/>
        </w:rPr>
        <w:t>4</w:t>
      </w:r>
      <w:r>
        <w:rPr>
          <w:rFonts w:asciiTheme="minorEastAsia" w:eastAsiaTheme="minorEastAsia" w:hAnsiTheme="minorEastAsia" w:hint="eastAsia"/>
        </w:rPr>
        <w:t>*</w:t>
      </w:r>
      <w:r>
        <w:rPr>
          <w:rFonts w:hint="eastAsia"/>
        </w:rPr>
        <w:t>Age</w:t>
      </w:r>
      <w:r>
        <w:rPr>
          <w:rFonts w:hint="eastAsia"/>
          <w:vertAlign w:val="subscript"/>
        </w:rPr>
        <w:t>i,t</w:t>
      </w:r>
      <w:r>
        <w:rPr>
          <w:rFonts w:hint="eastAsia"/>
        </w:rPr>
        <w:t>+</w:t>
      </w:r>
      <w:r>
        <w:rPr>
          <w:szCs w:val="21"/>
        </w:rPr>
        <w:t>α</w:t>
      </w:r>
      <w:r>
        <w:rPr>
          <w:rFonts w:hint="eastAsia"/>
          <w:vertAlign w:val="subscript"/>
        </w:rPr>
        <w:t>5</w:t>
      </w:r>
      <w:r>
        <w:rPr>
          <w:rFonts w:asciiTheme="minorEastAsia" w:eastAsiaTheme="minorEastAsia" w:hAnsiTheme="minorEastAsia" w:hint="eastAsia"/>
        </w:rPr>
        <w:t>*</w:t>
      </w:r>
      <w:proofErr w:type="spellStart"/>
      <w:r>
        <w:rPr>
          <w:rFonts w:hint="eastAsia"/>
        </w:rPr>
        <w:t>CHK</w:t>
      </w:r>
      <w:r>
        <w:rPr>
          <w:rFonts w:hint="eastAsia"/>
          <w:vertAlign w:val="subscript"/>
        </w:rPr>
        <w:t>i,t</w:t>
      </w:r>
      <w:r>
        <w:rPr>
          <w:rFonts w:hint="eastAsia"/>
        </w:rPr>
        <w:t>+</w:t>
      </w:r>
      <w:r>
        <w:rPr>
          <w:szCs w:val="21"/>
        </w:rPr>
        <w:t>ε</w:t>
      </w:r>
      <w:r>
        <w:rPr>
          <w:rFonts w:hint="eastAsia"/>
          <w:vertAlign w:val="subscript"/>
        </w:rPr>
        <w:t>i,t</w:t>
      </w:r>
      <w:proofErr w:type="spellEnd"/>
      <w:r>
        <w:rPr>
          <w:rFonts w:hint="eastAsia"/>
          <w:vertAlign w:val="subscript"/>
        </w:rPr>
        <w:t xml:space="preserve"> </w:t>
      </w:r>
      <w:r>
        <w:rPr>
          <w:rFonts w:hint="eastAsia"/>
        </w:rPr>
        <w:t xml:space="preserve">                      </w:t>
      </w:r>
      <w:r>
        <w:rPr>
          <w:rFonts w:hint="eastAsia"/>
        </w:rPr>
        <w:t>（</w:t>
      </w:r>
      <w:r>
        <w:rPr>
          <w:rFonts w:hint="eastAsia"/>
          <w:szCs w:val="21"/>
        </w:rPr>
        <w:t>1</w:t>
      </w:r>
      <w:r>
        <w:rPr>
          <w:rFonts w:hint="eastAsia"/>
        </w:rPr>
        <w:t>）</w:t>
      </w:r>
      <w:r>
        <w:rPr>
          <w:rFonts w:hint="eastAsia"/>
        </w:rPr>
        <w:t xml:space="preserve">                                         </w:t>
      </w:r>
    </w:p>
    <w:p w:rsidR="00F013E0" w:rsidRDefault="007115C6">
      <w:pPr>
        <w:ind w:firstLineChars="0" w:firstLine="0"/>
      </w:pPr>
      <w:proofErr w:type="spellStart"/>
      <w:r>
        <w:rPr>
          <w:rFonts w:hint="eastAsia"/>
        </w:rPr>
        <w:t>Risk</w:t>
      </w:r>
      <w:r>
        <w:rPr>
          <w:rFonts w:hint="eastAsia"/>
          <w:vertAlign w:val="subscript"/>
        </w:rPr>
        <w:t>i,t</w:t>
      </w:r>
      <w:proofErr w:type="spellEnd"/>
      <w:r>
        <w:rPr>
          <w:rFonts w:hint="eastAsia"/>
        </w:rPr>
        <w:t>=</w:t>
      </w:r>
      <w:r>
        <w:rPr>
          <w:szCs w:val="21"/>
        </w:rPr>
        <w:t>α</w:t>
      </w:r>
      <w:r>
        <w:rPr>
          <w:rFonts w:hint="eastAsia"/>
          <w:vertAlign w:val="subscript"/>
        </w:rPr>
        <w:t>0</w:t>
      </w:r>
      <w:r>
        <w:rPr>
          <w:rFonts w:hint="eastAsia"/>
        </w:rPr>
        <w:t>+</w:t>
      </w:r>
      <w:r>
        <w:rPr>
          <w:szCs w:val="21"/>
        </w:rPr>
        <w:t>α</w:t>
      </w:r>
      <w:r>
        <w:rPr>
          <w:rFonts w:hint="eastAsia"/>
          <w:vertAlign w:val="subscript"/>
        </w:rPr>
        <w:t>1</w:t>
      </w:r>
      <w:r>
        <w:rPr>
          <w:rFonts w:asciiTheme="minorEastAsia" w:eastAsiaTheme="minorEastAsia" w:hAnsiTheme="minorEastAsia" w:hint="eastAsia"/>
        </w:rPr>
        <w:t>*</w:t>
      </w:r>
      <w:r>
        <w:rPr>
          <w:rFonts w:hint="eastAsia"/>
        </w:rPr>
        <w:t>RDI</w:t>
      </w:r>
      <w:r>
        <w:rPr>
          <w:rFonts w:hint="eastAsia"/>
          <w:vertAlign w:val="subscript"/>
        </w:rPr>
        <w:t>i,t</w:t>
      </w:r>
      <w:r>
        <w:rPr>
          <w:rFonts w:hint="eastAsia"/>
        </w:rPr>
        <w:t>+</w:t>
      </w:r>
      <w:r>
        <w:rPr>
          <w:szCs w:val="21"/>
        </w:rPr>
        <w:t>α</w:t>
      </w:r>
      <w:r>
        <w:rPr>
          <w:rFonts w:hint="eastAsia"/>
          <w:vertAlign w:val="subscript"/>
        </w:rPr>
        <w:t>2</w:t>
      </w:r>
      <w:r>
        <w:rPr>
          <w:rFonts w:asciiTheme="minorEastAsia" w:eastAsiaTheme="minorEastAsia" w:hAnsiTheme="minorEastAsia" w:hint="eastAsia"/>
        </w:rPr>
        <w:t>*</w:t>
      </w:r>
      <w:r>
        <w:rPr>
          <w:rFonts w:hint="eastAsia"/>
        </w:rPr>
        <w:t>Size</w:t>
      </w:r>
      <w:r>
        <w:rPr>
          <w:rFonts w:hint="eastAsia"/>
          <w:vertAlign w:val="subscript"/>
        </w:rPr>
        <w:t>i,t</w:t>
      </w:r>
      <w:r>
        <w:rPr>
          <w:rFonts w:hint="eastAsia"/>
        </w:rPr>
        <w:t>+</w:t>
      </w:r>
      <w:r>
        <w:rPr>
          <w:szCs w:val="21"/>
        </w:rPr>
        <w:t>α</w:t>
      </w:r>
      <w:r>
        <w:rPr>
          <w:rFonts w:hint="eastAsia"/>
          <w:vertAlign w:val="subscript"/>
        </w:rPr>
        <w:t>3</w:t>
      </w:r>
      <w:r>
        <w:rPr>
          <w:rFonts w:asciiTheme="minorEastAsia" w:eastAsiaTheme="minorEastAsia" w:hAnsiTheme="minorEastAsia" w:hint="eastAsia"/>
        </w:rPr>
        <w:t>*</w:t>
      </w:r>
      <w:r>
        <w:rPr>
          <w:rFonts w:cs="Times New Roman"/>
          <w:sz w:val="18"/>
          <w:szCs w:val="18"/>
        </w:rPr>
        <w:t xml:space="preserve"> Lev</w:t>
      </w:r>
      <w:r>
        <w:rPr>
          <w:rFonts w:hint="eastAsia"/>
          <w:vertAlign w:val="subscript"/>
        </w:rPr>
        <w:t>i,t</w:t>
      </w:r>
      <w:r>
        <w:rPr>
          <w:rFonts w:hint="eastAsia"/>
        </w:rPr>
        <w:t>+</w:t>
      </w:r>
      <w:r>
        <w:rPr>
          <w:szCs w:val="21"/>
        </w:rPr>
        <w:t>α</w:t>
      </w:r>
      <w:r>
        <w:rPr>
          <w:rFonts w:hint="eastAsia"/>
          <w:vertAlign w:val="subscript"/>
        </w:rPr>
        <w:t>4</w:t>
      </w:r>
      <w:r>
        <w:rPr>
          <w:rFonts w:asciiTheme="minorEastAsia" w:eastAsiaTheme="minorEastAsia" w:hAnsiTheme="minorEastAsia" w:hint="eastAsia"/>
        </w:rPr>
        <w:t>*</w:t>
      </w:r>
      <w:r>
        <w:rPr>
          <w:rFonts w:hint="eastAsia"/>
        </w:rPr>
        <w:t>Age</w:t>
      </w:r>
      <w:r>
        <w:rPr>
          <w:rFonts w:hint="eastAsia"/>
          <w:vertAlign w:val="subscript"/>
        </w:rPr>
        <w:t>i,t</w:t>
      </w:r>
      <w:r>
        <w:rPr>
          <w:rFonts w:hint="eastAsia"/>
        </w:rPr>
        <w:t>+</w:t>
      </w:r>
      <w:r>
        <w:rPr>
          <w:szCs w:val="21"/>
        </w:rPr>
        <w:t>α</w:t>
      </w:r>
      <w:r>
        <w:rPr>
          <w:rFonts w:hint="eastAsia"/>
          <w:vertAlign w:val="subscript"/>
        </w:rPr>
        <w:t>5</w:t>
      </w:r>
      <w:r>
        <w:rPr>
          <w:rFonts w:asciiTheme="minorEastAsia" w:eastAsiaTheme="minorEastAsia" w:hAnsiTheme="minorEastAsia" w:hint="eastAsia"/>
        </w:rPr>
        <w:t>*</w:t>
      </w:r>
      <w:proofErr w:type="spellStart"/>
      <w:r>
        <w:rPr>
          <w:rFonts w:hint="eastAsia"/>
        </w:rPr>
        <w:t>CHK</w:t>
      </w:r>
      <w:r>
        <w:rPr>
          <w:rFonts w:hint="eastAsia"/>
          <w:vertAlign w:val="subscript"/>
        </w:rPr>
        <w:t>i,t</w:t>
      </w:r>
      <w:r>
        <w:rPr>
          <w:rFonts w:hint="eastAsia"/>
        </w:rPr>
        <w:t>+</w:t>
      </w:r>
      <w:r>
        <w:rPr>
          <w:szCs w:val="21"/>
        </w:rPr>
        <w:t>ε</w:t>
      </w:r>
      <w:r>
        <w:rPr>
          <w:rFonts w:hint="eastAsia"/>
          <w:vertAlign w:val="subscript"/>
        </w:rPr>
        <w:t>,t</w:t>
      </w:r>
      <w:proofErr w:type="spellEnd"/>
      <w:r>
        <w:rPr>
          <w:rFonts w:hint="eastAsia"/>
          <w:vertAlign w:val="subscript"/>
        </w:rPr>
        <w:t xml:space="preserve"> </w:t>
      </w:r>
      <w:r>
        <w:rPr>
          <w:rFonts w:hint="eastAsia"/>
        </w:rPr>
        <w:t xml:space="preserve">                      </w:t>
      </w:r>
      <w:r>
        <w:rPr>
          <w:rFonts w:hint="eastAsia"/>
        </w:rPr>
        <w:t>（</w:t>
      </w:r>
      <w:r>
        <w:rPr>
          <w:rFonts w:hint="eastAsia"/>
        </w:rPr>
        <w:t>2</w:t>
      </w:r>
      <w:r>
        <w:rPr>
          <w:rFonts w:hint="eastAsia"/>
        </w:rPr>
        <w:t>）</w:t>
      </w:r>
      <w:r>
        <w:rPr>
          <w:rFonts w:hint="eastAsia"/>
        </w:rPr>
        <w:t xml:space="preserve">                                       </w:t>
      </w:r>
    </w:p>
    <w:p w:rsidR="00F013E0" w:rsidRDefault="007115C6">
      <w:pPr>
        <w:ind w:left="7560" w:hangingChars="3600" w:hanging="7560"/>
      </w:pPr>
      <w:proofErr w:type="spellStart"/>
      <w:r>
        <w:rPr>
          <w:rFonts w:hint="eastAsia"/>
        </w:rPr>
        <w:t>Risk</w:t>
      </w:r>
      <w:r>
        <w:rPr>
          <w:rFonts w:hint="eastAsia"/>
          <w:vertAlign w:val="subscript"/>
        </w:rPr>
        <w:t>i,t</w:t>
      </w:r>
      <w:proofErr w:type="spellEnd"/>
      <w:r>
        <w:rPr>
          <w:rFonts w:hint="eastAsia"/>
        </w:rPr>
        <w:t>=</w:t>
      </w:r>
      <w:r>
        <w:rPr>
          <w:szCs w:val="21"/>
        </w:rPr>
        <w:t>α</w:t>
      </w:r>
      <w:r>
        <w:rPr>
          <w:rFonts w:hint="eastAsia"/>
          <w:vertAlign w:val="subscript"/>
        </w:rPr>
        <w:t>0</w:t>
      </w:r>
      <w:r>
        <w:rPr>
          <w:rFonts w:hint="eastAsia"/>
        </w:rPr>
        <w:t>+</w:t>
      </w:r>
      <w:r>
        <w:rPr>
          <w:szCs w:val="21"/>
        </w:rPr>
        <w:t>α</w:t>
      </w:r>
      <w:r>
        <w:rPr>
          <w:rFonts w:hint="eastAsia"/>
          <w:vertAlign w:val="subscript"/>
        </w:rPr>
        <w:t>1</w:t>
      </w:r>
      <w:r>
        <w:rPr>
          <w:rFonts w:asciiTheme="minorEastAsia" w:eastAsiaTheme="minorEastAsia" w:hAnsiTheme="minorEastAsia" w:hint="eastAsia"/>
        </w:rPr>
        <w:t>*</w:t>
      </w:r>
      <w:r>
        <w:rPr>
          <w:rFonts w:hint="eastAsia"/>
        </w:rPr>
        <w:t>Ded</w:t>
      </w:r>
      <w:r>
        <w:rPr>
          <w:rFonts w:hint="eastAsia"/>
          <w:vertAlign w:val="subscript"/>
        </w:rPr>
        <w:t>i,t</w:t>
      </w:r>
      <w:r>
        <w:rPr>
          <w:rFonts w:hint="eastAsia"/>
        </w:rPr>
        <w:t>+</w:t>
      </w:r>
      <w:r>
        <w:rPr>
          <w:szCs w:val="21"/>
        </w:rPr>
        <w:t>α</w:t>
      </w:r>
      <w:r>
        <w:rPr>
          <w:rFonts w:hint="eastAsia"/>
          <w:vertAlign w:val="subscript"/>
        </w:rPr>
        <w:t>2</w:t>
      </w:r>
      <w:r>
        <w:rPr>
          <w:rFonts w:asciiTheme="minorEastAsia" w:eastAsiaTheme="minorEastAsia" w:hAnsiTheme="minorEastAsia" w:hint="eastAsia"/>
        </w:rPr>
        <w:t>*</w:t>
      </w:r>
      <w:r>
        <w:rPr>
          <w:rFonts w:hint="eastAsia"/>
        </w:rPr>
        <w:t>RDI</w:t>
      </w:r>
      <w:r>
        <w:rPr>
          <w:rFonts w:hint="eastAsia"/>
          <w:vertAlign w:val="subscript"/>
        </w:rPr>
        <w:t>i,t</w:t>
      </w:r>
      <w:r>
        <w:rPr>
          <w:rFonts w:hint="eastAsia"/>
        </w:rPr>
        <w:t>+</w:t>
      </w:r>
      <w:r>
        <w:rPr>
          <w:szCs w:val="21"/>
        </w:rPr>
        <w:t>α</w:t>
      </w:r>
      <w:r>
        <w:rPr>
          <w:rFonts w:hint="eastAsia"/>
          <w:vertAlign w:val="subscript"/>
        </w:rPr>
        <w:t>3</w:t>
      </w:r>
      <w:r>
        <w:rPr>
          <w:rFonts w:asciiTheme="minorEastAsia" w:eastAsiaTheme="minorEastAsia" w:hAnsiTheme="minorEastAsia" w:hint="eastAsia"/>
        </w:rPr>
        <w:t>*</w:t>
      </w:r>
      <w:r>
        <w:rPr>
          <w:rFonts w:hint="eastAsia"/>
        </w:rPr>
        <w:t>Size</w:t>
      </w:r>
      <w:r>
        <w:rPr>
          <w:rFonts w:hint="eastAsia"/>
          <w:vertAlign w:val="subscript"/>
        </w:rPr>
        <w:t>i,t</w:t>
      </w:r>
      <w:r>
        <w:rPr>
          <w:rFonts w:hint="eastAsia"/>
        </w:rPr>
        <w:t>+</w:t>
      </w:r>
      <w:r>
        <w:rPr>
          <w:szCs w:val="21"/>
        </w:rPr>
        <w:t>α</w:t>
      </w:r>
      <w:r>
        <w:rPr>
          <w:rFonts w:hint="eastAsia"/>
          <w:vertAlign w:val="subscript"/>
        </w:rPr>
        <w:t>4</w:t>
      </w:r>
      <w:r>
        <w:rPr>
          <w:rFonts w:asciiTheme="minorEastAsia" w:eastAsiaTheme="minorEastAsia" w:hAnsiTheme="minorEastAsia" w:hint="eastAsia"/>
        </w:rPr>
        <w:t>*</w:t>
      </w:r>
      <w:r>
        <w:rPr>
          <w:rFonts w:cs="Times New Roman"/>
          <w:sz w:val="18"/>
          <w:szCs w:val="18"/>
        </w:rPr>
        <w:t xml:space="preserve"> Lev</w:t>
      </w:r>
      <w:r>
        <w:rPr>
          <w:rFonts w:hint="eastAsia"/>
          <w:vertAlign w:val="subscript"/>
        </w:rPr>
        <w:t>i,t</w:t>
      </w:r>
      <w:r>
        <w:rPr>
          <w:rFonts w:hint="eastAsia"/>
        </w:rPr>
        <w:t>+</w:t>
      </w:r>
      <w:r>
        <w:rPr>
          <w:szCs w:val="21"/>
        </w:rPr>
        <w:t>α</w:t>
      </w:r>
      <w:r>
        <w:rPr>
          <w:rFonts w:hint="eastAsia"/>
          <w:vertAlign w:val="subscript"/>
        </w:rPr>
        <w:t>5</w:t>
      </w:r>
      <w:r>
        <w:rPr>
          <w:rFonts w:asciiTheme="minorEastAsia" w:eastAsiaTheme="minorEastAsia" w:hAnsiTheme="minorEastAsia" w:hint="eastAsia"/>
        </w:rPr>
        <w:t>*</w:t>
      </w:r>
      <w:r>
        <w:rPr>
          <w:rFonts w:hint="eastAsia"/>
        </w:rPr>
        <w:t>Age</w:t>
      </w:r>
      <w:r>
        <w:rPr>
          <w:rFonts w:hint="eastAsia"/>
          <w:vertAlign w:val="subscript"/>
        </w:rPr>
        <w:t>i,t</w:t>
      </w:r>
      <w:r>
        <w:rPr>
          <w:rFonts w:hint="eastAsia"/>
        </w:rPr>
        <w:t>+</w:t>
      </w:r>
      <w:r>
        <w:rPr>
          <w:szCs w:val="21"/>
        </w:rPr>
        <w:t>α</w:t>
      </w:r>
      <w:r>
        <w:rPr>
          <w:rFonts w:hint="eastAsia"/>
          <w:vertAlign w:val="subscript"/>
        </w:rPr>
        <w:t>6</w:t>
      </w:r>
      <w:r>
        <w:rPr>
          <w:rFonts w:asciiTheme="minorEastAsia" w:eastAsiaTheme="minorEastAsia" w:hAnsiTheme="minorEastAsia" w:hint="eastAsia"/>
        </w:rPr>
        <w:t>*</w:t>
      </w:r>
      <w:proofErr w:type="spellStart"/>
      <w:r>
        <w:rPr>
          <w:rFonts w:hint="eastAsia"/>
        </w:rPr>
        <w:t>CHK</w:t>
      </w:r>
      <w:r>
        <w:rPr>
          <w:rFonts w:hint="eastAsia"/>
          <w:vertAlign w:val="subscript"/>
        </w:rPr>
        <w:t>i,t</w:t>
      </w:r>
      <w:r>
        <w:rPr>
          <w:rFonts w:hint="eastAsia"/>
        </w:rPr>
        <w:t>+</w:t>
      </w:r>
      <w:r>
        <w:rPr>
          <w:szCs w:val="21"/>
        </w:rPr>
        <w:t>ε</w:t>
      </w:r>
      <w:r>
        <w:rPr>
          <w:rFonts w:hint="eastAsia"/>
          <w:vertAlign w:val="subscript"/>
        </w:rPr>
        <w:t>i,t</w:t>
      </w:r>
      <w:proofErr w:type="spellEnd"/>
      <w:r>
        <w:rPr>
          <w:rFonts w:hint="eastAsia"/>
          <w:vertAlign w:val="subscript"/>
        </w:rPr>
        <w:t xml:space="preserve">                      </w:t>
      </w:r>
      <w:r>
        <w:rPr>
          <w:rFonts w:hint="eastAsia"/>
        </w:rPr>
        <w:t>（</w:t>
      </w:r>
      <w:r>
        <w:rPr>
          <w:rFonts w:hint="eastAsia"/>
        </w:rPr>
        <w:t>3</w:t>
      </w:r>
      <w:r>
        <w:rPr>
          <w:rFonts w:hint="eastAsia"/>
        </w:rPr>
        <w:t>）</w:t>
      </w:r>
      <w:r>
        <w:rPr>
          <w:rFonts w:hint="eastAsia"/>
        </w:rPr>
        <w:t xml:space="preserve">                          </w:t>
      </w:r>
    </w:p>
    <w:p w:rsidR="00F013E0" w:rsidRDefault="007115C6">
      <w:pPr>
        <w:ind w:firstLineChars="0" w:firstLine="0"/>
        <w:rPr>
          <w:vertAlign w:val="subscript"/>
        </w:rPr>
      </w:pPr>
      <w:r>
        <w:rPr>
          <w:rFonts w:hint="eastAsia"/>
        </w:rPr>
        <w:t>Risk</w:t>
      </w:r>
      <w:r>
        <w:rPr>
          <w:rFonts w:hint="eastAsia"/>
          <w:vertAlign w:val="subscript"/>
        </w:rPr>
        <w:t>i,t</w:t>
      </w:r>
      <w:r>
        <w:rPr>
          <w:rFonts w:hint="eastAsia"/>
        </w:rPr>
        <w:t>=</w:t>
      </w:r>
      <w:r>
        <w:rPr>
          <w:szCs w:val="21"/>
        </w:rPr>
        <w:t>α</w:t>
      </w:r>
      <w:r>
        <w:rPr>
          <w:rFonts w:hint="eastAsia"/>
          <w:vertAlign w:val="subscript"/>
        </w:rPr>
        <w:t>0</w:t>
      </w:r>
      <w:r>
        <w:rPr>
          <w:rFonts w:hint="eastAsia"/>
        </w:rPr>
        <w:t>+</w:t>
      </w:r>
      <w:r>
        <w:rPr>
          <w:szCs w:val="21"/>
        </w:rPr>
        <w:t>α</w:t>
      </w:r>
      <w:r>
        <w:rPr>
          <w:rFonts w:hint="eastAsia"/>
          <w:vertAlign w:val="subscript"/>
        </w:rPr>
        <w:t>1</w:t>
      </w:r>
      <w:r>
        <w:rPr>
          <w:rFonts w:asciiTheme="minorEastAsia" w:eastAsiaTheme="minorEastAsia" w:hAnsiTheme="minorEastAsia" w:hint="eastAsia"/>
        </w:rPr>
        <w:t>*</w:t>
      </w:r>
      <w:r>
        <w:rPr>
          <w:rFonts w:hint="eastAsia"/>
        </w:rPr>
        <w:t>Ded</w:t>
      </w:r>
      <w:r>
        <w:rPr>
          <w:rFonts w:hint="eastAsia"/>
          <w:vertAlign w:val="subscript"/>
        </w:rPr>
        <w:t>i,t</w:t>
      </w:r>
      <w:r>
        <w:rPr>
          <w:rFonts w:hint="eastAsia"/>
        </w:rPr>
        <w:t>+</w:t>
      </w:r>
      <w:r>
        <w:rPr>
          <w:szCs w:val="21"/>
        </w:rPr>
        <w:t>α</w:t>
      </w:r>
      <w:r>
        <w:rPr>
          <w:rFonts w:hint="eastAsia"/>
          <w:vertAlign w:val="subscript"/>
        </w:rPr>
        <w:t>2</w:t>
      </w:r>
      <w:r>
        <w:rPr>
          <w:rFonts w:asciiTheme="minorEastAsia" w:eastAsiaTheme="minorEastAsia" w:hAnsiTheme="minorEastAsia" w:hint="eastAsia"/>
        </w:rPr>
        <w:t>*</w:t>
      </w:r>
      <w:r>
        <w:rPr>
          <w:rFonts w:hint="eastAsia"/>
        </w:rPr>
        <w:t>RDI</w:t>
      </w:r>
      <w:r>
        <w:rPr>
          <w:rFonts w:hint="eastAsia"/>
          <w:vertAlign w:val="subscript"/>
        </w:rPr>
        <w:t>i,t</w:t>
      </w:r>
      <w:r>
        <w:rPr>
          <w:rFonts w:hint="eastAsia"/>
        </w:rPr>
        <w:t>+</w:t>
      </w:r>
      <w:r>
        <w:rPr>
          <w:szCs w:val="21"/>
        </w:rPr>
        <w:t>α</w:t>
      </w:r>
      <w:r>
        <w:rPr>
          <w:rFonts w:hint="eastAsia"/>
          <w:vertAlign w:val="subscript"/>
        </w:rPr>
        <w:t>3</w:t>
      </w:r>
      <w:r>
        <w:rPr>
          <w:rFonts w:asciiTheme="minorEastAsia" w:eastAsiaTheme="minorEastAsia" w:hAnsiTheme="minorEastAsia" w:hint="eastAsia"/>
        </w:rPr>
        <w:t>*</w:t>
      </w:r>
      <w:r>
        <w:rPr>
          <w:rFonts w:hint="eastAsia"/>
        </w:rPr>
        <w:t>Ded</w:t>
      </w:r>
      <w:r>
        <w:rPr>
          <w:rFonts w:hint="eastAsia"/>
          <w:vertAlign w:val="subscript"/>
        </w:rPr>
        <w:t>i,t</w:t>
      </w:r>
      <w:r>
        <w:rPr>
          <w:rFonts w:asciiTheme="minorEastAsia" w:eastAsiaTheme="minorEastAsia" w:hAnsiTheme="minorEastAsia" w:hint="eastAsia"/>
        </w:rPr>
        <w:t>*</w:t>
      </w:r>
      <w:r>
        <w:rPr>
          <w:rFonts w:hint="eastAsia"/>
        </w:rPr>
        <w:t>RDI</w:t>
      </w:r>
      <w:r>
        <w:rPr>
          <w:rFonts w:hint="eastAsia"/>
          <w:vertAlign w:val="subscript"/>
        </w:rPr>
        <w:t>i,t</w:t>
      </w:r>
      <w:r>
        <w:rPr>
          <w:rFonts w:hint="eastAsia"/>
        </w:rPr>
        <w:t>+</w:t>
      </w:r>
      <w:r>
        <w:rPr>
          <w:szCs w:val="21"/>
        </w:rPr>
        <w:t>α</w:t>
      </w:r>
      <w:r>
        <w:rPr>
          <w:rFonts w:hint="eastAsia"/>
          <w:vertAlign w:val="subscript"/>
        </w:rPr>
        <w:t>4</w:t>
      </w:r>
      <w:r>
        <w:rPr>
          <w:rFonts w:asciiTheme="minorEastAsia" w:eastAsiaTheme="minorEastAsia" w:hAnsiTheme="minorEastAsia" w:hint="eastAsia"/>
        </w:rPr>
        <w:t>*</w:t>
      </w:r>
      <w:r>
        <w:rPr>
          <w:rFonts w:hint="eastAsia"/>
        </w:rPr>
        <w:t>Size</w:t>
      </w:r>
      <w:r>
        <w:rPr>
          <w:rFonts w:hint="eastAsia"/>
          <w:vertAlign w:val="subscript"/>
        </w:rPr>
        <w:t>i,t</w:t>
      </w:r>
      <w:r>
        <w:rPr>
          <w:rFonts w:hint="eastAsia"/>
        </w:rPr>
        <w:t>+</w:t>
      </w:r>
      <w:r>
        <w:rPr>
          <w:szCs w:val="21"/>
        </w:rPr>
        <w:t>α</w:t>
      </w:r>
      <w:r>
        <w:rPr>
          <w:rFonts w:hint="eastAsia"/>
          <w:vertAlign w:val="subscript"/>
        </w:rPr>
        <w:t>5</w:t>
      </w:r>
      <w:r>
        <w:rPr>
          <w:rFonts w:asciiTheme="minorEastAsia" w:eastAsiaTheme="minorEastAsia" w:hAnsiTheme="minorEastAsia" w:hint="eastAsia"/>
        </w:rPr>
        <w:t>*</w:t>
      </w:r>
      <w:r>
        <w:rPr>
          <w:rFonts w:cs="Times New Roman"/>
          <w:sz w:val="18"/>
          <w:szCs w:val="18"/>
        </w:rPr>
        <w:t>Lev</w:t>
      </w:r>
      <w:r>
        <w:rPr>
          <w:rFonts w:hint="eastAsia"/>
          <w:vertAlign w:val="subscript"/>
        </w:rPr>
        <w:t>i,t</w:t>
      </w:r>
      <w:r>
        <w:rPr>
          <w:rFonts w:hint="eastAsia"/>
        </w:rPr>
        <w:t>+</w:t>
      </w:r>
      <w:r>
        <w:rPr>
          <w:szCs w:val="21"/>
        </w:rPr>
        <w:t>α</w:t>
      </w:r>
      <w:r>
        <w:rPr>
          <w:rFonts w:hint="eastAsia"/>
          <w:vertAlign w:val="subscript"/>
        </w:rPr>
        <w:t>6</w:t>
      </w:r>
      <w:r>
        <w:rPr>
          <w:rFonts w:asciiTheme="minorEastAsia" w:eastAsiaTheme="minorEastAsia" w:hAnsiTheme="minorEastAsia" w:hint="eastAsia"/>
        </w:rPr>
        <w:t>*</w:t>
      </w:r>
      <w:r>
        <w:rPr>
          <w:rFonts w:hint="eastAsia"/>
        </w:rPr>
        <w:t>Age</w:t>
      </w:r>
      <w:r>
        <w:rPr>
          <w:rFonts w:hint="eastAsia"/>
          <w:vertAlign w:val="subscript"/>
        </w:rPr>
        <w:t>i,t</w:t>
      </w:r>
      <w:r>
        <w:rPr>
          <w:rFonts w:hint="eastAsia"/>
        </w:rPr>
        <w:t>+</w:t>
      </w:r>
      <w:r>
        <w:rPr>
          <w:szCs w:val="21"/>
        </w:rPr>
        <w:t>α</w:t>
      </w:r>
      <w:r>
        <w:rPr>
          <w:rFonts w:hint="eastAsia"/>
          <w:vertAlign w:val="subscript"/>
        </w:rPr>
        <w:t>7</w:t>
      </w:r>
      <w:r>
        <w:rPr>
          <w:rFonts w:asciiTheme="minorEastAsia" w:eastAsiaTheme="minorEastAsia" w:hAnsiTheme="minorEastAsia" w:hint="eastAsia"/>
        </w:rPr>
        <w:t>*</w:t>
      </w:r>
      <w:r>
        <w:rPr>
          <w:rFonts w:hint="eastAsia"/>
        </w:rPr>
        <w:t>CHK</w:t>
      </w:r>
      <w:r>
        <w:rPr>
          <w:rFonts w:hint="eastAsia"/>
          <w:vertAlign w:val="subscript"/>
        </w:rPr>
        <w:t>i,t</w:t>
      </w:r>
      <w:r>
        <w:rPr>
          <w:rFonts w:hint="eastAsia"/>
        </w:rPr>
        <w:t>+</w:t>
      </w:r>
      <w:r>
        <w:rPr>
          <w:szCs w:val="21"/>
        </w:rPr>
        <w:t>ε</w:t>
      </w:r>
      <w:r>
        <w:rPr>
          <w:rFonts w:hint="eastAsia"/>
          <w:vertAlign w:val="subscript"/>
        </w:rPr>
        <w:t>i,t</w:t>
      </w:r>
      <w:r>
        <w:rPr>
          <w:rFonts w:hint="eastAsia"/>
        </w:rPr>
        <w:t xml:space="preserve"> </w:t>
      </w:r>
      <w:r>
        <w:rPr>
          <w:rFonts w:hint="eastAsia"/>
        </w:rPr>
        <w:t>（</w:t>
      </w:r>
      <w:r>
        <w:rPr>
          <w:rFonts w:hint="eastAsia"/>
        </w:rPr>
        <w:t>4</w:t>
      </w:r>
      <w:r>
        <w:rPr>
          <w:rFonts w:hint="eastAsia"/>
        </w:rPr>
        <w:t>）</w:t>
      </w:r>
      <w:r>
        <w:rPr>
          <w:rFonts w:hint="eastAsia"/>
        </w:rPr>
        <w:t xml:space="preserve">                                         </w:t>
      </w:r>
    </w:p>
    <w:p w:rsidR="00F013E0" w:rsidRDefault="007115C6">
      <w:pPr>
        <w:ind w:firstLine="422"/>
        <w:rPr>
          <w:rFonts w:asciiTheme="minorEastAsia" w:hAnsiTheme="minorEastAsia"/>
          <w:b/>
          <w:szCs w:val="21"/>
        </w:rPr>
      </w:pPr>
      <w:r>
        <w:rPr>
          <w:rFonts w:asciiTheme="minorEastAsia" w:hAnsiTheme="minorEastAsia" w:hint="eastAsia"/>
          <w:b/>
          <w:szCs w:val="21"/>
        </w:rPr>
        <w:t xml:space="preserve">四、实证分析 </w:t>
      </w:r>
    </w:p>
    <w:p w:rsidR="00F013E0" w:rsidRDefault="007115C6">
      <w:pPr>
        <w:ind w:firstLine="420"/>
      </w:pPr>
      <w:r>
        <w:rPr>
          <w:rFonts w:hint="eastAsia"/>
        </w:rPr>
        <w:t>（一）描述性统计分析</w:t>
      </w:r>
    </w:p>
    <w:p w:rsidR="00F013E0" w:rsidRDefault="007115C6">
      <w:pPr>
        <w:ind w:firstLine="420"/>
      </w:pPr>
      <w:r>
        <w:rPr>
          <w:rFonts w:hint="eastAsia"/>
        </w:rPr>
        <w:t>如表</w:t>
      </w:r>
      <w:r>
        <w:rPr>
          <w:rFonts w:hint="eastAsia"/>
        </w:rPr>
        <w:t>2</w:t>
      </w:r>
      <w:r>
        <w:rPr>
          <w:rFonts w:hint="eastAsia"/>
        </w:rPr>
        <w:t>所示，企业财务风险的最大值为</w:t>
      </w:r>
      <w:r>
        <w:rPr>
          <w:rFonts w:hint="eastAsia"/>
        </w:rPr>
        <w:t>4.850</w:t>
      </w:r>
      <w:r>
        <w:rPr>
          <w:rFonts w:hint="eastAsia"/>
        </w:rPr>
        <w:t>，最小值为</w:t>
      </w:r>
      <w:r>
        <w:rPr>
          <w:rFonts w:hint="eastAsia"/>
        </w:rPr>
        <w:t>-4.250</w:t>
      </w:r>
      <w:r>
        <w:rPr>
          <w:rFonts w:hint="eastAsia"/>
        </w:rPr>
        <w:t>，显示所选样本企业之间的财务风险</w:t>
      </w:r>
      <w:r w:rsidR="009A23EF">
        <w:rPr>
          <w:rFonts w:hint="eastAsia"/>
        </w:rPr>
        <w:t>的差异性较大</w:t>
      </w:r>
      <w:r>
        <w:rPr>
          <w:rFonts w:hint="eastAsia"/>
        </w:rPr>
        <w:t>；另外，财务风险的平均值为</w:t>
      </w:r>
      <w:r>
        <w:rPr>
          <w:rFonts w:hint="eastAsia"/>
        </w:rPr>
        <w:t>1.420</w:t>
      </w:r>
      <w:r>
        <w:rPr>
          <w:rFonts w:hint="eastAsia"/>
        </w:rPr>
        <w:t>，低于中位数</w:t>
      </w:r>
      <w:r>
        <w:rPr>
          <w:rFonts w:hint="eastAsia"/>
        </w:rPr>
        <w:t>1.430</w:t>
      </w:r>
      <w:r>
        <w:rPr>
          <w:rFonts w:hint="eastAsia"/>
        </w:rPr>
        <w:t>，我国一半以上的电子设备制造企业处于经营安全区域，表明我国电子设备制造企业整体财务风险较小。同时研发投入强度的平均值</w:t>
      </w:r>
      <w:r>
        <w:rPr>
          <w:rFonts w:hint="eastAsia"/>
        </w:rPr>
        <w:t>0.104</w:t>
      </w:r>
      <w:r>
        <w:rPr>
          <w:rFonts w:hint="eastAsia"/>
        </w:rPr>
        <w:t>高于中位数，表明大部分企业的投入强度要低于平均水平。研发费用加计扣除强度的最大值高达</w:t>
      </w:r>
      <w:r>
        <w:rPr>
          <w:rFonts w:hint="eastAsia"/>
        </w:rPr>
        <w:t>3.0802</w:t>
      </w:r>
      <w:r>
        <w:rPr>
          <w:rFonts w:hint="eastAsia"/>
        </w:rPr>
        <w:t>，说明研发费用加计扣除的政策可以给企业带来相当大的优惠。</w:t>
      </w:r>
    </w:p>
    <w:p w:rsidR="00F013E0" w:rsidRDefault="007115C6">
      <w:pPr>
        <w:pStyle w:val="a3"/>
        <w:ind w:firstLine="400"/>
        <w:jc w:val="center"/>
        <w:rPr>
          <w:rFonts w:eastAsia="宋体"/>
        </w:rPr>
      </w:pPr>
      <w:r>
        <w:t>表</w:t>
      </w:r>
      <w:r>
        <w:t xml:space="preserve"> </w:t>
      </w:r>
      <w:r w:rsidR="006C584B">
        <w:fldChar w:fldCharType="begin"/>
      </w:r>
      <w:r>
        <w:instrText xml:space="preserve"> SEQ </w:instrText>
      </w:r>
      <w:r>
        <w:instrText>表</w:instrText>
      </w:r>
      <w:r>
        <w:instrText xml:space="preserve"> \* ARABIC </w:instrText>
      </w:r>
      <w:r w:rsidR="006C584B">
        <w:fldChar w:fldCharType="separate"/>
      </w:r>
      <w:r>
        <w:t>2</w:t>
      </w:r>
      <w:r w:rsidR="006C584B">
        <w:fldChar w:fldCharType="end"/>
      </w:r>
      <w:r>
        <w:rPr>
          <w:rFonts w:hint="eastAsia"/>
        </w:rPr>
        <w:t xml:space="preserve"> </w:t>
      </w:r>
      <w:r>
        <w:rPr>
          <w:rFonts w:hint="eastAsia"/>
        </w:rPr>
        <w:t>变量的描述性统计</w:t>
      </w:r>
    </w:p>
    <w:tbl>
      <w:tblPr>
        <w:tblW w:w="0" w:type="auto"/>
        <w:jc w:val="center"/>
        <w:tblLayout w:type="fixed"/>
        <w:tblLook w:val="04A0"/>
      </w:tblPr>
      <w:tblGrid>
        <w:gridCol w:w="1232"/>
        <w:gridCol w:w="1185"/>
        <w:gridCol w:w="1335"/>
        <w:gridCol w:w="1155"/>
        <w:gridCol w:w="1170"/>
        <w:gridCol w:w="1561"/>
      </w:tblGrid>
      <w:tr w:rsidR="00F013E0">
        <w:trPr>
          <w:jc w:val="center"/>
        </w:trPr>
        <w:tc>
          <w:tcPr>
            <w:tcW w:w="1232" w:type="dxa"/>
            <w:tcBorders>
              <w:top w:val="single" w:sz="6" w:space="0" w:color="auto"/>
              <w:left w:val="nil"/>
              <w:bottom w:val="nil"/>
              <w:right w:val="nil"/>
              <w:tl2br w:val="nil"/>
              <w:tr2bl w:val="nil"/>
            </w:tcBorders>
          </w:tcPr>
          <w:p w:rsidR="00F013E0" w:rsidRDefault="007115C6">
            <w:pPr>
              <w:spacing w:line="240" w:lineRule="auto"/>
              <w:ind w:firstLine="360"/>
              <w:jc w:val="left"/>
              <w:rPr>
                <w:sz w:val="18"/>
                <w:szCs w:val="18"/>
              </w:rPr>
            </w:pPr>
            <w:r>
              <w:rPr>
                <w:sz w:val="18"/>
                <w:szCs w:val="18"/>
              </w:rPr>
              <w:t>variable</w:t>
            </w:r>
          </w:p>
        </w:tc>
        <w:tc>
          <w:tcPr>
            <w:tcW w:w="1185" w:type="dxa"/>
            <w:tcBorders>
              <w:top w:val="single" w:sz="6" w:space="0" w:color="auto"/>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mean</w:t>
            </w:r>
          </w:p>
        </w:tc>
        <w:tc>
          <w:tcPr>
            <w:tcW w:w="1335" w:type="dxa"/>
            <w:tcBorders>
              <w:top w:val="single" w:sz="6" w:space="0" w:color="auto"/>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p50</w:t>
            </w:r>
          </w:p>
        </w:tc>
        <w:tc>
          <w:tcPr>
            <w:tcW w:w="1155" w:type="dxa"/>
            <w:tcBorders>
              <w:top w:val="single" w:sz="6" w:space="0" w:color="auto"/>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max</w:t>
            </w:r>
          </w:p>
        </w:tc>
        <w:tc>
          <w:tcPr>
            <w:tcW w:w="1170" w:type="dxa"/>
            <w:tcBorders>
              <w:top w:val="single" w:sz="6" w:space="0" w:color="auto"/>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min</w:t>
            </w:r>
          </w:p>
        </w:tc>
        <w:tc>
          <w:tcPr>
            <w:tcW w:w="1561" w:type="dxa"/>
            <w:tcBorders>
              <w:top w:val="single" w:sz="6" w:space="0" w:color="auto"/>
              <w:left w:val="nil"/>
              <w:bottom w:val="nil"/>
              <w:right w:val="nil"/>
              <w:tl2br w:val="nil"/>
              <w:tr2bl w:val="nil"/>
            </w:tcBorders>
          </w:tcPr>
          <w:p w:rsidR="00F013E0" w:rsidRDefault="007115C6">
            <w:pPr>
              <w:spacing w:line="240" w:lineRule="auto"/>
              <w:ind w:firstLine="360"/>
              <w:jc w:val="center"/>
              <w:rPr>
                <w:sz w:val="18"/>
                <w:szCs w:val="18"/>
              </w:rPr>
            </w:pPr>
            <w:proofErr w:type="spellStart"/>
            <w:r>
              <w:rPr>
                <w:sz w:val="18"/>
                <w:szCs w:val="18"/>
              </w:rPr>
              <w:t>sd</w:t>
            </w:r>
            <w:proofErr w:type="spellEnd"/>
          </w:p>
        </w:tc>
      </w:tr>
      <w:tr w:rsidR="00F013E0">
        <w:trPr>
          <w:jc w:val="center"/>
        </w:trPr>
        <w:tc>
          <w:tcPr>
            <w:tcW w:w="1232" w:type="dxa"/>
            <w:tcBorders>
              <w:top w:val="nil"/>
              <w:left w:val="nil"/>
              <w:bottom w:val="single" w:sz="6" w:space="0" w:color="auto"/>
              <w:right w:val="nil"/>
              <w:tl2br w:val="nil"/>
              <w:tr2bl w:val="nil"/>
            </w:tcBorders>
          </w:tcPr>
          <w:p w:rsidR="00F013E0" w:rsidRDefault="007115C6">
            <w:pPr>
              <w:spacing w:line="240" w:lineRule="auto"/>
              <w:ind w:firstLine="360"/>
              <w:jc w:val="left"/>
              <w:rPr>
                <w:sz w:val="18"/>
                <w:szCs w:val="18"/>
              </w:rPr>
            </w:pPr>
            <w:r>
              <w:rPr>
                <w:sz w:val="18"/>
                <w:szCs w:val="18"/>
              </w:rPr>
              <w:t>Risk</w:t>
            </w:r>
          </w:p>
        </w:tc>
        <w:tc>
          <w:tcPr>
            <w:tcW w:w="118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1.420</w:t>
            </w:r>
          </w:p>
        </w:tc>
        <w:tc>
          <w:tcPr>
            <w:tcW w:w="133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1.430</w:t>
            </w:r>
          </w:p>
        </w:tc>
        <w:tc>
          <w:tcPr>
            <w:tcW w:w="115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4.850</w:t>
            </w:r>
          </w:p>
        </w:tc>
        <w:tc>
          <w:tcPr>
            <w:tcW w:w="1170"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-4.250</w:t>
            </w:r>
          </w:p>
        </w:tc>
        <w:tc>
          <w:tcPr>
            <w:tcW w:w="1561"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0.790</w:t>
            </w:r>
          </w:p>
        </w:tc>
      </w:tr>
      <w:tr w:rsidR="00F013E0">
        <w:trPr>
          <w:jc w:val="center"/>
        </w:trPr>
        <w:tc>
          <w:tcPr>
            <w:tcW w:w="1232" w:type="dxa"/>
            <w:tcBorders>
              <w:top w:val="nil"/>
              <w:left w:val="nil"/>
              <w:bottom w:val="nil"/>
              <w:right w:val="nil"/>
              <w:tl2br w:val="nil"/>
              <w:tr2bl w:val="nil"/>
            </w:tcBorders>
          </w:tcPr>
          <w:p w:rsidR="00F013E0" w:rsidRDefault="007115C6">
            <w:pPr>
              <w:spacing w:line="240" w:lineRule="auto"/>
              <w:ind w:firstLine="360"/>
              <w:jc w:val="left"/>
              <w:rPr>
                <w:sz w:val="18"/>
                <w:szCs w:val="18"/>
              </w:rPr>
            </w:pPr>
            <w:r>
              <w:rPr>
                <w:sz w:val="18"/>
                <w:szCs w:val="18"/>
              </w:rPr>
              <w:t>RDI</w:t>
            </w:r>
          </w:p>
        </w:tc>
        <w:tc>
          <w:tcPr>
            <w:tcW w:w="118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rFonts w:hint="eastAsia"/>
                <w:sz w:val="18"/>
                <w:szCs w:val="18"/>
              </w:rPr>
              <w:t>0.104</w:t>
            </w:r>
          </w:p>
        </w:tc>
        <w:tc>
          <w:tcPr>
            <w:tcW w:w="133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0.0</w:t>
            </w:r>
            <w:r>
              <w:rPr>
                <w:rFonts w:hint="eastAsia"/>
                <w:sz w:val="18"/>
                <w:szCs w:val="18"/>
              </w:rPr>
              <w:t>630</w:t>
            </w:r>
          </w:p>
        </w:tc>
        <w:tc>
          <w:tcPr>
            <w:tcW w:w="115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rFonts w:hint="eastAsia"/>
                <w:sz w:val="18"/>
                <w:szCs w:val="18"/>
              </w:rPr>
              <w:t>16.428</w:t>
            </w:r>
          </w:p>
        </w:tc>
        <w:tc>
          <w:tcPr>
            <w:tcW w:w="1170"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w:t>
            </w:r>
            <w:r>
              <w:rPr>
                <w:rFonts w:hint="eastAsia"/>
                <w:sz w:val="18"/>
                <w:szCs w:val="18"/>
              </w:rPr>
              <w:t>.0005</w:t>
            </w:r>
          </w:p>
        </w:tc>
        <w:tc>
          <w:tcPr>
            <w:tcW w:w="1561"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0.0500</w:t>
            </w:r>
          </w:p>
        </w:tc>
      </w:tr>
      <w:tr w:rsidR="00F013E0">
        <w:trPr>
          <w:jc w:val="center"/>
        </w:trPr>
        <w:tc>
          <w:tcPr>
            <w:tcW w:w="1232" w:type="dxa"/>
            <w:tcBorders>
              <w:top w:val="nil"/>
              <w:left w:val="nil"/>
              <w:bottom w:val="nil"/>
              <w:right w:val="nil"/>
              <w:tl2br w:val="nil"/>
              <w:tr2bl w:val="nil"/>
            </w:tcBorders>
          </w:tcPr>
          <w:p w:rsidR="00F013E0" w:rsidRDefault="007115C6">
            <w:pPr>
              <w:spacing w:line="240" w:lineRule="auto"/>
              <w:ind w:firstLine="360"/>
              <w:jc w:val="left"/>
              <w:rPr>
                <w:sz w:val="18"/>
                <w:szCs w:val="18"/>
              </w:rPr>
            </w:pPr>
            <w:proofErr w:type="spellStart"/>
            <w:r>
              <w:rPr>
                <w:sz w:val="18"/>
                <w:szCs w:val="18"/>
              </w:rPr>
              <w:t>Ded</w:t>
            </w:r>
            <w:proofErr w:type="spellEnd"/>
          </w:p>
        </w:tc>
        <w:tc>
          <w:tcPr>
            <w:tcW w:w="118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0.01</w:t>
            </w:r>
            <w:r>
              <w:rPr>
                <w:rFonts w:hint="eastAsia"/>
                <w:sz w:val="18"/>
                <w:szCs w:val="18"/>
              </w:rPr>
              <w:t>35</w:t>
            </w:r>
          </w:p>
        </w:tc>
        <w:tc>
          <w:tcPr>
            <w:tcW w:w="133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w:t>
            </w:r>
            <w:r>
              <w:rPr>
                <w:rFonts w:hint="eastAsia"/>
                <w:sz w:val="18"/>
                <w:szCs w:val="18"/>
              </w:rPr>
              <w:t>0075</w:t>
            </w:r>
          </w:p>
        </w:tc>
        <w:tc>
          <w:tcPr>
            <w:tcW w:w="115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rFonts w:hint="eastAsia"/>
                <w:sz w:val="18"/>
                <w:szCs w:val="18"/>
              </w:rPr>
              <w:t>3.0802</w:t>
            </w:r>
          </w:p>
        </w:tc>
        <w:tc>
          <w:tcPr>
            <w:tcW w:w="1170"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w:t>
            </w:r>
          </w:p>
        </w:tc>
        <w:tc>
          <w:tcPr>
            <w:tcW w:w="1561"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0.0100</w:t>
            </w:r>
          </w:p>
        </w:tc>
      </w:tr>
      <w:tr w:rsidR="00F013E0">
        <w:trPr>
          <w:jc w:val="center"/>
        </w:trPr>
        <w:tc>
          <w:tcPr>
            <w:tcW w:w="1232" w:type="dxa"/>
            <w:tcBorders>
              <w:top w:val="nil"/>
              <w:left w:val="nil"/>
              <w:bottom w:val="nil"/>
              <w:right w:val="nil"/>
              <w:tl2br w:val="nil"/>
              <w:tr2bl w:val="nil"/>
            </w:tcBorders>
          </w:tcPr>
          <w:p w:rsidR="00F013E0" w:rsidRDefault="007115C6">
            <w:pPr>
              <w:spacing w:line="240" w:lineRule="auto"/>
              <w:ind w:firstLine="360"/>
              <w:jc w:val="left"/>
              <w:rPr>
                <w:sz w:val="18"/>
                <w:szCs w:val="18"/>
              </w:rPr>
            </w:pPr>
            <w:r>
              <w:rPr>
                <w:rFonts w:cs="Times New Roman"/>
                <w:sz w:val="18"/>
                <w:szCs w:val="18"/>
              </w:rPr>
              <w:t>Lev</w:t>
            </w:r>
          </w:p>
        </w:tc>
        <w:tc>
          <w:tcPr>
            <w:tcW w:w="118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0.370</w:t>
            </w:r>
          </w:p>
        </w:tc>
        <w:tc>
          <w:tcPr>
            <w:tcW w:w="133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0.360</w:t>
            </w:r>
          </w:p>
        </w:tc>
        <w:tc>
          <w:tcPr>
            <w:tcW w:w="115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1.160</w:t>
            </w:r>
          </w:p>
        </w:tc>
        <w:tc>
          <w:tcPr>
            <w:tcW w:w="1170"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0.0300</w:t>
            </w:r>
          </w:p>
        </w:tc>
        <w:tc>
          <w:tcPr>
            <w:tcW w:w="1561"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0.180</w:t>
            </w:r>
          </w:p>
        </w:tc>
      </w:tr>
      <w:tr w:rsidR="00F013E0">
        <w:trPr>
          <w:jc w:val="center"/>
        </w:trPr>
        <w:tc>
          <w:tcPr>
            <w:tcW w:w="1232" w:type="dxa"/>
            <w:tcBorders>
              <w:top w:val="nil"/>
              <w:left w:val="nil"/>
              <w:bottom w:val="nil"/>
              <w:right w:val="nil"/>
              <w:tl2br w:val="nil"/>
              <w:tr2bl w:val="nil"/>
            </w:tcBorders>
          </w:tcPr>
          <w:p w:rsidR="00F013E0" w:rsidRDefault="007115C6">
            <w:pPr>
              <w:spacing w:line="240" w:lineRule="auto"/>
              <w:ind w:firstLine="360"/>
              <w:jc w:val="left"/>
              <w:rPr>
                <w:sz w:val="18"/>
                <w:szCs w:val="18"/>
              </w:rPr>
            </w:pPr>
            <w:r>
              <w:rPr>
                <w:sz w:val="18"/>
                <w:szCs w:val="18"/>
              </w:rPr>
              <w:t>Size</w:t>
            </w:r>
          </w:p>
        </w:tc>
        <w:tc>
          <w:tcPr>
            <w:tcW w:w="118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21.86</w:t>
            </w:r>
          </w:p>
        </w:tc>
        <w:tc>
          <w:tcPr>
            <w:tcW w:w="133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21.70</w:t>
            </w:r>
          </w:p>
        </w:tc>
        <w:tc>
          <w:tcPr>
            <w:tcW w:w="115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26.55</w:t>
            </w:r>
          </w:p>
        </w:tc>
        <w:tc>
          <w:tcPr>
            <w:tcW w:w="1170"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19.03</w:t>
            </w:r>
          </w:p>
        </w:tc>
        <w:tc>
          <w:tcPr>
            <w:tcW w:w="1561"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1.210</w:t>
            </w:r>
          </w:p>
        </w:tc>
      </w:tr>
      <w:tr w:rsidR="00F013E0">
        <w:trPr>
          <w:jc w:val="center"/>
        </w:trPr>
        <w:tc>
          <w:tcPr>
            <w:tcW w:w="1232" w:type="dxa"/>
            <w:tcBorders>
              <w:top w:val="nil"/>
              <w:left w:val="nil"/>
              <w:bottom w:val="nil"/>
              <w:right w:val="nil"/>
              <w:tl2br w:val="nil"/>
              <w:tr2bl w:val="nil"/>
            </w:tcBorders>
          </w:tcPr>
          <w:p w:rsidR="00F013E0" w:rsidRDefault="007115C6">
            <w:pPr>
              <w:spacing w:line="240" w:lineRule="auto"/>
              <w:ind w:firstLine="360"/>
              <w:jc w:val="left"/>
              <w:rPr>
                <w:sz w:val="18"/>
                <w:szCs w:val="18"/>
              </w:rPr>
            </w:pPr>
            <w:r>
              <w:rPr>
                <w:sz w:val="18"/>
                <w:szCs w:val="18"/>
              </w:rPr>
              <w:t>Age</w:t>
            </w:r>
          </w:p>
        </w:tc>
        <w:tc>
          <w:tcPr>
            <w:tcW w:w="118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2.330</w:t>
            </w:r>
          </w:p>
        </w:tc>
        <w:tc>
          <w:tcPr>
            <w:tcW w:w="133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2.400</w:t>
            </w:r>
          </w:p>
        </w:tc>
        <w:tc>
          <w:tcPr>
            <w:tcW w:w="1155"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3.400</w:t>
            </w:r>
          </w:p>
        </w:tc>
        <w:tc>
          <w:tcPr>
            <w:tcW w:w="1170"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1.390</w:t>
            </w:r>
          </w:p>
        </w:tc>
        <w:tc>
          <w:tcPr>
            <w:tcW w:w="1561" w:type="dxa"/>
            <w:tcBorders>
              <w:top w:val="nil"/>
              <w:left w:val="nil"/>
              <w:bottom w:val="nil"/>
              <w:right w:val="nil"/>
              <w:tl2br w:val="nil"/>
              <w:tr2bl w:val="nil"/>
            </w:tcBorders>
          </w:tcPr>
          <w:p w:rsidR="00F013E0" w:rsidRDefault="007115C6">
            <w:pPr>
              <w:spacing w:line="240" w:lineRule="auto"/>
              <w:ind w:firstLine="360"/>
              <w:jc w:val="center"/>
              <w:rPr>
                <w:sz w:val="18"/>
                <w:szCs w:val="18"/>
              </w:rPr>
            </w:pPr>
            <w:r>
              <w:rPr>
                <w:sz w:val="18"/>
                <w:szCs w:val="18"/>
              </w:rPr>
              <w:t>0.560</w:t>
            </w:r>
          </w:p>
        </w:tc>
      </w:tr>
      <w:tr w:rsidR="00F013E0">
        <w:tblPrEx>
          <w:tblBorders>
            <w:bottom w:val="single" w:sz="6" w:space="0" w:color="auto"/>
          </w:tblBorders>
        </w:tblPrEx>
        <w:trPr>
          <w:jc w:val="center"/>
        </w:trPr>
        <w:tc>
          <w:tcPr>
            <w:tcW w:w="1232" w:type="dxa"/>
            <w:tcBorders>
              <w:top w:val="nil"/>
              <w:left w:val="nil"/>
              <w:bottom w:val="single" w:sz="6" w:space="0" w:color="auto"/>
              <w:right w:val="nil"/>
              <w:tl2br w:val="nil"/>
              <w:tr2bl w:val="nil"/>
            </w:tcBorders>
          </w:tcPr>
          <w:p w:rsidR="00F013E0" w:rsidRDefault="007115C6">
            <w:pPr>
              <w:spacing w:line="240" w:lineRule="auto"/>
              <w:ind w:firstLine="360"/>
              <w:jc w:val="left"/>
              <w:rPr>
                <w:sz w:val="18"/>
                <w:szCs w:val="18"/>
              </w:rPr>
            </w:pPr>
            <w:r>
              <w:rPr>
                <w:sz w:val="18"/>
                <w:szCs w:val="18"/>
              </w:rPr>
              <w:t>CHK</w:t>
            </w:r>
          </w:p>
        </w:tc>
        <w:tc>
          <w:tcPr>
            <w:tcW w:w="118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0.220</w:t>
            </w:r>
          </w:p>
        </w:tc>
        <w:tc>
          <w:tcPr>
            <w:tcW w:w="133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0</w:t>
            </w:r>
          </w:p>
        </w:tc>
        <w:tc>
          <w:tcPr>
            <w:tcW w:w="1155"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1</w:t>
            </w:r>
          </w:p>
        </w:tc>
        <w:tc>
          <w:tcPr>
            <w:tcW w:w="1170"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0</w:t>
            </w:r>
          </w:p>
        </w:tc>
        <w:tc>
          <w:tcPr>
            <w:tcW w:w="1561" w:type="dxa"/>
            <w:tcBorders>
              <w:top w:val="nil"/>
              <w:left w:val="nil"/>
              <w:bottom w:val="single" w:sz="6" w:space="0" w:color="auto"/>
              <w:right w:val="nil"/>
              <w:tl2br w:val="nil"/>
              <w:tr2bl w:val="nil"/>
            </w:tcBorders>
          </w:tcPr>
          <w:p w:rsidR="00F013E0" w:rsidRDefault="007115C6">
            <w:pPr>
              <w:spacing w:line="240" w:lineRule="auto"/>
              <w:ind w:firstLine="360"/>
              <w:jc w:val="center"/>
              <w:rPr>
                <w:sz w:val="18"/>
                <w:szCs w:val="18"/>
              </w:rPr>
            </w:pPr>
            <w:r>
              <w:rPr>
                <w:sz w:val="18"/>
                <w:szCs w:val="18"/>
              </w:rPr>
              <w:t>0.410</w:t>
            </w:r>
          </w:p>
        </w:tc>
      </w:tr>
    </w:tbl>
    <w:p w:rsidR="00F013E0" w:rsidRDefault="007115C6">
      <w:pPr>
        <w:ind w:firstLine="420"/>
      </w:pPr>
      <w:r>
        <w:rPr>
          <w:rFonts w:hint="eastAsia"/>
        </w:rPr>
        <w:t>（二）相关性分析</w:t>
      </w:r>
    </w:p>
    <w:p w:rsidR="00F013E0" w:rsidRDefault="007115C6">
      <w:pPr>
        <w:ind w:firstLine="420"/>
      </w:pPr>
      <w:r>
        <w:rPr>
          <w:rFonts w:hint="eastAsia"/>
        </w:rPr>
        <w:t>本文</w:t>
      </w:r>
      <w:r w:rsidR="0013286A">
        <w:rPr>
          <w:rFonts w:hint="eastAsia"/>
        </w:rPr>
        <w:t>利用</w:t>
      </w:r>
      <w:proofErr w:type="spellStart"/>
      <w:r>
        <w:rPr>
          <w:rFonts w:hint="eastAsia"/>
        </w:rPr>
        <w:t>pearson</w:t>
      </w:r>
      <w:proofErr w:type="spellEnd"/>
      <w:r>
        <w:rPr>
          <w:rFonts w:hint="eastAsia"/>
        </w:rPr>
        <w:t>相关系数分析法，</w:t>
      </w:r>
      <w:r w:rsidR="0013286A">
        <w:rPr>
          <w:rFonts w:hint="eastAsia"/>
        </w:rPr>
        <w:t>对各变量之间的关系进行进行研究，</w:t>
      </w:r>
      <w:r>
        <w:rPr>
          <w:rFonts w:hint="eastAsia"/>
        </w:rPr>
        <w:t>结果如表</w:t>
      </w:r>
      <w:r>
        <w:rPr>
          <w:rFonts w:hint="eastAsia"/>
        </w:rPr>
        <w:t>3</w:t>
      </w:r>
      <w:r>
        <w:rPr>
          <w:rFonts w:hint="eastAsia"/>
        </w:rPr>
        <w:t>所示。除企业性质以外，本文选取的其他变量均与财务风险显著相关；研发投入强度与研发费用加计扣除力度显著相关，与企业的资产负债率相关，与其他变量的相关性不强。</w:t>
      </w:r>
    </w:p>
    <w:p w:rsidR="00F013E0" w:rsidRDefault="007115C6">
      <w:pPr>
        <w:pStyle w:val="a3"/>
        <w:ind w:firstLine="400"/>
        <w:jc w:val="center"/>
      </w:pPr>
      <w:r>
        <w:t>表</w:t>
      </w:r>
      <w:r>
        <w:t xml:space="preserve"> </w:t>
      </w:r>
      <w:r w:rsidR="006C584B">
        <w:fldChar w:fldCharType="begin"/>
      </w:r>
      <w:r>
        <w:instrText xml:space="preserve"> SEQ </w:instrText>
      </w:r>
      <w:r>
        <w:instrText>表</w:instrText>
      </w:r>
      <w:r>
        <w:instrText xml:space="preserve"> \* ARABIC </w:instrText>
      </w:r>
      <w:r w:rsidR="006C584B">
        <w:fldChar w:fldCharType="separate"/>
      </w:r>
      <w:r>
        <w:t>3</w:t>
      </w:r>
      <w:r w:rsidR="006C584B">
        <w:fldChar w:fldCharType="end"/>
      </w:r>
      <w:r>
        <w:rPr>
          <w:rFonts w:hint="eastAsia"/>
        </w:rPr>
        <w:t xml:space="preserve"> </w:t>
      </w:r>
      <w:proofErr w:type="spellStart"/>
      <w:r>
        <w:rPr>
          <w:rFonts w:hint="eastAsia"/>
        </w:rPr>
        <w:t>pearson</w:t>
      </w:r>
      <w:proofErr w:type="spellEnd"/>
      <w:r>
        <w:rPr>
          <w:rFonts w:hint="eastAsia"/>
        </w:rPr>
        <w:t>相关系数分析</w:t>
      </w:r>
    </w:p>
    <w:tbl>
      <w:tblPr>
        <w:tblW w:w="8739" w:type="dxa"/>
        <w:jc w:val="center"/>
        <w:tblLayout w:type="fixed"/>
        <w:tblLook w:val="04A0"/>
      </w:tblPr>
      <w:tblGrid>
        <w:gridCol w:w="795"/>
        <w:gridCol w:w="1244"/>
        <w:gridCol w:w="1100"/>
        <w:gridCol w:w="1075"/>
        <w:gridCol w:w="1237"/>
        <w:gridCol w:w="1000"/>
        <w:gridCol w:w="1038"/>
        <w:gridCol w:w="1250"/>
      </w:tblGrid>
      <w:tr w:rsidR="00F013E0">
        <w:trPr>
          <w:jc w:val="center"/>
        </w:trPr>
        <w:tc>
          <w:tcPr>
            <w:tcW w:w="795" w:type="dxa"/>
            <w:tcBorders>
              <w:top w:val="single" w:sz="6" w:space="0" w:color="auto"/>
              <w:left w:val="nil"/>
              <w:bottom w:val="nil"/>
              <w:right w:val="nil"/>
              <w:tl2br w:val="nil"/>
              <w:tr2bl w:val="nil"/>
            </w:tcBorders>
          </w:tcPr>
          <w:p w:rsidR="00F013E0" w:rsidRDefault="00F013E0">
            <w:pPr>
              <w:spacing w:line="240" w:lineRule="auto"/>
              <w:ind w:firstLineChars="0" w:firstLine="0"/>
              <w:jc w:val="left"/>
              <w:rPr>
                <w:rFonts w:cs="Times New Roman"/>
                <w:sz w:val="18"/>
                <w:szCs w:val="18"/>
              </w:rPr>
            </w:pPr>
          </w:p>
        </w:tc>
        <w:tc>
          <w:tcPr>
            <w:tcW w:w="1244" w:type="dxa"/>
            <w:tcBorders>
              <w:top w:val="single" w:sz="6" w:space="0" w:color="auto"/>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Risk</w:t>
            </w:r>
          </w:p>
        </w:tc>
        <w:tc>
          <w:tcPr>
            <w:tcW w:w="1100"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RDI</w:t>
            </w:r>
          </w:p>
        </w:tc>
        <w:tc>
          <w:tcPr>
            <w:tcW w:w="1075"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proofErr w:type="spellStart"/>
            <w:r>
              <w:rPr>
                <w:rFonts w:cs="Times New Roman"/>
                <w:sz w:val="18"/>
                <w:szCs w:val="18"/>
              </w:rPr>
              <w:t>Ded</w:t>
            </w:r>
            <w:proofErr w:type="spellEnd"/>
          </w:p>
        </w:tc>
        <w:tc>
          <w:tcPr>
            <w:tcW w:w="1237"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L</w:t>
            </w:r>
            <w:r>
              <w:rPr>
                <w:rFonts w:cs="Times New Roman" w:hint="eastAsia"/>
                <w:sz w:val="18"/>
                <w:szCs w:val="18"/>
              </w:rPr>
              <w:t>ev</w:t>
            </w:r>
          </w:p>
        </w:tc>
        <w:tc>
          <w:tcPr>
            <w:tcW w:w="1000"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Size</w:t>
            </w:r>
          </w:p>
        </w:tc>
        <w:tc>
          <w:tcPr>
            <w:tcW w:w="1038"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Age</w:t>
            </w:r>
          </w:p>
        </w:tc>
        <w:tc>
          <w:tcPr>
            <w:tcW w:w="1250" w:type="dxa"/>
            <w:tcBorders>
              <w:top w:val="single" w:sz="6" w:space="0" w:color="auto"/>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CHK</w:t>
            </w:r>
          </w:p>
        </w:tc>
      </w:tr>
      <w:tr w:rsidR="00F013E0">
        <w:trPr>
          <w:jc w:val="center"/>
        </w:trPr>
        <w:tc>
          <w:tcPr>
            <w:tcW w:w="795" w:type="dxa"/>
            <w:tcBorders>
              <w:top w:val="nil"/>
              <w:left w:val="nil"/>
              <w:bottom w:val="single" w:sz="6" w:space="0" w:color="auto"/>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Risk</w:t>
            </w:r>
          </w:p>
        </w:tc>
        <w:tc>
          <w:tcPr>
            <w:tcW w:w="1244"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100"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75"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37"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00"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38"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50" w:type="dxa"/>
            <w:tcBorders>
              <w:top w:val="nil"/>
              <w:left w:val="nil"/>
              <w:bottom w:val="single" w:sz="6" w:space="0" w:color="auto"/>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rPr>
          <w:jc w:val="center"/>
        </w:trPr>
        <w:tc>
          <w:tcPr>
            <w:tcW w:w="795" w:type="dxa"/>
            <w:tcBorders>
              <w:top w:val="nil"/>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RDI</w:t>
            </w:r>
          </w:p>
        </w:tc>
        <w:tc>
          <w:tcPr>
            <w:tcW w:w="1244"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-0.095***</w:t>
            </w:r>
          </w:p>
        </w:tc>
        <w:tc>
          <w:tcPr>
            <w:tcW w:w="11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075"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37"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0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38"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5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rPr>
          <w:jc w:val="center"/>
        </w:trPr>
        <w:tc>
          <w:tcPr>
            <w:tcW w:w="795" w:type="dxa"/>
            <w:tcBorders>
              <w:top w:val="nil"/>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proofErr w:type="spellStart"/>
            <w:r>
              <w:rPr>
                <w:rFonts w:cs="Times New Roman"/>
                <w:sz w:val="18"/>
                <w:szCs w:val="18"/>
              </w:rPr>
              <w:t>Ded</w:t>
            </w:r>
            <w:proofErr w:type="spellEnd"/>
          </w:p>
        </w:tc>
        <w:tc>
          <w:tcPr>
            <w:tcW w:w="1244"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-0.100***</w:t>
            </w:r>
          </w:p>
        </w:tc>
        <w:tc>
          <w:tcPr>
            <w:tcW w:w="11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0.996***</w:t>
            </w:r>
          </w:p>
        </w:tc>
        <w:tc>
          <w:tcPr>
            <w:tcW w:w="1075"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237"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0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38"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5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rPr>
          <w:jc w:val="center"/>
        </w:trPr>
        <w:tc>
          <w:tcPr>
            <w:tcW w:w="795" w:type="dxa"/>
            <w:tcBorders>
              <w:top w:val="nil"/>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L</w:t>
            </w:r>
            <w:r>
              <w:rPr>
                <w:rFonts w:cs="Times New Roman" w:hint="eastAsia"/>
                <w:sz w:val="18"/>
                <w:szCs w:val="18"/>
              </w:rPr>
              <w:t>ev</w:t>
            </w:r>
          </w:p>
        </w:tc>
        <w:tc>
          <w:tcPr>
            <w:tcW w:w="1244"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-0.369***</w:t>
            </w:r>
          </w:p>
        </w:tc>
        <w:tc>
          <w:tcPr>
            <w:tcW w:w="11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0.053*</w:t>
            </w:r>
          </w:p>
        </w:tc>
        <w:tc>
          <w:tcPr>
            <w:tcW w:w="1075"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0.071**</w:t>
            </w:r>
          </w:p>
        </w:tc>
        <w:tc>
          <w:tcPr>
            <w:tcW w:w="1237"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00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038"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5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rPr>
          <w:jc w:val="center"/>
        </w:trPr>
        <w:tc>
          <w:tcPr>
            <w:tcW w:w="795" w:type="dxa"/>
            <w:tcBorders>
              <w:top w:val="nil"/>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Size</w:t>
            </w:r>
          </w:p>
        </w:tc>
        <w:tc>
          <w:tcPr>
            <w:tcW w:w="1244"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-0.171***</w:t>
            </w:r>
          </w:p>
        </w:tc>
        <w:tc>
          <w:tcPr>
            <w:tcW w:w="11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-0.0100</w:t>
            </w:r>
          </w:p>
        </w:tc>
        <w:tc>
          <w:tcPr>
            <w:tcW w:w="1075"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0.00500</w:t>
            </w:r>
          </w:p>
        </w:tc>
        <w:tc>
          <w:tcPr>
            <w:tcW w:w="1237"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0.500***</w:t>
            </w:r>
          </w:p>
        </w:tc>
        <w:tc>
          <w:tcPr>
            <w:tcW w:w="10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038"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c>
          <w:tcPr>
            <w:tcW w:w="125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rPr>
          <w:jc w:val="center"/>
        </w:trPr>
        <w:tc>
          <w:tcPr>
            <w:tcW w:w="795" w:type="dxa"/>
            <w:tcBorders>
              <w:top w:val="nil"/>
              <w:left w:val="nil"/>
              <w:bottom w:val="nil"/>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Age</w:t>
            </w:r>
          </w:p>
        </w:tc>
        <w:tc>
          <w:tcPr>
            <w:tcW w:w="1244"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-0.328***</w:t>
            </w:r>
          </w:p>
        </w:tc>
        <w:tc>
          <w:tcPr>
            <w:tcW w:w="11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-0.0120</w:t>
            </w:r>
          </w:p>
        </w:tc>
        <w:tc>
          <w:tcPr>
            <w:tcW w:w="1075"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0.00400</w:t>
            </w:r>
          </w:p>
        </w:tc>
        <w:tc>
          <w:tcPr>
            <w:tcW w:w="1237"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0.223***</w:t>
            </w:r>
          </w:p>
        </w:tc>
        <w:tc>
          <w:tcPr>
            <w:tcW w:w="1000"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0.537***</w:t>
            </w:r>
          </w:p>
        </w:tc>
        <w:tc>
          <w:tcPr>
            <w:tcW w:w="1038" w:type="dxa"/>
            <w:tcBorders>
              <w:top w:val="nil"/>
              <w:left w:val="nil"/>
              <w:bottom w:val="nil"/>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c>
          <w:tcPr>
            <w:tcW w:w="1250" w:type="dxa"/>
            <w:tcBorders>
              <w:top w:val="nil"/>
              <w:left w:val="nil"/>
              <w:bottom w:val="nil"/>
              <w:right w:val="nil"/>
              <w:tl2br w:val="nil"/>
              <w:tr2bl w:val="nil"/>
            </w:tcBorders>
          </w:tcPr>
          <w:p w:rsidR="00F013E0" w:rsidRDefault="00F013E0">
            <w:pPr>
              <w:spacing w:line="240" w:lineRule="auto"/>
              <w:ind w:firstLineChars="0" w:firstLine="0"/>
              <w:jc w:val="center"/>
              <w:rPr>
                <w:rFonts w:cs="Times New Roman"/>
                <w:sz w:val="18"/>
                <w:szCs w:val="18"/>
              </w:rPr>
            </w:pPr>
          </w:p>
        </w:tc>
      </w:tr>
      <w:tr w:rsidR="00F013E0">
        <w:tblPrEx>
          <w:tblBorders>
            <w:bottom w:val="single" w:sz="6" w:space="0" w:color="auto"/>
          </w:tblBorders>
        </w:tblPrEx>
        <w:trPr>
          <w:jc w:val="center"/>
        </w:trPr>
        <w:tc>
          <w:tcPr>
            <w:tcW w:w="795" w:type="dxa"/>
            <w:tcBorders>
              <w:top w:val="nil"/>
              <w:left w:val="nil"/>
              <w:bottom w:val="single" w:sz="6" w:space="0" w:color="auto"/>
              <w:right w:val="nil"/>
              <w:tl2br w:val="nil"/>
              <w:tr2bl w:val="nil"/>
            </w:tcBorders>
          </w:tcPr>
          <w:p w:rsidR="00F013E0" w:rsidRDefault="007115C6">
            <w:pPr>
              <w:spacing w:line="240" w:lineRule="auto"/>
              <w:ind w:firstLineChars="0" w:firstLine="0"/>
              <w:jc w:val="left"/>
              <w:rPr>
                <w:rFonts w:cs="Times New Roman"/>
                <w:sz w:val="18"/>
                <w:szCs w:val="18"/>
              </w:rPr>
            </w:pPr>
            <w:r>
              <w:rPr>
                <w:rFonts w:cs="Times New Roman"/>
                <w:sz w:val="18"/>
                <w:szCs w:val="18"/>
              </w:rPr>
              <w:t>CHK</w:t>
            </w:r>
          </w:p>
        </w:tc>
        <w:tc>
          <w:tcPr>
            <w:tcW w:w="1244"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-0.0360</w:t>
            </w:r>
          </w:p>
        </w:tc>
        <w:tc>
          <w:tcPr>
            <w:tcW w:w="1100"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-0.0170</w:t>
            </w:r>
          </w:p>
        </w:tc>
        <w:tc>
          <w:tcPr>
            <w:tcW w:w="1075"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-0.0130</w:t>
            </w:r>
          </w:p>
        </w:tc>
        <w:tc>
          <w:tcPr>
            <w:tcW w:w="1237"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0.142***</w:t>
            </w:r>
          </w:p>
        </w:tc>
        <w:tc>
          <w:tcPr>
            <w:tcW w:w="1000"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0.355***</w:t>
            </w:r>
          </w:p>
        </w:tc>
        <w:tc>
          <w:tcPr>
            <w:tcW w:w="1038"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0.518***</w:t>
            </w:r>
          </w:p>
        </w:tc>
        <w:tc>
          <w:tcPr>
            <w:tcW w:w="1250" w:type="dxa"/>
            <w:tcBorders>
              <w:top w:val="nil"/>
              <w:left w:val="nil"/>
              <w:bottom w:val="single" w:sz="6" w:space="0" w:color="auto"/>
              <w:right w:val="nil"/>
              <w:tl2br w:val="nil"/>
              <w:tr2bl w:val="nil"/>
            </w:tcBorders>
          </w:tcPr>
          <w:p w:rsidR="00F013E0" w:rsidRDefault="007115C6">
            <w:pPr>
              <w:spacing w:line="240" w:lineRule="auto"/>
              <w:ind w:firstLineChars="0" w:firstLine="0"/>
              <w:jc w:val="center"/>
              <w:rPr>
                <w:rFonts w:cs="Times New Roman"/>
                <w:sz w:val="18"/>
                <w:szCs w:val="18"/>
              </w:rPr>
            </w:pPr>
            <w:r>
              <w:rPr>
                <w:rFonts w:cs="Times New Roman"/>
                <w:sz w:val="18"/>
                <w:szCs w:val="18"/>
              </w:rPr>
              <w:t>1</w:t>
            </w:r>
          </w:p>
        </w:tc>
      </w:tr>
    </w:tbl>
    <w:p w:rsidR="00F013E0" w:rsidRDefault="007115C6">
      <w:pPr>
        <w:ind w:firstLineChars="0" w:firstLine="0"/>
        <w:rPr>
          <w:sz w:val="18"/>
          <w:szCs w:val="18"/>
        </w:rPr>
      </w:pPr>
      <w:r>
        <w:rPr>
          <w:rFonts w:hint="eastAsia"/>
          <w:sz w:val="18"/>
          <w:szCs w:val="18"/>
        </w:rPr>
        <w:t>***</w:t>
      </w:r>
      <w:r>
        <w:rPr>
          <w:rFonts w:hint="eastAsia"/>
          <w:sz w:val="18"/>
          <w:szCs w:val="18"/>
        </w:rPr>
        <w:t>代表</w:t>
      </w:r>
      <w:r>
        <w:rPr>
          <w:rFonts w:hint="eastAsia"/>
          <w:sz w:val="18"/>
          <w:szCs w:val="18"/>
        </w:rPr>
        <w:t>1%</w:t>
      </w:r>
      <w:r>
        <w:rPr>
          <w:rFonts w:hint="eastAsia"/>
          <w:sz w:val="18"/>
          <w:szCs w:val="18"/>
        </w:rPr>
        <w:t>显著性水平，</w:t>
      </w:r>
      <w:r>
        <w:rPr>
          <w:rFonts w:hint="eastAsia"/>
          <w:sz w:val="18"/>
          <w:szCs w:val="18"/>
        </w:rPr>
        <w:t>**</w:t>
      </w:r>
      <w:r>
        <w:rPr>
          <w:rFonts w:hint="eastAsia"/>
          <w:sz w:val="18"/>
          <w:szCs w:val="18"/>
        </w:rPr>
        <w:t>代表</w:t>
      </w:r>
      <w:r>
        <w:rPr>
          <w:rFonts w:hint="eastAsia"/>
          <w:sz w:val="18"/>
          <w:szCs w:val="18"/>
        </w:rPr>
        <w:t>5%</w:t>
      </w:r>
      <w:r>
        <w:rPr>
          <w:rFonts w:hint="eastAsia"/>
          <w:sz w:val="18"/>
          <w:szCs w:val="18"/>
        </w:rPr>
        <w:t>显著性水平，</w:t>
      </w:r>
      <w:r>
        <w:rPr>
          <w:rFonts w:hint="eastAsia"/>
          <w:sz w:val="18"/>
          <w:szCs w:val="18"/>
        </w:rPr>
        <w:t>*</w:t>
      </w:r>
      <w:r>
        <w:rPr>
          <w:rFonts w:hint="eastAsia"/>
          <w:sz w:val="18"/>
          <w:szCs w:val="18"/>
        </w:rPr>
        <w:t>代表</w:t>
      </w:r>
      <w:r>
        <w:rPr>
          <w:rFonts w:hint="eastAsia"/>
          <w:sz w:val="18"/>
          <w:szCs w:val="18"/>
        </w:rPr>
        <w:t>10%</w:t>
      </w:r>
      <w:r>
        <w:rPr>
          <w:rFonts w:hint="eastAsia"/>
          <w:sz w:val="18"/>
          <w:szCs w:val="18"/>
        </w:rPr>
        <w:t>显著性水平</w:t>
      </w:r>
    </w:p>
    <w:p w:rsidR="00F013E0" w:rsidRDefault="007115C6">
      <w:pPr>
        <w:ind w:firstLine="420"/>
      </w:pPr>
      <w:r>
        <w:rPr>
          <w:rFonts w:hint="eastAsia"/>
        </w:rPr>
        <w:t>（三）多元回归分析</w:t>
      </w:r>
    </w:p>
    <w:p w:rsidR="009A23EF" w:rsidRDefault="007115C6">
      <w:pPr>
        <w:ind w:firstLine="420"/>
      </w:pPr>
      <w:r>
        <w:rPr>
          <w:rFonts w:hint="eastAsia"/>
        </w:rPr>
        <w:t>为了验证前文的假设的真假，利用所查面板数据对上述构建的模型分别进行回归检验。在选择计量模型时，根据</w:t>
      </w:r>
      <w:proofErr w:type="spellStart"/>
      <w:r>
        <w:rPr>
          <w:rFonts w:hint="eastAsia"/>
        </w:rPr>
        <w:t>Hasuman</w:t>
      </w:r>
      <w:proofErr w:type="spellEnd"/>
      <w:r>
        <w:rPr>
          <w:rFonts w:hint="eastAsia"/>
        </w:rPr>
        <w:t>检验发现，固定效应模型更加有效。</w:t>
      </w:r>
    </w:p>
    <w:p w:rsidR="00F013E0" w:rsidRDefault="007115C6">
      <w:pPr>
        <w:ind w:firstLine="420"/>
      </w:pPr>
      <w:r>
        <w:rPr>
          <w:rFonts w:hint="eastAsia"/>
        </w:rPr>
        <w:t>1.</w:t>
      </w:r>
      <w:r>
        <w:rPr>
          <w:rFonts w:hint="eastAsia"/>
        </w:rPr>
        <w:t>研发加计扣除与研发投入强度的回归分析</w:t>
      </w:r>
    </w:p>
    <w:p w:rsidR="00F013E0" w:rsidRDefault="007115C6">
      <w:pPr>
        <w:ind w:firstLine="420"/>
      </w:pPr>
      <w:r>
        <w:rPr>
          <w:rFonts w:hint="eastAsia"/>
        </w:rPr>
        <w:t>如表</w:t>
      </w:r>
      <w:r>
        <w:rPr>
          <w:rFonts w:hint="eastAsia"/>
        </w:rPr>
        <w:t>4</w:t>
      </w:r>
      <w:r>
        <w:rPr>
          <w:rFonts w:hint="eastAsia"/>
        </w:rPr>
        <w:t>中的模型</w:t>
      </w:r>
      <w:r>
        <w:rPr>
          <w:rFonts w:hint="eastAsia"/>
        </w:rPr>
        <w:t>1</w:t>
      </w:r>
      <w:r>
        <w:rPr>
          <w:rFonts w:hint="eastAsia"/>
        </w:rPr>
        <w:t>所示，</w:t>
      </w:r>
      <w:proofErr w:type="spellStart"/>
      <w:r>
        <w:rPr>
          <w:rFonts w:hint="eastAsia"/>
        </w:rPr>
        <w:t>Ded</w:t>
      </w:r>
      <w:proofErr w:type="spellEnd"/>
      <w:r>
        <w:rPr>
          <w:rFonts w:hint="eastAsia"/>
        </w:rPr>
        <w:t>与</w:t>
      </w:r>
      <w:r>
        <w:rPr>
          <w:rFonts w:hint="eastAsia"/>
        </w:rPr>
        <w:t>RDI</w:t>
      </w:r>
      <w:r>
        <w:rPr>
          <w:rFonts w:hint="eastAsia"/>
        </w:rPr>
        <w:t>的相关系数是</w:t>
      </w:r>
      <w:r>
        <w:rPr>
          <w:rFonts w:hint="eastAsia"/>
        </w:rPr>
        <w:t>5.37</w:t>
      </w:r>
      <w:r>
        <w:rPr>
          <w:rFonts w:hint="eastAsia"/>
        </w:rPr>
        <w:t>，且</w:t>
      </w:r>
      <w:r w:rsidR="0013286A">
        <w:rPr>
          <w:rFonts w:hint="eastAsia"/>
        </w:rPr>
        <w:t>显著性为</w:t>
      </w:r>
      <w:r w:rsidR="0013286A">
        <w:rPr>
          <w:rFonts w:hint="eastAsia"/>
        </w:rPr>
        <w:t>1%</w:t>
      </w:r>
      <w:r>
        <w:rPr>
          <w:rFonts w:hint="eastAsia"/>
        </w:rPr>
        <w:t>，假设</w:t>
      </w:r>
      <w:r>
        <w:rPr>
          <w:rFonts w:hint="eastAsia"/>
        </w:rPr>
        <w:t>1</w:t>
      </w:r>
      <w:r>
        <w:rPr>
          <w:rFonts w:hint="eastAsia"/>
        </w:rPr>
        <w:t>得到验证。此外，资产负债率的系数是</w:t>
      </w:r>
      <w:r>
        <w:rPr>
          <w:rFonts w:hint="eastAsia"/>
        </w:rPr>
        <w:t>-0.0406</w:t>
      </w:r>
      <w:r w:rsidR="0013286A">
        <w:rPr>
          <w:rFonts w:hint="eastAsia"/>
        </w:rPr>
        <w:t>，与研发强度负相关</w:t>
      </w:r>
      <w:r>
        <w:rPr>
          <w:rFonts w:hint="eastAsia"/>
        </w:rPr>
        <w:t>，说明企业负债占比增加，企业的研发投入会相应减少；企业的性质在</w:t>
      </w:r>
      <w:r>
        <w:rPr>
          <w:rFonts w:hint="eastAsia"/>
        </w:rPr>
        <w:t>10%</w:t>
      </w:r>
      <w:r>
        <w:rPr>
          <w:rFonts w:hint="eastAsia"/>
        </w:rPr>
        <w:t>的显著水平上相关系数为</w:t>
      </w:r>
      <w:r>
        <w:rPr>
          <w:rFonts w:hint="eastAsia"/>
        </w:rPr>
        <w:t>0.0084</w:t>
      </w:r>
      <w:r>
        <w:rPr>
          <w:rFonts w:hint="eastAsia"/>
        </w:rPr>
        <w:t>，这表明国有企业</w:t>
      </w:r>
      <w:r w:rsidR="0013286A">
        <w:rPr>
          <w:rFonts w:hint="eastAsia"/>
        </w:rPr>
        <w:t>研发强度更强</w:t>
      </w:r>
      <w:r>
        <w:rPr>
          <w:rFonts w:hint="eastAsia"/>
        </w:rPr>
        <w:t>。</w:t>
      </w:r>
    </w:p>
    <w:p w:rsidR="00F013E0" w:rsidRDefault="007115C6">
      <w:pPr>
        <w:ind w:firstLine="420"/>
      </w:pPr>
      <w:r>
        <w:rPr>
          <w:rFonts w:hint="eastAsia"/>
        </w:rPr>
        <w:t>2.</w:t>
      </w:r>
      <w:r>
        <w:rPr>
          <w:rFonts w:hint="eastAsia"/>
        </w:rPr>
        <w:t>研发支出与财务风险的回归分析</w:t>
      </w:r>
    </w:p>
    <w:p w:rsidR="00F013E0" w:rsidRDefault="007115C6">
      <w:pPr>
        <w:ind w:firstLine="420"/>
      </w:pPr>
      <w:r>
        <w:rPr>
          <w:rFonts w:hint="eastAsia"/>
        </w:rPr>
        <w:t>表</w:t>
      </w:r>
      <w:r>
        <w:rPr>
          <w:rFonts w:hint="eastAsia"/>
        </w:rPr>
        <w:t>4</w:t>
      </w:r>
      <w:r>
        <w:rPr>
          <w:rFonts w:hint="eastAsia"/>
        </w:rPr>
        <w:t>中的模型</w:t>
      </w:r>
      <w:r>
        <w:rPr>
          <w:rFonts w:hint="eastAsia"/>
        </w:rPr>
        <w:t>2</w:t>
      </w:r>
      <w:r>
        <w:rPr>
          <w:rFonts w:hint="eastAsia"/>
        </w:rPr>
        <w:t>是对研发支出与财务风险的回归分析结果，它们的相关系数是</w:t>
      </w:r>
      <w:r>
        <w:rPr>
          <w:rFonts w:hint="eastAsia"/>
        </w:rPr>
        <w:t>-0.126</w:t>
      </w:r>
      <w:r>
        <w:rPr>
          <w:rFonts w:hint="eastAsia"/>
        </w:rPr>
        <w:t>，两者在</w:t>
      </w:r>
      <w:r>
        <w:rPr>
          <w:rFonts w:hint="eastAsia"/>
        </w:rPr>
        <w:t>1%</w:t>
      </w:r>
      <w:r>
        <w:rPr>
          <w:rFonts w:hint="eastAsia"/>
        </w:rPr>
        <w:t>的显著水平上呈现负相关关系，这意味着研发支出越多，</w:t>
      </w:r>
      <w:r>
        <w:rPr>
          <w:rFonts w:hint="eastAsia"/>
        </w:rPr>
        <w:t>Z</w:t>
      </w:r>
      <w:r>
        <w:rPr>
          <w:rFonts w:hint="eastAsia"/>
        </w:rPr>
        <w:t>值越小，相应地，企业财务风险就越大。因此，研究假设</w:t>
      </w:r>
      <w:r>
        <w:rPr>
          <w:rFonts w:hint="eastAsia"/>
        </w:rPr>
        <w:t>2</w:t>
      </w:r>
      <w:r>
        <w:rPr>
          <w:rFonts w:hint="eastAsia"/>
        </w:rPr>
        <w:t>得到证实。</w:t>
      </w:r>
    </w:p>
    <w:p w:rsidR="00F013E0" w:rsidRDefault="007115C6">
      <w:pPr>
        <w:ind w:firstLine="420"/>
      </w:pPr>
      <w:r>
        <w:rPr>
          <w:rFonts w:hint="eastAsia"/>
        </w:rPr>
        <w:t>3.</w:t>
      </w:r>
      <w:r>
        <w:rPr>
          <w:rFonts w:hint="eastAsia"/>
        </w:rPr>
        <w:t>研发费用加计扣除调节效应的回归分析</w:t>
      </w:r>
    </w:p>
    <w:p w:rsidR="00F013E0" w:rsidRDefault="007115C6" w:rsidP="001C2C0B">
      <w:pPr>
        <w:ind w:firstLine="420"/>
      </w:pPr>
      <w:r>
        <w:rPr>
          <w:rFonts w:hint="eastAsia"/>
        </w:rPr>
        <w:t>本文对假设</w:t>
      </w:r>
      <w:r>
        <w:rPr>
          <w:rFonts w:hint="eastAsia"/>
        </w:rPr>
        <w:t>3</w:t>
      </w:r>
      <w:r w:rsidR="001C2C0B">
        <w:rPr>
          <w:rFonts w:hint="eastAsia"/>
        </w:rPr>
        <w:t>采用层次回归法</w:t>
      </w:r>
      <w:r>
        <w:rPr>
          <w:rFonts w:hint="eastAsia"/>
        </w:rPr>
        <w:t>。首先，对于研发费用加计扣除与财务风险的关系进行了研究，结果如表</w:t>
      </w:r>
      <w:r>
        <w:rPr>
          <w:rFonts w:hint="eastAsia"/>
        </w:rPr>
        <w:t>4</w:t>
      </w:r>
      <w:r>
        <w:rPr>
          <w:rFonts w:hint="eastAsia"/>
        </w:rPr>
        <w:t>中的模型</w:t>
      </w:r>
      <w:r>
        <w:rPr>
          <w:rFonts w:hint="eastAsia"/>
        </w:rPr>
        <w:t>5</w:t>
      </w:r>
      <w:r>
        <w:rPr>
          <w:rFonts w:hint="eastAsia"/>
        </w:rPr>
        <w:t>所示，两者的相关系数为</w:t>
      </w:r>
      <w:r>
        <w:rPr>
          <w:rFonts w:hint="eastAsia"/>
        </w:rPr>
        <w:t>-0.624</w:t>
      </w:r>
      <w:r>
        <w:rPr>
          <w:rFonts w:hint="eastAsia"/>
        </w:rPr>
        <w:t>，且</w:t>
      </w:r>
      <w:r>
        <w:rPr>
          <w:rFonts w:hint="eastAsia"/>
        </w:rPr>
        <w:t>P</w:t>
      </w:r>
      <w:r>
        <w:rPr>
          <w:rFonts w:hint="eastAsia"/>
        </w:rPr>
        <w:t>值小于</w:t>
      </w:r>
      <w:r>
        <w:rPr>
          <w:rFonts w:hint="eastAsia"/>
        </w:rPr>
        <w:t>0.01</w:t>
      </w:r>
      <w:r>
        <w:rPr>
          <w:rFonts w:hint="eastAsia"/>
        </w:rPr>
        <w:t>，表明在仅考</w:t>
      </w:r>
      <w:r w:rsidR="001C2C0B">
        <w:rPr>
          <w:rFonts w:hint="eastAsia"/>
        </w:rPr>
        <w:t>虑研发费用加计扣除与财务风险的情况下，两者呈现负相关的关系。然后</w:t>
      </w:r>
      <w:r>
        <w:rPr>
          <w:rFonts w:hint="eastAsia"/>
        </w:rPr>
        <w:t>，对财务风险与研发支出、研发费用加计扣除的关系进行分析，回归结果如表</w:t>
      </w:r>
      <w:r>
        <w:rPr>
          <w:rFonts w:hint="eastAsia"/>
        </w:rPr>
        <w:t>4</w:t>
      </w:r>
      <w:r>
        <w:rPr>
          <w:rFonts w:hint="eastAsia"/>
        </w:rPr>
        <w:t>中的模型</w:t>
      </w:r>
      <w:r>
        <w:rPr>
          <w:rFonts w:hint="eastAsia"/>
        </w:rPr>
        <w:t>3</w:t>
      </w:r>
      <w:r>
        <w:rPr>
          <w:rFonts w:hint="eastAsia"/>
        </w:rPr>
        <w:t>所示。相较于模型</w:t>
      </w:r>
      <w:r>
        <w:rPr>
          <w:rFonts w:hint="eastAsia"/>
        </w:rPr>
        <w:t>5</w:t>
      </w:r>
      <w:r>
        <w:rPr>
          <w:rFonts w:hint="eastAsia"/>
        </w:rPr>
        <w:t>，模型</w:t>
      </w:r>
      <w:r>
        <w:rPr>
          <w:rFonts w:hint="eastAsia"/>
        </w:rPr>
        <w:t>3</w:t>
      </w:r>
      <w:r>
        <w:rPr>
          <w:rFonts w:hint="eastAsia"/>
        </w:rPr>
        <w:t>中</w:t>
      </w:r>
      <w:r>
        <w:rPr>
          <w:rFonts w:hint="eastAsia"/>
        </w:rPr>
        <w:t>RDI</w:t>
      </w:r>
      <w:r>
        <w:rPr>
          <w:rFonts w:hint="eastAsia"/>
        </w:rPr>
        <w:t>与</w:t>
      </w:r>
      <w:proofErr w:type="spellStart"/>
      <w:r>
        <w:rPr>
          <w:rFonts w:hint="eastAsia"/>
        </w:rPr>
        <w:t>Ded</w:t>
      </w:r>
      <w:proofErr w:type="spellEnd"/>
      <w:r>
        <w:rPr>
          <w:rFonts w:hint="eastAsia"/>
        </w:rPr>
        <w:t>的相关性表现为正相关，且模型</w:t>
      </w:r>
      <w:r>
        <w:rPr>
          <w:rFonts w:hint="eastAsia"/>
        </w:rPr>
        <w:t>3</w:t>
      </w:r>
      <w:r>
        <w:rPr>
          <w:rFonts w:hint="eastAsia"/>
        </w:rPr>
        <w:t>中的</w:t>
      </w:r>
      <w:r>
        <w:t>R2</w:t>
      </w:r>
      <w:r>
        <w:rPr>
          <w:rFonts w:hint="eastAsia"/>
        </w:rPr>
        <w:t>为</w:t>
      </w:r>
      <w:r>
        <w:rPr>
          <w:rFonts w:hint="eastAsia"/>
        </w:rPr>
        <w:t>0.267</w:t>
      </w:r>
      <w:r>
        <w:rPr>
          <w:rFonts w:hint="eastAsia"/>
        </w:rPr>
        <w:t>，要高于模型</w:t>
      </w:r>
      <w:r>
        <w:rPr>
          <w:rFonts w:hint="eastAsia"/>
        </w:rPr>
        <w:t>5</w:t>
      </w:r>
      <w:r>
        <w:rPr>
          <w:rFonts w:hint="eastAsia"/>
        </w:rPr>
        <w:t>中的</w:t>
      </w:r>
      <w:r>
        <w:rPr>
          <w:rFonts w:hint="eastAsia"/>
        </w:rPr>
        <w:t>0.261</w:t>
      </w:r>
      <w:r>
        <w:rPr>
          <w:rFonts w:hint="eastAsia"/>
        </w:rPr>
        <w:t>，这说明模型</w:t>
      </w:r>
      <w:r>
        <w:rPr>
          <w:rFonts w:hint="eastAsia"/>
        </w:rPr>
        <w:t>3</w:t>
      </w:r>
      <w:r>
        <w:rPr>
          <w:rFonts w:hint="eastAsia"/>
        </w:rPr>
        <w:t>的解释力度高于模型</w:t>
      </w:r>
      <w:r>
        <w:rPr>
          <w:rFonts w:hint="eastAsia"/>
        </w:rPr>
        <w:t>5</w:t>
      </w:r>
      <w:r>
        <w:rPr>
          <w:rFonts w:hint="eastAsia"/>
        </w:rPr>
        <w:t>的解释力度。最后，在模型</w:t>
      </w:r>
      <w:r>
        <w:rPr>
          <w:rFonts w:hint="eastAsia"/>
        </w:rPr>
        <w:t>3</w:t>
      </w:r>
      <w:r>
        <w:rPr>
          <w:rFonts w:hint="eastAsia"/>
        </w:rPr>
        <w:t>的基础上引入</w:t>
      </w:r>
      <w:r>
        <w:t>RDI*</w:t>
      </w:r>
      <w:proofErr w:type="spellStart"/>
      <w:r>
        <w:t>Ded</w:t>
      </w:r>
      <w:proofErr w:type="spellEnd"/>
      <w:r>
        <w:rPr>
          <w:rFonts w:hint="eastAsia"/>
        </w:rPr>
        <w:t>这一交叉项。如表</w:t>
      </w:r>
      <w:r>
        <w:rPr>
          <w:rFonts w:hint="eastAsia"/>
        </w:rPr>
        <w:t>4</w:t>
      </w:r>
      <w:r>
        <w:rPr>
          <w:rFonts w:hint="eastAsia"/>
        </w:rPr>
        <w:t>中的模型</w:t>
      </w:r>
      <w:r>
        <w:rPr>
          <w:rFonts w:hint="eastAsia"/>
        </w:rPr>
        <w:t>4</w:t>
      </w:r>
      <w:r>
        <w:rPr>
          <w:rFonts w:hint="eastAsia"/>
        </w:rPr>
        <w:t>所示，在引入交叉项之后，相较于模型</w:t>
      </w:r>
      <w:r>
        <w:rPr>
          <w:rFonts w:hint="eastAsia"/>
        </w:rPr>
        <w:t>3</w:t>
      </w:r>
      <w:r>
        <w:rPr>
          <w:rFonts w:hint="eastAsia"/>
        </w:rPr>
        <w:t>，研发强度与财务风险的显著性、研发费用加计扣除与财务风险的显著性有所下降，但</w:t>
      </w:r>
      <w:r>
        <w:t>RDI*</w:t>
      </w:r>
      <w:proofErr w:type="spellStart"/>
      <w:r>
        <w:t>Ded</w:t>
      </w:r>
      <w:proofErr w:type="spellEnd"/>
      <w:r>
        <w:rPr>
          <w:rFonts w:hint="eastAsia"/>
        </w:rPr>
        <w:t>与财务风险的相关系数为</w:t>
      </w:r>
      <w:r>
        <w:rPr>
          <w:rFonts w:hint="eastAsia"/>
        </w:rPr>
        <w:t>0.221</w:t>
      </w:r>
      <w:r>
        <w:rPr>
          <w:rFonts w:hint="eastAsia"/>
        </w:rPr>
        <w:t>，且在</w:t>
      </w:r>
      <w:r>
        <w:rPr>
          <w:rFonts w:hint="eastAsia"/>
        </w:rPr>
        <w:t>1%</w:t>
      </w:r>
      <w:r>
        <w:rPr>
          <w:rFonts w:hint="eastAsia"/>
        </w:rPr>
        <w:t>的显著性水平下相关，这说明研发费用加计扣除有助于缓冲研发支出引起的财务风险，甚至降低企业的财务风险。综上，研究假设</w:t>
      </w:r>
      <w:r>
        <w:rPr>
          <w:rFonts w:hint="eastAsia"/>
        </w:rPr>
        <w:lastRenderedPageBreak/>
        <w:t>3</w:t>
      </w:r>
      <w:r>
        <w:rPr>
          <w:rFonts w:hint="eastAsia"/>
        </w:rPr>
        <w:t>得到验证。</w:t>
      </w:r>
    </w:p>
    <w:p w:rsidR="00F013E0" w:rsidRDefault="007115C6">
      <w:pPr>
        <w:ind w:firstLine="420"/>
      </w:pPr>
      <w:r>
        <w:rPr>
          <w:rFonts w:hint="eastAsia"/>
        </w:rPr>
        <w:t>另外，在模型</w:t>
      </w:r>
      <w:r>
        <w:rPr>
          <w:rFonts w:hint="eastAsia"/>
        </w:rPr>
        <w:t>4</w:t>
      </w:r>
      <w:r>
        <w:rPr>
          <w:rFonts w:hint="eastAsia"/>
        </w:rPr>
        <w:t>中企业规模的系数为</w:t>
      </w:r>
      <w:r>
        <w:rPr>
          <w:rFonts w:hint="eastAsia"/>
        </w:rPr>
        <w:t>0.142</w:t>
      </w:r>
      <w:r w:rsidR="00BE4E18">
        <w:rPr>
          <w:rFonts w:hint="eastAsia"/>
        </w:rPr>
        <w:t>，这说</w:t>
      </w:r>
      <w:r>
        <w:rPr>
          <w:rFonts w:hint="eastAsia"/>
        </w:rPr>
        <w:t>明企业的规模越大，企业的财务风险就会越小。企业性质在</w:t>
      </w:r>
      <w:r>
        <w:rPr>
          <w:rFonts w:hint="eastAsia"/>
        </w:rPr>
        <w:t>1%</w:t>
      </w:r>
      <w:r>
        <w:rPr>
          <w:rFonts w:hint="eastAsia"/>
        </w:rPr>
        <w:t>的显著水平上相关系数为</w:t>
      </w:r>
      <w:r>
        <w:rPr>
          <w:rFonts w:hint="eastAsia"/>
        </w:rPr>
        <w:t>0.34</w:t>
      </w:r>
      <w:r>
        <w:rPr>
          <w:rFonts w:hint="eastAsia"/>
        </w:rPr>
        <w:t>，这表明相对于非国营企业，国营企业的财务风险更小。</w:t>
      </w:r>
    </w:p>
    <w:p w:rsidR="00F013E0" w:rsidRDefault="007115C6">
      <w:pPr>
        <w:pStyle w:val="a3"/>
        <w:ind w:firstLine="400"/>
        <w:jc w:val="center"/>
        <w:rPr>
          <w:rFonts w:eastAsia="宋体"/>
        </w:rPr>
      </w:pPr>
      <w:r>
        <w:t>表</w:t>
      </w:r>
      <w:r>
        <w:t xml:space="preserve"> </w:t>
      </w:r>
      <w:r>
        <w:rPr>
          <w:rFonts w:hint="eastAsia"/>
        </w:rPr>
        <w:t xml:space="preserve">4 </w:t>
      </w:r>
      <w:r>
        <w:rPr>
          <w:rFonts w:hint="eastAsia"/>
        </w:rPr>
        <w:t>回归分析</w:t>
      </w:r>
    </w:p>
    <w:tbl>
      <w:tblPr>
        <w:tblW w:w="8625" w:type="dxa"/>
        <w:tblLayout w:type="fixed"/>
        <w:tblLook w:val="04A0"/>
      </w:tblPr>
      <w:tblGrid>
        <w:gridCol w:w="1260"/>
        <w:gridCol w:w="1470"/>
        <w:gridCol w:w="1395"/>
        <w:gridCol w:w="1635"/>
        <w:gridCol w:w="1324"/>
        <w:gridCol w:w="1541"/>
      </w:tblGrid>
      <w:tr w:rsidR="00F013E0">
        <w:tc>
          <w:tcPr>
            <w:tcW w:w="1260" w:type="dxa"/>
            <w:tcBorders>
              <w:top w:val="single" w:sz="4" w:space="0" w:color="auto"/>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single" w:sz="4" w:space="0" w:color="auto"/>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hint="eastAsia"/>
                <w:sz w:val="18"/>
                <w:szCs w:val="18"/>
              </w:rPr>
              <w:t>模型</w:t>
            </w:r>
            <w:r>
              <w:rPr>
                <w:rFonts w:cs="Times New Roman" w:hint="eastAsia"/>
                <w:sz w:val="18"/>
                <w:szCs w:val="18"/>
              </w:rPr>
              <w:t>1</w:t>
            </w:r>
          </w:p>
        </w:tc>
        <w:tc>
          <w:tcPr>
            <w:tcW w:w="1395" w:type="dxa"/>
            <w:tcBorders>
              <w:top w:val="single" w:sz="4" w:space="0" w:color="auto"/>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hint="eastAsia"/>
                <w:sz w:val="18"/>
                <w:szCs w:val="18"/>
              </w:rPr>
              <w:t>模型</w:t>
            </w:r>
            <w:r>
              <w:rPr>
                <w:rFonts w:cs="Times New Roman" w:hint="eastAsia"/>
                <w:sz w:val="18"/>
                <w:szCs w:val="18"/>
              </w:rPr>
              <w:t>2</w:t>
            </w:r>
          </w:p>
        </w:tc>
        <w:tc>
          <w:tcPr>
            <w:tcW w:w="1635" w:type="dxa"/>
            <w:tcBorders>
              <w:top w:val="single" w:sz="4" w:space="0" w:color="auto"/>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hint="eastAsia"/>
                <w:sz w:val="18"/>
                <w:szCs w:val="18"/>
              </w:rPr>
              <w:t>模型</w:t>
            </w:r>
            <w:r>
              <w:rPr>
                <w:rFonts w:cs="Times New Roman" w:hint="eastAsia"/>
                <w:sz w:val="18"/>
                <w:szCs w:val="18"/>
              </w:rPr>
              <w:t>3</w:t>
            </w:r>
          </w:p>
        </w:tc>
        <w:tc>
          <w:tcPr>
            <w:tcW w:w="1324" w:type="dxa"/>
            <w:tcBorders>
              <w:top w:val="single" w:sz="4" w:space="0" w:color="auto"/>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hint="eastAsia"/>
                <w:sz w:val="18"/>
                <w:szCs w:val="18"/>
              </w:rPr>
              <w:t>模型</w:t>
            </w:r>
            <w:r>
              <w:rPr>
                <w:rFonts w:cs="Times New Roman" w:hint="eastAsia"/>
                <w:sz w:val="18"/>
                <w:szCs w:val="18"/>
              </w:rPr>
              <w:t>4</w:t>
            </w:r>
          </w:p>
        </w:tc>
        <w:tc>
          <w:tcPr>
            <w:tcW w:w="1541" w:type="dxa"/>
            <w:tcBorders>
              <w:top w:val="single" w:sz="4" w:space="0" w:color="auto"/>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hint="eastAsia"/>
                <w:sz w:val="18"/>
                <w:szCs w:val="18"/>
              </w:rPr>
              <w:t>模型</w:t>
            </w:r>
            <w:r>
              <w:rPr>
                <w:rFonts w:cs="Times New Roman" w:hint="eastAsia"/>
                <w:sz w:val="18"/>
                <w:szCs w:val="18"/>
              </w:rPr>
              <w:t>5</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sz w:val="18"/>
                <w:szCs w:val="18"/>
              </w:rPr>
              <w:t>RDI</w:t>
            </w:r>
          </w:p>
        </w:tc>
        <w:tc>
          <w:tcPr>
            <w:tcW w:w="1395" w:type="dxa"/>
            <w:tcBorders>
              <w:top w:val="nil"/>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sz w:val="18"/>
                <w:szCs w:val="18"/>
              </w:rPr>
              <w:t>Risk</w:t>
            </w:r>
          </w:p>
        </w:tc>
        <w:tc>
          <w:tcPr>
            <w:tcW w:w="1635" w:type="dxa"/>
            <w:tcBorders>
              <w:top w:val="nil"/>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sz w:val="18"/>
                <w:szCs w:val="18"/>
              </w:rPr>
              <w:t>Risk</w:t>
            </w:r>
          </w:p>
        </w:tc>
        <w:tc>
          <w:tcPr>
            <w:tcW w:w="1324" w:type="dxa"/>
            <w:tcBorders>
              <w:top w:val="nil"/>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sz w:val="18"/>
                <w:szCs w:val="18"/>
              </w:rPr>
              <w:t>Risk</w:t>
            </w:r>
          </w:p>
        </w:tc>
        <w:tc>
          <w:tcPr>
            <w:tcW w:w="1541" w:type="dxa"/>
            <w:tcBorders>
              <w:top w:val="nil"/>
              <w:left w:val="nil"/>
              <w:bottom w:val="nil"/>
              <w:right w:val="nil"/>
            </w:tcBorders>
          </w:tcPr>
          <w:p w:rsidR="00F013E0" w:rsidRDefault="007115C6">
            <w:pPr>
              <w:widowControl/>
              <w:spacing w:line="240" w:lineRule="auto"/>
              <w:ind w:firstLine="360"/>
              <w:jc w:val="center"/>
              <w:rPr>
                <w:rFonts w:cs="Times New Roman"/>
                <w:sz w:val="18"/>
                <w:szCs w:val="18"/>
              </w:rPr>
            </w:pPr>
            <w:r>
              <w:rPr>
                <w:rFonts w:cs="Times New Roman"/>
                <w:sz w:val="18"/>
                <w:szCs w:val="18"/>
              </w:rPr>
              <w:t>Risk</w:t>
            </w:r>
          </w:p>
        </w:tc>
      </w:tr>
      <w:tr w:rsidR="00F013E0">
        <w:tc>
          <w:tcPr>
            <w:tcW w:w="1260" w:type="dxa"/>
            <w:tcBorders>
              <w:top w:val="single" w:sz="4" w:space="0" w:color="auto"/>
              <w:left w:val="nil"/>
              <w:bottom w:val="nil"/>
              <w:right w:val="nil"/>
            </w:tcBorders>
          </w:tcPr>
          <w:p w:rsidR="00F013E0" w:rsidRDefault="007115C6">
            <w:pPr>
              <w:widowControl/>
              <w:spacing w:line="240" w:lineRule="auto"/>
              <w:ind w:firstLineChars="0" w:firstLine="0"/>
              <w:jc w:val="left"/>
              <w:rPr>
                <w:rFonts w:cs="Times New Roman"/>
                <w:sz w:val="18"/>
                <w:szCs w:val="18"/>
              </w:rPr>
            </w:pPr>
            <w:proofErr w:type="spellStart"/>
            <w:r>
              <w:rPr>
                <w:rFonts w:cs="Times New Roman"/>
                <w:sz w:val="18"/>
                <w:szCs w:val="18"/>
              </w:rPr>
              <w:t>Ded</w:t>
            </w:r>
            <w:proofErr w:type="spellEnd"/>
          </w:p>
        </w:tc>
        <w:tc>
          <w:tcPr>
            <w:tcW w:w="1470"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5.370</w:t>
            </w:r>
            <w:r>
              <w:rPr>
                <w:sz w:val="18"/>
                <w:szCs w:val="18"/>
                <w:vertAlign w:val="superscript"/>
              </w:rPr>
              <w:t>***</w:t>
            </w:r>
          </w:p>
        </w:tc>
        <w:tc>
          <w:tcPr>
            <w:tcW w:w="1395" w:type="dxa"/>
            <w:tcBorders>
              <w:top w:val="single" w:sz="4" w:space="0" w:color="auto"/>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635"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7.321</w:t>
            </w:r>
            <w:r>
              <w:rPr>
                <w:sz w:val="18"/>
                <w:szCs w:val="18"/>
                <w:vertAlign w:val="superscript"/>
              </w:rPr>
              <w:t>***</w:t>
            </w:r>
          </w:p>
        </w:tc>
        <w:tc>
          <w:tcPr>
            <w:tcW w:w="1324"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0.499</w:t>
            </w:r>
          </w:p>
        </w:tc>
        <w:tc>
          <w:tcPr>
            <w:tcW w:w="1541"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-0.624</w:t>
            </w:r>
            <w:r>
              <w:rPr>
                <w:sz w:val="18"/>
                <w:szCs w:val="18"/>
                <w:vertAlign w:val="superscript"/>
              </w:rPr>
              <w:t>***</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(411.59)</w:t>
            </w:r>
          </w:p>
        </w:tc>
        <w:tc>
          <w:tcPr>
            <w:tcW w:w="1395"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(2.86)</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(0.14)</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(-2.90)</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Lev</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-0.0406</w:t>
            </w:r>
            <w:r>
              <w:rPr>
                <w:sz w:val="18"/>
                <w:szCs w:val="18"/>
                <w:vertAlign w:val="superscript"/>
              </w:rPr>
              <w:t>***</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-1.705</w:t>
            </w:r>
            <w:r>
              <w:rPr>
                <w:sz w:val="18"/>
                <w:szCs w:val="18"/>
                <w:vertAlign w:val="superscript"/>
              </w:rPr>
              <w:t>***</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-1.763</w:t>
            </w:r>
            <w:r>
              <w:rPr>
                <w:sz w:val="18"/>
                <w:szCs w:val="18"/>
                <w:vertAlign w:val="superscript"/>
              </w:rPr>
              <w:t>***</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-1.754</w:t>
            </w:r>
            <w:r>
              <w:rPr>
                <w:sz w:val="18"/>
                <w:szCs w:val="18"/>
                <w:vertAlign w:val="superscript"/>
              </w:rPr>
              <w:t>***</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-1.703</w:t>
            </w:r>
            <w:r>
              <w:rPr>
                <w:sz w:val="18"/>
                <w:szCs w:val="18"/>
                <w:vertAlign w:val="superscript"/>
              </w:rPr>
              <w:t>***</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(-5.42)</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(-13.82)</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(-14.14)</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(-14.11)</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(-13.78)</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Size</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-0.0000180</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0.147</w:t>
            </w:r>
            <w:r>
              <w:rPr>
                <w:sz w:val="18"/>
                <w:szCs w:val="18"/>
                <w:vertAlign w:val="superscript"/>
              </w:rPr>
              <w:t>***</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0.147</w:t>
            </w:r>
            <w:r>
              <w:rPr>
                <w:sz w:val="18"/>
                <w:szCs w:val="18"/>
                <w:vertAlign w:val="superscript"/>
              </w:rPr>
              <w:t>***</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0.142</w:t>
            </w:r>
            <w:r>
              <w:rPr>
                <w:sz w:val="18"/>
                <w:szCs w:val="18"/>
                <w:vertAlign w:val="superscript"/>
              </w:rPr>
              <w:t>***</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0.147</w:t>
            </w:r>
            <w:r>
              <w:rPr>
                <w:sz w:val="18"/>
                <w:szCs w:val="18"/>
                <w:vertAlign w:val="superscript"/>
              </w:rPr>
              <w:t>***</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(-0.01)</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(6.70)</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(6.73)</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(6.50)</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(6.70)</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Age</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-0.0147</w:t>
            </w:r>
            <w:r>
              <w:rPr>
                <w:sz w:val="18"/>
                <w:szCs w:val="18"/>
                <w:vertAlign w:val="superscript"/>
              </w:rPr>
              <w:t>***</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-0.636</w:t>
            </w:r>
            <w:r>
              <w:rPr>
                <w:sz w:val="18"/>
                <w:szCs w:val="18"/>
                <w:vertAlign w:val="superscript"/>
              </w:rPr>
              <w:t>***</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-0.656</w:t>
            </w:r>
            <w:r>
              <w:rPr>
                <w:sz w:val="18"/>
                <w:szCs w:val="18"/>
                <w:vertAlign w:val="superscript"/>
              </w:rPr>
              <w:t>***</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-0.644</w:t>
            </w:r>
            <w:r>
              <w:rPr>
                <w:sz w:val="18"/>
                <w:szCs w:val="18"/>
                <w:vertAlign w:val="superscript"/>
              </w:rPr>
              <w:t>***</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-0.634</w:t>
            </w:r>
            <w:r>
              <w:rPr>
                <w:sz w:val="18"/>
                <w:szCs w:val="18"/>
                <w:vertAlign w:val="superscript"/>
              </w:rPr>
              <w:t>***</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(-5.32)</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(-13.98)</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(-14.29)</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(-14.04)</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(-13.93)</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CHK</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0.00840</w:t>
            </w:r>
            <w:r>
              <w:rPr>
                <w:sz w:val="18"/>
                <w:szCs w:val="18"/>
                <w:vertAlign w:val="superscript"/>
              </w:rPr>
              <w:t>*</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0.327</w:t>
            </w:r>
            <w:r>
              <w:rPr>
                <w:sz w:val="18"/>
                <w:szCs w:val="18"/>
                <w:vertAlign w:val="superscript"/>
              </w:rPr>
              <w:t>***</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0.339</w:t>
            </w:r>
            <w:r>
              <w:rPr>
                <w:sz w:val="18"/>
                <w:szCs w:val="18"/>
                <w:vertAlign w:val="superscript"/>
              </w:rPr>
              <w:t>***</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0.340</w:t>
            </w:r>
            <w:r>
              <w:rPr>
                <w:sz w:val="18"/>
                <w:szCs w:val="18"/>
                <w:vertAlign w:val="superscript"/>
              </w:rPr>
              <w:t>***</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0.327</w:t>
            </w:r>
            <w:r>
              <w:rPr>
                <w:sz w:val="18"/>
                <w:szCs w:val="18"/>
                <w:vertAlign w:val="superscript"/>
              </w:rPr>
              <w:t>***</w:t>
            </w: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(2.51)</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(5.95)</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(6.16)</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(6.20)</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(5.93)</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RDI</w:t>
            </w:r>
          </w:p>
        </w:tc>
        <w:tc>
          <w:tcPr>
            <w:tcW w:w="1470"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-0.126</w:t>
            </w:r>
            <w:r>
              <w:rPr>
                <w:sz w:val="18"/>
                <w:szCs w:val="18"/>
                <w:vertAlign w:val="superscript"/>
              </w:rPr>
              <w:t>***</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-1.479</w:t>
            </w:r>
            <w:r>
              <w:rPr>
                <w:sz w:val="18"/>
                <w:szCs w:val="18"/>
                <w:vertAlign w:val="superscript"/>
              </w:rPr>
              <w:t>***</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-0.859</w:t>
            </w:r>
          </w:p>
        </w:tc>
        <w:tc>
          <w:tcPr>
            <w:tcW w:w="1541"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(-3.15)</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(-3.11)</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(-1.65)</w:t>
            </w:r>
          </w:p>
        </w:tc>
        <w:tc>
          <w:tcPr>
            <w:tcW w:w="1541"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RDI*</w:t>
            </w:r>
            <w:proofErr w:type="spellStart"/>
            <w:r>
              <w:rPr>
                <w:rFonts w:cs="Times New Roman"/>
                <w:sz w:val="18"/>
                <w:szCs w:val="18"/>
              </w:rPr>
              <w:t>Ded</w:t>
            </w:r>
            <w:proofErr w:type="spellEnd"/>
          </w:p>
        </w:tc>
        <w:tc>
          <w:tcPr>
            <w:tcW w:w="1470"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95"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635"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0.221</w:t>
            </w:r>
            <w:r>
              <w:rPr>
                <w:sz w:val="18"/>
                <w:szCs w:val="18"/>
                <w:vertAlign w:val="superscript"/>
              </w:rPr>
              <w:t>***</w:t>
            </w:r>
          </w:p>
        </w:tc>
        <w:tc>
          <w:tcPr>
            <w:tcW w:w="1541"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r>
      <w:tr w:rsidR="00F013E0">
        <w:tc>
          <w:tcPr>
            <w:tcW w:w="1260" w:type="dxa"/>
            <w:tcBorders>
              <w:top w:val="nil"/>
              <w:left w:val="nil"/>
              <w:bottom w:val="nil"/>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95"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635"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(2.84)</w:t>
            </w:r>
          </w:p>
        </w:tc>
        <w:tc>
          <w:tcPr>
            <w:tcW w:w="1541" w:type="dxa"/>
            <w:tcBorders>
              <w:top w:val="nil"/>
              <w:left w:val="nil"/>
              <w:bottom w:val="nil"/>
              <w:right w:val="nil"/>
            </w:tcBorders>
          </w:tcPr>
          <w:p w:rsidR="00F013E0" w:rsidRDefault="00F013E0">
            <w:pPr>
              <w:widowControl/>
              <w:spacing w:line="240" w:lineRule="auto"/>
              <w:ind w:firstLine="360"/>
              <w:jc w:val="center"/>
              <w:rPr>
                <w:rFonts w:asciiTheme="minorHAnsi" w:eastAsiaTheme="minorEastAsia" w:hAnsiTheme="minorHAnsi"/>
                <w:sz w:val="18"/>
                <w:szCs w:val="18"/>
              </w:rPr>
            </w:pP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cons</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0.0794</w:t>
            </w:r>
            <w:r>
              <w:rPr>
                <w:sz w:val="18"/>
                <w:szCs w:val="18"/>
                <w:vertAlign w:val="superscript"/>
              </w:rPr>
              <w:t>**</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0.256</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0.360</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0.454</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0.243</w:t>
            </w:r>
          </w:p>
        </w:tc>
      </w:tr>
      <w:tr w:rsidR="00F013E0">
        <w:tc>
          <w:tcPr>
            <w:tcW w:w="1260" w:type="dxa"/>
            <w:tcBorders>
              <w:top w:val="nil"/>
              <w:left w:val="nil"/>
              <w:bottom w:val="single" w:sz="4" w:space="0" w:color="auto"/>
              <w:right w:val="nil"/>
            </w:tcBorders>
          </w:tcPr>
          <w:p w:rsidR="00F013E0" w:rsidRDefault="00F013E0">
            <w:pPr>
              <w:widowControl/>
              <w:spacing w:line="240" w:lineRule="auto"/>
              <w:ind w:firstLine="360"/>
              <w:jc w:val="left"/>
              <w:rPr>
                <w:rFonts w:cs="Times New Roman"/>
                <w:sz w:val="18"/>
                <w:szCs w:val="18"/>
              </w:rPr>
            </w:pPr>
          </w:p>
        </w:tc>
        <w:tc>
          <w:tcPr>
            <w:tcW w:w="1470"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(3.09)</w:t>
            </w:r>
          </w:p>
        </w:tc>
        <w:tc>
          <w:tcPr>
            <w:tcW w:w="1395"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(0.60)</w:t>
            </w:r>
          </w:p>
        </w:tc>
        <w:tc>
          <w:tcPr>
            <w:tcW w:w="1635"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(0.85)</w:t>
            </w:r>
          </w:p>
        </w:tc>
        <w:tc>
          <w:tcPr>
            <w:tcW w:w="1324"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(1.07)</w:t>
            </w:r>
          </w:p>
        </w:tc>
        <w:tc>
          <w:tcPr>
            <w:tcW w:w="1541"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hAnsiTheme="minorHAnsi"/>
                <w:sz w:val="18"/>
                <w:szCs w:val="18"/>
              </w:rPr>
            </w:pPr>
            <w:r>
              <w:rPr>
                <w:sz w:val="18"/>
                <w:szCs w:val="18"/>
              </w:rPr>
              <w:t>(0.57)</w:t>
            </w:r>
          </w:p>
        </w:tc>
      </w:tr>
      <w:tr w:rsidR="00F013E0">
        <w:tc>
          <w:tcPr>
            <w:tcW w:w="1260" w:type="dxa"/>
            <w:tcBorders>
              <w:top w:val="single" w:sz="4" w:space="0" w:color="auto"/>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i/>
                <w:sz w:val="18"/>
                <w:szCs w:val="18"/>
              </w:rPr>
              <w:t>N</w:t>
            </w:r>
          </w:p>
        </w:tc>
        <w:tc>
          <w:tcPr>
            <w:tcW w:w="1470"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1</w:t>
            </w:r>
            <w:r>
              <w:rPr>
                <w:rFonts w:hint="eastAsia"/>
                <w:sz w:val="18"/>
                <w:szCs w:val="18"/>
              </w:rPr>
              <w:t>505</w:t>
            </w:r>
          </w:p>
        </w:tc>
        <w:tc>
          <w:tcPr>
            <w:tcW w:w="1395"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1</w:t>
            </w:r>
            <w:r>
              <w:rPr>
                <w:rFonts w:hint="eastAsia"/>
                <w:sz w:val="18"/>
                <w:szCs w:val="18"/>
              </w:rPr>
              <w:t>505</w:t>
            </w:r>
          </w:p>
        </w:tc>
        <w:tc>
          <w:tcPr>
            <w:tcW w:w="1635"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1</w:t>
            </w:r>
            <w:r>
              <w:rPr>
                <w:rFonts w:hint="eastAsia"/>
                <w:sz w:val="18"/>
                <w:szCs w:val="18"/>
              </w:rPr>
              <w:t>505</w:t>
            </w:r>
          </w:p>
        </w:tc>
        <w:tc>
          <w:tcPr>
            <w:tcW w:w="1324"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1</w:t>
            </w:r>
            <w:r>
              <w:rPr>
                <w:rFonts w:hint="eastAsia"/>
                <w:sz w:val="18"/>
                <w:szCs w:val="18"/>
              </w:rPr>
              <w:t>505</w:t>
            </w:r>
          </w:p>
        </w:tc>
        <w:tc>
          <w:tcPr>
            <w:tcW w:w="1541" w:type="dxa"/>
            <w:tcBorders>
              <w:top w:val="single" w:sz="4" w:space="0" w:color="auto"/>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1</w:t>
            </w:r>
            <w:r>
              <w:rPr>
                <w:rFonts w:hint="eastAsia"/>
                <w:sz w:val="18"/>
                <w:szCs w:val="18"/>
              </w:rPr>
              <w:t>505</w:t>
            </w:r>
          </w:p>
        </w:tc>
      </w:tr>
      <w:tr w:rsidR="00F013E0">
        <w:tc>
          <w:tcPr>
            <w:tcW w:w="1260" w:type="dxa"/>
            <w:tcBorders>
              <w:top w:val="nil"/>
              <w:left w:val="nil"/>
              <w:bottom w:val="nil"/>
              <w:right w:val="nil"/>
            </w:tcBorders>
          </w:tcPr>
          <w:p w:rsidR="00F013E0" w:rsidRDefault="007115C6">
            <w:pPr>
              <w:widowControl/>
              <w:spacing w:line="240" w:lineRule="auto"/>
              <w:ind w:firstLineChars="0" w:firstLine="0"/>
              <w:jc w:val="left"/>
              <w:rPr>
                <w:rFonts w:cs="Times New Roman"/>
                <w:sz w:val="18"/>
                <w:szCs w:val="18"/>
              </w:rPr>
            </w:pPr>
            <w:r>
              <w:rPr>
                <w:rFonts w:cs="Times New Roman"/>
                <w:i/>
                <w:sz w:val="18"/>
                <w:szCs w:val="18"/>
              </w:rPr>
              <w:t>R</w:t>
            </w:r>
            <w:r>
              <w:rPr>
                <w:rFonts w:cs="Times New Roman"/>
                <w:sz w:val="18"/>
                <w:szCs w:val="18"/>
                <w:vertAlign w:val="superscript"/>
              </w:rPr>
              <w:t>2</w:t>
            </w:r>
          </w:p>
        </w:tc>
        <w:tc>
          <w:tcPr>
            <w:tcW w:w="1470"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0.993</w:t>
            </w:r>
          </w:p>
        </w:tc>
        <w:tc>
          <w:tcPr>
            <w:tcW w:w="1395"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0.262</w:t>
            </w:r>
          </w:p>
        </w:tc>
        <w:tc>
          <w:tcPr>
            <w:tcW w:w="1635"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0.267</w:t>
            </w:r>
          </w:p>
        </w:tc>
        <w:tc>
          <w:tcPr>
            <w:tcW w:w="1324"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0.272</w:t>
            </w:r>
          </w:p>
        </w:tc>
        <w:tc>
          <w:tcPr>
            <w:tcW w:w="1541" w:type="dxa"/>
            <w:tcBorders>
              <w:top w:val="nil"/>
              <w:left w:val="nil"/>
              <w:bottom w:val="nil"/>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0.261</w:t>
            </w:r>
          </w:p>
        </w:tc>
      </w:tr>
      <w:tr w:rsidR="00F013E0">
        <w:tc>
          <w:tcPr>
            <w:tcW w:w="1260" w:type="dxa"/>
            <w:tcBorders>
              <w:top w:val="nil"/>
              <w:left w:val="nil"/>
              <w:bottom w:val="single" w:sz="4" w:space="0" w:color="auto"/>
              <w:right w:val="nil"/>
            </w:tcBorders>
          </w:tcPr>
          <w:p w:rsidR="00F013E0" w:rsidRDefault="007115C6">
            <w:pPr>
              <w:widowControl/>
              <w:spacing w:line="240" w:lineRule="auto"/>
              <w:ind w:firstLineChars="0" w:firstLine="0"/>
              <w:jc w:val="left"/>
              <w:rPr>
                <w:rFonts w:cs="Times New Roman"/>
                <w:sz w:val="18"/>
                <w:szCs w:val="18"/>
              </w:rPr>
            </w:pPr>
            <w:r>
              <w:rPr>
                <w:rFonts w:cs="Times New Roman"/>
                <w:sz w:val="18"/>
                <w:szCs w:val="18"/>
              </w:rPr>
              <w:t xml:space="preserve">adj. </w:t>
            </w:r>
            <w:r>
              <w:rPr>
                <w:rFonts w:cs="Times New Roman"/>
                <w:i/>
                <w:sz w:val="18"/>
                <w:szCs w:val="18"/>
              </w:rPr>
              <w:t>R</w:t>
            </w:r>
            <w:r>
              <w:rPr>
                <w:rFonts w:cs="Times New Roman"/>
                <w:sz w:val="18"/>
                <w:szCs w:val="18"/>
                <w:vertAlign w:val="superscript"/>
              </w:rPr>
              <w:t>2</w:t>
            </w:r>
          </w:p>
        </w:tc>
        <w:tc>
          <w:tcPr>
            <w:tcW w:w="1470"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0.993</w:t>
            </w:r>
          </w:p>
        </w:tc>
        <w:tc>
          <w:tcPr>
            <w:tcW w:w="1395"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0.257</w:t>
            </w:r>
          </w:p>
        </w:tc>
        <w:tc>
          <w:tcPr>
            <w:tcW w:w="1635"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0.262</w:t>
            </w:r>
          </w:p>
        </w:tc>
        <w:tc>
          <w:tcPr>
            <w:tcW w:w="1324"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0.266</w:t>
            </w:r>
          </w:p>
        </w:tc>
        <w:tc>
          <w:tcPr>
            <w:tcW w:w="1541" w:type="dxa"/>
            <w:tcBorders>
              <w:top w:val="nil"/>
              <w:left w:val="nil"/>
              <w:bottom w:val="single" w:sz="4" w:space="0" w:color="auto"/>
              <w:right w:val="nil"/>
            </w:tcBorders>
          </w:tcPr>
          <w:p w:rsidR="00F013E0" w:rsidRDefault="007115C6">
            <w:pPr>
              <w:widowControl/>
              <w:spacing w:line="240" w:lineRule="auto"/>
              <w:ind w:firstLine="360"/>
              <w:jc w:val="center"/>
              <w:rPr>
                <w:rFonts w:asciiTheme="minorHAnsi" w:eastAsiaTheme="minorEastAsia" w:hAnsiTheme="minorHAnsi"/>
                <w:sz w:val="18"/>
                <w:szCs w:val="18"/>
              </w:rPr>
            </w:pPr>
            <w:r>
              <w:rPr>
                <w:sz w:val="18"/>
                <w:szCs w:val="18"/>
              </w:rPr>
              <w:t>0.256</w:t>
            </w:r>
          </w:p>
        </w:tc>
      </w:tr>
    </w:tbl>
    <w:p w:rsidR="00F013E0" w:rsidRDefault="007115C6">
      <w:pPr>
        <w:ind w:firstLine="400"/>
        <w:jc w:val="left"/>
        <w:rPr>
          <w:sz w:val="20"/>
          <w:szCs w:val="24"/>
        </w:rPr>
      </w:pPr>
      <w:r>
        <w:rPr>
          <w:sz w:val="20"/>
          <w:szCs w:val="24"/>
          <w:vertAlign w:val="superscript"/>
        </w:rPr>
        <w:t>*</w:t>
      </w:r>
      <w:r>
        <w:rPr>
          <w:sz w:val="20"/>
          <w:szCs w:val="24"/>
        </w:rPr>
        <w:t xml:space="preserve"> </w:t>
      </w:r>
      <w:r>
        <w:rPr>
          <w:i/>
          <w:sz w:val="20"/>
          <w:szCs w:val="24"/>
        </w:rPr>
        <w:t>p</w:t>
      </w:r>
      <w:r>
        <w:rPr>
          <w:sz w:val="20"/>
          <w:szCs w:val="24"/>
        </w:rPr>
        <w:t xml:space="preserve"> &lt; 0.</w:t>
      </w:r>
      <w:r>
        <w:rPr>
          <w:rFonts w:hint="eastAsia"/>
          <w:sz w:val="20"/>
          <w:szCs w:val="24"/>
        </w:rPr>
        <w:t>1</w:t>
      </w:r>
      <w:r>
        <w:rPr>
          <w:sz w:val="20"/>
          <w:szCs w:val="24"/>
        </w:rPr>
        <w:t xml:space="preserve">, </w:t>
      </w:r>
      <w:r>
        <w:rPr>
          <w:sz w:val="20"/>
          <w:szCs w:val="24"/>
          <w:vertAlign w:val="superscript"/>
        </w:rPr>
        <w:t>**</w:t>
      </w:r>
      <w:r>
        <w:rPr>
          <w:sz w:val="20"/>
          <w:szCs w:val="24"/>
        </w:rPr>
        <w:t xml:space="preserve"> </w:t>
      </w:r>
      <w:r>
        <w:rPr>
          <w:i/>
          <w:sz w:val="20"/>
          <w:szCs w:val="24"/>
        </w:rPr>
        <w:t>p</w:t>
      </w:r>
      <w:r>
        <w:rPr>
          <w:sz w:val="20"/>
          <w:szCs w:val="24"/>
        </w:rPr>
        <w:t xml:space="preserve"> &lt; 0.0</w:t>
      </w:r>
      <w:r>
        <w:rPr>
          <w:rFonts w:hint="eastAsia"/>
          <w:sz w:val="20"/>
          <w:szCs w:val="24"/>
        </w:rPr>
        <w:t>5</w:t>
      </w:r>
      <w:r>
        <w:rPr>
          <w:sz w:val="20"/>
          <w:szCs w:val="24"/>
        </w:rPr>
        <w:t xml:space="preserve">, </w:t>
      </w:r>
      <w:r>
        <w:rPr>
          <w:sz w:val="20"/>
          <w:szCs w:val="24"/>
          <w:vertAlign w:val="superscript"/>
        </w:rPr>
        <w:t>***</w:t>
      </w:r>
      <w:r>
        <w:rPr>
          <w:sz w:val="20"/>
          <w:szCs w:val="24"/>
        </w:rPr>
        <w:t xml:space="preserve"> </w:t>
      </w:r>
      <w:r>
        <w:rPr>
          <w:i/>
          <w:sz w:val="20"/>
          <w:szCs w:val="24"/>
        </w:rPr>
        <w:t>p</w:t>
      </w:r>
      <w:r>
        <w:rPr>
          <w:sz w:val="20"/>
          <w:szCs w:val="24"/>
        </w:rPr>
        <w:t xml:space="preserve"> &lt; 0.01</w:t>
      </w:r>
    </w:p>
    <w:p w:rsidR="00F013E0" w:rsidRPr="002E43FD" w:rsidRDefault="002E43FD" w:rsidP="002E43FD">
      <w:pPr>
        <w:ind w:firstLine="420"/>
        <w:rPr>
          <w:rFonts w:asciiTheme="minorEastAsia" w:hAnsiTheme="minorEastAsia"/>
          <w:szCs w:val="21"/>
        </w:rPr>
      </w:pPr>
      <w:r w:rsidRPr="002E43FD">
        <w:rPr>
          <w:rFonts w:asciiTheme="minorEastAsia" w:hAnsiTheme="minorEastAsia" w:hint="eastAsia"/>
          <w:szCs w:val="21"/>
        </w:rPr>
        <w:t>（四）</w:t>
      </w:r>
      <w:r w:rsidR="007115C6" w:rsidRPr="002E43FD">
        <w:rPr>
          <w:rFonts w:asciiTheme="minorEastAsia" w:hAnsiTheme="minorEastAsia" w:hint="eastAsia"/>
          <w:szCs w:val="21"/>
        </w:rPr>
        <w:t>稳健性检验</w:t>
      </w:r>
    </w:p>
    <w:p w:rsidR="00F013E0" w:rsidRDefault="007115C6">
      <w:pPr>
        <w:ind w:firstLine="420"/>
      </w:pPr>
      <w:r>
        <w:rPr>
          <w:rFonts w:hint="eastAsia"/>
        </w:rPr>
        <w:t>为了验证前文结论的稳定性，本文将回归方法变换为</w:t>
      </w:r>
      <w:r>
        <w:rPr>
          <w:rFonts w:hint="eastAsia"/>
        </w:rPr>
        <w:t>OLS</w:t>
      </w:r>
      <w:r>
        <w:rPr>
          <w:rFonts w:hint="eastAsia"/>
        </w:rPr>
        <w:t>回归，重新对研发费用加计扣除力度的调节作用进行检验。</w:t>
      </w:r>
      <w:r>
        <w:rPr>
          <w:rFonts w:hint="eastAsia"/>
        </w:rPr>
        <w:t>OLS</w:t>
      </w:r>
      <w:r>
        <w:rPr>
          <w:rFonts w:hint="eastAsia"/>
        </w:rPr>
        <w:t>回归模型显示，引入交叉项之后，在</w:t>
      </w:r>
      <w:r>
        <w:rPr>
          <w:rFonts w:hint="eastAsia"/>
        </w:rPr>
        <w:t>5%</w:t>
      </w:r>
      <w:r>
        <w:rPr>
          <w:rFonts w:hint="eastAsia"/>
        </w:rPr>
        <w:t>的显著性水平下交叉项的系数为</w:t>
      </w:r>
      <w:r>
        <w:rPr>
          <w:rFonts w:hint="eastAsia"/>
        </w:rPr>
        <w:t>0.201</w:t>
      </w:r>
      <w:r>
        <w:rPr>
          <w:rFonts w:hint="eastAsia"/>
        </w:rPr>
        <w:t>，表明研发费用加计扣除能够正向调节研发支出与财务风险的关系，与回归分析下的检验结果相一致。</w:t>
      </w:r>
    </w:p>
    <w:p w:rsidR="00F013E0" w:rsidRDefault="007115C6">
      <w:pPr>
        <w:ind w:firstLine="420"/>
      </w:pPr>
      <w:r>
        <w:rPr>
          <w:rFonts w:hint="eastAsia"/>
        </w:rPr>
        <w:t>另外，本文采用分样本的方法再次进行稳健性检验。以研发强度的中位数</w:t>
      </w:r>
      <w:r>
        <w:rPr>
          <w:rFonts w:hint="eastAsia"/>
        </w:rPr>
        <w:t>0.063</w:t>
      </w:r>
      <w:r>
        <w:rPr>
          <w:rFonts w:hint="eastAsia"/>
        </w:rPr>
        <w:t>为分界点，将总样本分为两个小样本，对面板数据进行回归，。两个回归模型中交叉项系数为均为正数，表明研发费用加计扣除削弱了研发强度对财务风险的负向影响，与</w:t>
      </w:r>
      <w:r w:rsidR="00BE4E18">
        <w:rPr>
          <w:rFonts w:hint="eastAsia"/>
        </w:rPr>
        <w:t>上文</w:t>
      </w:r>
      <w:r>
        <w:rPr>
          <w:rFonts w:hint="eastAsia"/>
        </w:rPr>
        <w:t>的结果相一致。综上，假设</w:t>
      </w:r>
      <w:r>
        <w:rPr>
          <w:rFonts w:hint="eastAsia"/>
        </w:rPr>
        <w:t>3</w:t>
      </w:r>
      <w:r>
        <w:rPr>
          <w:rFonts w:hint="eastAsia"/>
        </w:rPr>
        <w:t>的稳健性得到了验证。</w:t>
      </w:r>
    </w:p>
    <w:p w:rsidR="00F013E0" w:rsidRDefault="007115C6">
      <w:pPr>
        <w:ind w:firstLine="482"/>
        <w:rPr>
          <w:rFonts w:asciiTheme="minorEastAsia" w:hAnsiTheme="minorEastAsia"/>
          <w:b/>
          <w:sz w:val="24"/>
          <w:szCs w:val="24"/>
        </w:rPr>
      </w:pPr>
      <w:r>
        <w:rPr>
          <w:rFonts w:asciiTheme="minorEastAsia" w:hAnsiTheme="minorEastAsia" w:hint="eastAsia"/>
          <w:b/>
          <w:sz w:val="24"/>
          <w:szCs w:val="24"/>
        </w:rPr>
        <w:lastRenderedPageBreak/>
        <w:t>五、结论和建议</w:t>
      </w:r>
    </w:p>
    <w:p w:rsidR="00F013E0" w:rsidRDefault="007115C6">
      <w:pPr>
        <w:pStyle w:val="aa"/>
        <w:autoSpaceDE w:val="0"/>
        <w:autoSpaceDN w:val="0"/>
        <w:adjustRightInd w:val="0"/>
        <w:ind w:firstLineChars="0" w:firstLine="405"/>
        <w:jc w:val="left"/>
        <w:rPr>
          <w:rFonts w:asciiTheme="minorEastAsia" w:eastAsiaTheme="minorEastAsia" w:hAnsiTheme="minorEastAsia" w:cs="FZShuSong-Z01"/>
          <w:kern w:val="0"/>
          <w:szCs w:val="19"/>
        </w:rPr>
      </w:pPr>
      <w:r>
        <w:rPr>
          <w:rFonts w:asciiTheme="minorEastAsia" w:eastAsiaTheme="minorEastAsia" w:hAnsiTheme="minorEastAsia" w:cs="FZShuSong-Z01" w:hint="eastAsia"/>
          <w:kern w:val="0"/>
          <w:szCs w:val="19"/>
        </w:rPr>
        <w:t>来自中国电子设备制造业上市公司的样本数据显示：研发费用加计扣除强度越大，企业研发投入的意愿越强。作为一项鼓励企业进行研发创造的税收政策，研发费用加计扣除政策是成功的。此外，研发投入的增加会使企业的财务风险增加。企业希望能够通过研发创新来提升自身的市场竞争力，但盲目增加研发投入会让企业面临巨大的财务风险甚至破产。最后，研发投入对财务风险的影响并不是不可调节的，研发费用加计扣除可以有效地</w:t>
      </w:r>
      <w:r w:rsidR="00BE4E18">
        <w:rPr>
          <w:rFonts w:asciiTheme="minorEastAsia" w:eastAsiaTheme="minorEastAsia" w:hAnsiTheme="minorEastAsia" w:cs="FZShuSong-Z01" w:hint="eastAsia"/>
          <w:kern w:val="0"/>
          <w:szCs w:val="19"/>
        </w:rPr>
        <w:t>缓解研发投入带来的财务风险。</w:t>
      </w:r>
    </w:p>
    <w:p w:rsidR="00F013E0" w:rsidRDefault="007115C6">
      <w:pPr>
        <w:ind w:firstLine="420"/>
      </w:pPr>
      <w:r>
        <w:rPr>
          <w:rFonts w:hint="eastAsia"/>
        </w:rPr>
        <w:t>根据上述研究结论，本文提出如下建议：（</w:t>
      </w:r>
      <w:r>
        <w:rPr>
          <w:rFonts w:hint="eastAsia"/>
        </w:rPr>
        <w:t>1</w:t>
      </w:r>
      <w:r>
        <w:rPr>
          <w:rFonts w:hint="eastAsia"/>
        </w:rPr>
        <w:t>）对于政策制定者，如果想要进一步促进企业的创新能力，可以适当提高加计扣除比例。但由于研发费用加计扣除比例已经到达</w:t>
      </w:r>
      <w:r>
        <w:rPr>
          <w:rFonts w:hint="eastAsia"/>
        </w:rPr>
        <w:t>100%</w:t>
      </w:r>
      <w:r>
        <w:rPr>
          <w:rFonts w:hint="eastAsia"/>
        </w:rPr>
        <w:t>，在提高加计扣除比例的同时应当防范企业财务造假，因此研发费用加计扣除的金额应当有一个限制。（</w:t>
      </w:r>
      <w:r>
        <w:rPr>
          <w:rFonts w:hint="eastAsia"/>
        </w:rPr>
        <w:t>2</w:t>
      </w:r>
      <w:r>
        <w:rPr>
          <w:rFonts w:hint="eastAsia"/>
        </w:rPr>
        <w:t>）企业应当根据自身情况适度进行研发投入。研发投入是企业创造区别于其他企业的核心竞争力的不二之选，但不能盲目地投入资金。这需要企业管理层运用自身的能力合理地评估企业能否承担该研发投入强度所带来的风险，以及该研发投入未来创造的收益是否与风险对等。（</w:t>
      </w:r>
      <w:r>
        <w:rPr>
          <w:rFonts w:hint="eastAsia"/>
        </w:rPr>
        <w:t>3</w:t>
      </w:r>
      <w:r>
        <w:rPr>
          <w:rFonts w:hint="eastAsia"/>
        </w:rPr>
        <w:t>）企业要实现研发费用的独立核算。企业可以在会计账目中做好研发费用的归集核算，明确会计准则和税法的区别，从而在不违反税法规定的前提下</w:t>
      </w:r>
      <w:r w:rsidR="00BE4E18">
        <w:rPr>
          <w:rFonts w:hint="eastAsia"/>
        </w:rPr>
        <w:t>，</w:t>
      </w:r>
      <w:r>
        <w:rPr>
          <w:rFonts w:hint="eastAsia"/>
        </w:rPr>
        <w:t>充分地享受研发费用加计扣除政策带来的优惠，降低研发投入带来的财务风险。</w:t>
      </w:r>
    </w:p>
    <w:p w:rsidR="00F013E0" w:rsidRDefault="007115C6">
      <w:pPr>
        <w:ind w:firstLineChars="0" w:firstLine="0"/>
      </w:pPr>
      <w:r>
        <w:rPr>
          <w:rFonts w:hint="eastAsia"/>
        </w:rPr>
        <w:t>【主要参考文献】</w:t>
      </w:r>
    </w:p>
    <w:p w:rsidR="00F013E0" w:rsidRDefault="007115C6">
      <w:pPr>
        <w:pStyle w:val="aa"/>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[1]王芸,洪碧月,陈蕾.研发费用加计扣除优惠强度、研发投入强度与创新绩效[J].财会通讯,2018(12):41-46.</w:t>
      </w:r>
    </w:p>
    <w:p w:rsidR="00F013E0" w:rsidRDefault="007115C6">
      <w:pPr>
        <w:pStyle w:val="aa"/>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[2]孙莹. 税收激励政策对企业创新绩效的影响研究[D].东华大学,2013.</w:t>
      </w:r>
    </w:p>
    <w:p w:rsidR="00F013E0" w:rsidRDefault="007115C6">
      <w:pPr>
        <w:widowControl/>
        <w:tabs>
          <w:tab w:val="left" w:pos="312"/>
        </w:tabs>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[3]任海云,宋伟宸.企业异质性因素、研发费用加计扣除与R&amp;D投入[J].科学研究，2017，35(08)：1232-1239.</w:t>
      </w:r>
    </w:p>
    <w:p w:rsidR="00F013E0" w:rsidRDefault="007115C6">
      <w:pPr>
        <w:autoSpaceDE w:val="0"/>
        <w:autoSpaceDN w:val="0"/>
        <w:adjustRightInd w:val="0"/>
        <w:ind w:left="180" w:hangingChars="100" w:hanging="18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[4]郝清民.融资约束下的研发与长期财务风险[J].</w:t>
      </w:r>
      <w:r w:rsidR="00C265BD">
        <w:rPr>
          <w:rFonts w:asciiTheme="minorEastAsia" w:eastAsiaTheme="minorEastAsia" w:hAnsiTheme="minorEastAsia" w:cs="FZShuSong-Z01" w:hint="eastAsia"/>
          <w:kern w:val="0"/>
          <w:sz w:val="18"/>
          <w:szCs w:val="18"/>
        </w:rPr>
        <w:t>科研管理,</w:t>
      </w:r>
      <w:r>
        <w:rPr>
          <w:rFonts w:asciiTheme="minorEastAsia" w:eastAsiaTheme="minorEastAsia" w:hAnsiTheme="minorEastAsia" w:cs="FZShuSong-Z01" w:hint="eastAsia"/>
          <w:kern w:val="0"/>
          <w:sz w:val="18"/>
          <w:szCs w:val="18"/>
        </w:rPr>
        <w:t>2020</w:t>
      </w:r>
      <w:r w:rsidR="00C265BD">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hint="eastAsia"/>
          <w:kern w:val="0"/>
          <w:sz w:val="18"/>
          <w:szCs w:val="18"/>
        </w:rPr>
        <w:t>41(10)</w:t>
      </w:r>
      <w:r w:rsidR="00C265BD">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hint="eastAsia"/>
          <w:kern w:val="0"/>
          <w:sz w:val="18"/>
          <w:szCs w:val="18"/>
        </w:rPr>
        <w:t>54-62.</w:t>
      </w:r>
    </w:p>
    <w:p w:rsidR="00F013E0" w:rsidRDefault="007115C6">
      <w:pPr>
        <w:tabs>
          <w:tab w:val="left" w:pos="312"/>
        </w:tabs>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[5]孙艳梅,郭敏,方梦然.企业创新投资、风险承担与股价崩盘风险[J].科研管理,2019,40(12):144-154.</w:t>
      </w:r>
    </w:p>
    <w:p w:rsidR="00F013E0" w:rsidRDefault="007115C6">
      <w:pPr>
        <w:widowControl/>
        <w:ind w:firstLineChars="0" w:firstLine="0"/>
        <w:jc w:val="left"/>
        <w:rPr>
          <w:rFonts w:cs="Times New Roman"/>
          <w:sz w:val="18"/>
          <w:szCs w:val="18"/>
        </w:rPr>
      </w:pPr>
      <w:r>
        <w:rPr>
          <w:rFonts w:asciiTheme="minorEastAsia" w:eastAsiaTheme="minorEastAsia" w:hAnsiTheme="minorEastAsia" w:cs="FZShuSong-Z01" w:hint="eastAsia"/>
          <w:kern w:val="0"/>
          <w:sz w:val="18"/>
          <w:szCs w:val="18"/>
        </w:rPr>
        <w:t>[6]</w:t>
      </w:r>
      <w:r>
        <w:rPr>
          <w:rFonts w:asciiTheme="minorEastAsia" w:eastAsiaTheme="minorEastAsia" w:hAnsiTheme="minorEastAsia" w:cs="FZShuSong-Z01"/>
          <w:kern w:val="0"/>
          <w:sz w:val="18"/>
          <w:szCs w:val="18"/>
        </w:rPr>
        <w:t>钟田丽</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马娜</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胡彦斌</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企业创新投入要素与融资结构选择</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J</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会计研究，2014( 4) : 6</w:t>
      </w:r>
      <w:r>
        <w:rPr>
          <w:rFonts w:asciiTheme="minorEastAsia" w:eastAsiaTheme="minorEastAsia" w:hAnsiTheme="minorEastAsia" w:cs="FZShuSong-Z01" w:hint="eastAsia"/>
          <w:kern w:val="0"/>
          <w:sz w:val="18"/>
          <w:szCs w:val="18"/>
        </w:rPr>
        <w:t>6-</w:t>
      </w:r>
      <w:r>
        <w:rPr>
          <w:rFonts w:asciiTheme="minorEastAsia" w:eastAsiaTheme="minorEastAsia" w:hAnsiTheme="minorEastAsia" w:cs="FZShuSong-Z01"/>
          <w:kern w:val="0"/>
          <w:sz w:val="18"/>
          <w:szCs w:val="18"/>
        </w:rPr>
        <w:t>73</w:t>
      </w:r>
      <w:r>
        <w:rPr>
          <w:rFonts w:asciiTheme="minorEastAsia" w:eastAsiaTheme="minorEastAsia" w:hAnsiTheme="minorEastAsia" w:cs="FZShuSong-Z01" w:hint="eastAsia"/>
          <w:kern w:val="0"/>
          <w:sz w:val="18"/>
          <w:szCs w:val="18"/>
        </w:rPr>
        <w:t>.</w:t>
      </w:r>
      <w:r>
        <w:rPr>
          <w:rFonts w:eastAsiaTheme="minorEastAsia" w:cs="Times New Roman"/>
          <w:kern w:val="0"/>
          <w:sz w:val="18"/>
          <w:szCs w:val="18"/>
        </w:rPr>
        <w:t xml:space="preserve">Zhong </w:t>
      </w:r>
      <w:proofErr w:type="spellStart"/>
      <w:r>
        <w:rPr>
          <w:rFonts w:cs="Times New Roman"/>
          <w:sz w:val="18"/>
          <w:szCs w:val="18"/>
        </w:rPr>
        <w:t>Tianli</w:t>
      </w:r>
      <w:proofErr w:type="spellEnd"/>
      <w:r>
        <w:rPr>
          <w:rFonts w:cs="Times New Roman"/>
          <w:sz w:val="18"/>
          <w:szCs w:val="18"/>
        </w:rPr>
        <w:t>，</w:t>
      </w:r>
      <w:r>
        <w:rPr>
          <w:rFonts w:cs="Times New Roman"/>
          <w:sz w:val="18"/>
          <w:szCs w:val="18"/>
        </w:rPr>
        <w:t>Ma Na</w:t>
      </w:r>
      <w:r>
        <w:rPr>
          <w:rFonts w:cs="Times New Roman"/>
          <w:sz w:val="18"/>
          <w:szCs w:val="18"/>
        </w:rPr>
        <w:t>，</w:t>
      </w:r>
      <w:proofErr w:type="spellStart"/>
      <w:r>
        <w:rPr>
          <w:rFonts w:cs="Times New Roman"/>
          <w:sz w:val="18"/>
          <w:szCs w:val="18"/>
        </w:rPr>
        <w:t>Hu</w:t>
      </w:r>
      <w:proofErr w:type="spellEnd"/>
      <w:r>
        <w:rPr>
          <w:rFonts w:cs="Times New Roman"/>
          <w:sz w:val="18"/>
          <w:szCs w:val="18"/>
        </w:rPr>
        <w:t xml:space="preserve"> </w:t>
      </w:r>
      <w:proofErr w:type="spellStart"/>
      <w:r>
        <w:rPr>
          <w:rFonts w:cs="Times New Roman"/>
          <w:sz w:val="18"/>
          <w:szCs w:val="18"/>
        </w:rPr>
        <w:t>Yanbin</w:t>
      </w:r>
      <w:proofErr w:type="spellEnd"/>
      <w:r>
        <w:rPr>
          <w:rFonts w:cs="Times New Roman"/>
          <w:sz w:val="18"/>
          <w:szCs w:val="18"/>
        </w:rPr>
        <w:t>．</w:t>
      </w:r>
      <w:r>
        <w:rPr>
          <w:rFonts w:cs="Times New Roman"/>
          <w:sz w:val="18"/>
          <w:szCs w:val="18"/>
        </w:rPr>
        <w:t xml:space="preserve"> Enterprise innovation in-puts and the choice of financing structure[J].Accounting Research,2014( 4) : 66-73</w:t>
      </w:r>
      <w:r>
        <w:rPr>
          <w:rFonts w:cs="Times New Roman"/>
          <w:sz w:val="18"/>
          <w:szCs w:val="18"/>
        </w:rPr>
        <w:t>．</w:t>
      </w:r>
    </w:p>
    <w:p w:rsidR="009C277F" w:rsidRDefault="007115C6">
      <w:pPr>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[7]郑淑霞.融资约束下研发投入对企业财务绩效风险的影响[J].武夷学院学报</w:t>
      </w:r>
      <w:r w:rsidR="009C277F">
        <w:rPr>
          <w:rFonts w:asciiTheme="minorEastAsia" w:eastAsiaTheme="minorEastAsia" w:hAnsiTheme="minorEastAsia" w:cs="FZShuSong-Z01" w:hint="eastAsia"/>
          <w:kern w:val="0"/>
          <w:sz w:val="18"/>
          <w:szCs w:val="18"/>
        </w:rPr>
        <w:t>,2018,37(04):63-70.</w:t>
      </w:r>
    </w:p>
    <w:p w:rsidR="00F013E0" w:rsidRDefault="007115C6">
      <w:pPr>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[8]陈标金,植嘉娟,区嘉湄.财政补助、研发投入与企业财务风险——基于A股上市公司的证据[J].科技管理研究,2021,41(08):117-123.</w:t>
      </w:r>
    </w:p>
    <w:p w:rsidR="009C277F" w:rsidRDefault="007115C6">
      <w:pPr>
        <w:widowControl/>
        <w:ind w:firstLineChars="0" w:firstLine="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lastRenderedPageBreak/>
        <w:t>[9]张亚连,廖高.低碳经济架构下财政政策的杠杆效应分析[J].湘潭大学学报(哲学社会科学版),201</w:t>
      </w:r>
      <w:r w:rsidR="009C277F">
        <w:rPr>
          <w:rFonts w:asciiTheme="minorEastAsia" w:eastAsiaTheme="minorEastAsia" w:hAnsiTheme="minorEastAsia" w:cs="Times New Roman" w:hint="eastAsia"/>
          <w:sz w:val="18"/>
          <w:szCs w:val="18"/>
        </w:rPr>
        <w:t>4,38(04):55-58.</w:t>
      </w:r>
    </w:p>
    <w:p w:rsidR="009C277F" w:rsidRDefault="007115C6">
      <w:pPr>
        <w:widowControl/>
        <w:ind w:firstLineChars="0" w:firstLine="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[10]樊勇,王蔚.市场化程度与企业债务税盾效应——来自中国上市公司的经验证据[J].财贸经济</w:t>
      </w:r>
      <w:r w:rsidR="009C277F">
        <w:rPr>
          <w:rFonts w:asciiTheme="minorEastAsia" w:eastAsiaTheme="minorEastAsia" w:hAnsiTheme="minorEastAsia" w:cs="Times New Roman" w:hint="eastAsia"/>
          <w:sz w:val="18"/>
          <w:szCs w:val="18"/>
        </w:rPr>
        <w:t>,2014(02):44-55.</w:t>
      </w:r>
    </w:p>
    <w:p w:rsidR="00F013E0" w:rsidRDefault="007115C6">
      <w:pPr>
        <w:widowControl/>
        <w:ind w:firstLineChars="0" w:firstLine="0"/>
        <w:jc w:val="left"/>
        <w:rPr>
          <w:rFonts w:asciiTheme="minorEastAsia" w:eastAsiaTheme="minorEastAsia" w:hAnsiTheme="minorEastAsia" w:cs="Times New Roman"/>
          <w:sz w:val="18"/>
          <w:szCs w:val="18"/>
        </w:rPr>
      </w:pPr>
      <w:r>
        <w:rPr>
          <w:rFonts w:asciiTheme="minorEastAsia" w:eastAsiaTheme="minorEastAsia" w:hAnsiTheme="minorEastAsia" w:cs="Times New Roman" w:hint="eastAsia"/>
          <w:sz w:val="18"/>
          <w:szCs w:val="18"/>
        </w:rPr>
        <w:t>[11]于为宁.高新技术企业利用税收优惠政策管理中的财务与税务风险研究[J].中国国际财经(中英文</w:t>
      </w:r>
      <w:r w:rsidR="009C277F">
        <w:rPr>
          <w:rFonts w:asciiTheme="minorEastAsia" w:eastAsiaTheme="minorEastAsia" w:hAnsiTheme="minorEastAsia" w:cs="Times New Roman" w:hint="eastAsia"/>
          <w:sz w:val="18"/>
          <w:szCs w:val="18"/>
        </w:rPr>
        <w:t>),2018(04):181-182.</w:t>
      </w:r>
    </w:p>
    <w:p w:rsidR="00F013E0" w:rsidRDefault="007115C6">
      <w:pPr>
        <w:autoSpaceDE w:val="0"/>
        <w:autoSpaceDN w:val="0"/>
        <w:adjustRightInd w:val="0"/>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[12]杨记军,敖翔,吴敏.高新技术企业研发投入的阈值效应[J].科研管理</w:t>
      </w:r>
      <w:r w:rsidR="009C277F">
        <w:rPr>
          <w:rFonts w:asciiTheme="minorEastAsia" w:eastAsiaTheme="minorEastAsia" w:hAnsiTheme="minorEastAsia" w:cs="FZShuSong-Z01" w:hint="eastAsia"/>
          <w:kern w:val="0"/>
          <w:sz w:val="18"/>
          <w:szCs w:val="18"/>
        </w:rPr>
        <w:t>,2018,39(06):85-95.</w:t>
      </w:r>
    </w:p>
    <w:p w:rsidR="00F013E0" w:rsidRDefault="007115C6">
      <w:pPr>
        <w:widowControl/>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[13]刘圻,何钰,杨德伟.</w:t>
      </w:r>
      <w:r>
        <w:rPr>
          <w:rFonts w:asciiTheme="minorEastAsia" w:eastAsiaTheme="minorEastAsia" w:hAnsiTheme="minorEastAsia" w:cs="FZShuSong-Z01"/>
          <w:kern w:val="0"/>
          <w:sz w:val="18"/>
          <w:szCs w:val="18"/>
        </w:rPr>
        <w:t>研发支出加计扣除的实施效果</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基于深市中小板上市公司</w:t>
      </w:r>
      <w:r>
        <w:rPr>
          <w:rFonts w:asciiTheme="minorEastAsia" w:eastAsiaTheme="minorEastAsia" w:hAnsiTheme="minorEastAsia" w:cs="FZShuSong-Z01" w:hint="eastAsia"/>
          <w:kern w:val="0"/>
          <w:sz w:val="18"/>
          <w:szCs w:val="18"/>
        </w:rPr>
        <w:t>的</w:t>
      </w:r>
      <w:r>
        <w:rPr>
          <w:rFonts w:asciiTheme="minorEastAsia" w:eastAsiaTheme="minorEastAsia" w:hAnsiTheme="minorEastAsia" w:cs="FZShuSong-Z01"/>
          <w:kern w:val="0"/>
          <w:sz w:val="18"/>
          <w:szCs w:val="18"/>
        </w:rPr>
        <w:t>实证研究</w:t>
      </w:r>
      <w:r>
        <w:rPr>
          <w:rFonts w:asciiTheme="minorEastAsia" w:eastAsiaTheme="minorEastAsia" w:hAnsiTheme="minorEastAsia" w:cs="FZShuSong-Z01" w:hint="eastAsia"/>
          <w:kern w:val="0"/>
          <w:sz w:val="18"/>
          <w:szCs w:val="18"/>
        </w:rPr>
        <w:t>[J].</w:t>
      </w:r>
      <w:r>
        <w:rPr>
          <w:rFonts w:asciiTheme="minorEastAsia" w:eastAsiaTheme="minorEastAsia" w:hAnsiTheme="minorEastAsia" w:cs="FZShuSong-Z01"/>
          <w:kern w:val="0"/>
          <w:sz w:val="18"/>
          <w:szCs w:val="18"/>
        </w:rPr>
        <w:t>宏观经济研究</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2012</w:t>
      </w:r>
      <w:r>
        <w:rPr>
          <w:rFonts w:asciiTheme="minorEastAsia" w:eastAsiaTheme="minorEastAsia" w:hAnsiTheme="minorEastAsia" w:cs="FZShuSong-Z01" w:hint="eastAsia"/>
          <w:kern w:val="0"/>
          <w:sz w:val="18"/>
          <w:szCs w:val="18"/>
        </w:rPr>
        <w:t>,</w:t>
      </w:r>
      <w:r>
        <w:rPr>
          <w:rFonts w:asciiTheme="minorEastAsia" w:eastAsiaTheme="minorEastAsia" w:hAnsiTheme="minorEastAsia" w:cs="FZShuSong-Z01"/>
          <w:kern w:val="0"/>
          <w:sz w:val="18"/>
          <w:szCs w:val="18"/>
        </w:rPr>
        <w:t>( 9):87－92</w:t>
      </w:r>
      <w:r>
        <w:rPr>
          <w:rFonts w:asciiTheme="minorEastAsia" w:eastAsiaTheme="minorEastAsia" w:hAnsiTheme="minorEastAsia" w:cs="FZShuSong-Z01" w:hint="eastAsia"/>
          <w:kern w:val="0"/>
          <w:sz w:val="18"/>
          <w:szCs w:val="18"/>
        </w:rPr>
        <w:t>.</w:t>
      </w:r>
    </w:p>
    <w:p w:rsidR="00F013E0" w:rsidRDefault="007115C6">
      <w:pPr>
        <w:widowControl/>
        <w:ind w:firstLineChars="0" w:firstLine="0"/>
        <w:jc w:val="left"/>
        <w:rPr>
          <w:rFonts w:asciiTheme="minorEastAsia" w:eastAsiaTheme="minorEastAsia" w:hAnsiTheme="minorEastAsia" w:cs="FZShuSong-Z01"/>
          <w:kern w:val="0"/>
          <w:sz w:val="18"/>
          <w:szCs w:val="18"/>
        </w:rPr>
      </w:pPr>
      <w:r>
        <w:rPr>
          <w:rFonts w:asciiTheme="minorEastAsia" w:eastAsiaTheme="minorEastAsia" w:hAnsiTheme="minorEastAsia" w:cs="FZShuSong-Z01" w:hint="eastAsia"/>
          <w:kern w:val="0"/>
          <w:sz w:val="18"/>
          <w:szCs w:val="18"/>
        </w:rPr>
        <w:t>[14]张昌兵,余梅丽,华丽香,王子敏.研发投入对战略性新兴产业企业财务风险的影响——基于融资结构门限回归模型的实证检验[J].工业技术经济,2022,41(03):124-135.</w:t>
      </w:r>
    </w:p>
    <w:p w:rsidR="00F013E0" w:rsidRDefault="00CD1B7D" w:rsidP="00CD1B7D">
      <w:pPr>
        <w:widowControl/>
        <w:ind w:firstLine="420"/>
        <w:jc w:val="left"/>
        <w:rPr>
          <w:rFonts w:asciiTheme="minorEastAsia" w:eastAsiaTheme="minorEastAsia" w:hAnsiTheme="minorEastAsia" w:cs="FZShuSong-Z01"/>
          <w:kern w:val="0"/>
          <w:sz w:val="18"/>
          <w:szCs w:val="18"/>
        </w:rPr>
      </w:pPr>
      <w:r>
        <w:rPr>
          <w:rFonts w:ascii="楷体" w:eastAsia="楷体" w:hAnsi="楷体" w:cs="楷体" w:hint="eastAsia"/>
          <w:szCs w:val="21"/>
        </w:rPr>
        <w:t xml:space="preserve"> </w:t>
      </w:r>
    </w:p>
    <w:sectPr w:rsidR="00F013E0" w:rsidSect="006C584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219D0" w:rsidRDefault="007219D0">
      <w:pPr>
        <w:spacing w:line="240" w:lineRule="auto"/>
        <w:ind w:firstLine="420"/>
      </w:pPr>
      <w:r>
        <w:separator/>
      </w:r>
    </w:p>
  </w:endnote>
  <w:endnote w:type="continuationSeparator" w:id="0">
    <w:p w:rsidR="007219D0" w:rsidRDefault="007219D0">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FZShuSong-Z01">
    <w:altName w:val="Arial"/>
    <w:charset w:val="00"/>
    <w:family w:val="modern"/>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219D0" w:rsidRDefault="007219D0">
      <w:pPr>
        <w:spacing w:line="240" w:lineRule="auto"/>
        <w:ind w:firstLine="420"/>
      </w:pPr>
      <w:r>
        <w:separator/>
      </w:r>
    </w:p>
  </w:footnote>
  <w:footnote w:type="continuationSeparator" w:id="0">
    <w:p w:rsidR="007219D0" w:rsidRDefault="007219D0">
      <w:pPr>
        <w:spacing w:line="240" w:lineRule="auto"/>
        <w:ind w:firstLine="42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60E3C1"/>
    <w:multiLevelType w:val="singleLevel"/>
    <w:tmpl w:val="6F60E3C1"/>
    <w:lvl w:ilvl="0">
      <w:start w:val="2"/>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5219EF"/>
    <w:rsid w:val="00043C10"/>
    <w:rsid w:val="00064666"/>
    <w:rsid w:val="000A2DD4"/>
    <w:rsid w:val="000D2C15"/>
    <w:rsid w:val="000E3846"/>
    <w:rsid w:val="00114B1A"/>
    <w:rsid w:val="001168BF"/>
    <w:rsid w:val="001204B6"/>
    <w:rsid w:val="0013286A"/>
    <w:rsid w:val="00132CB6"/>
    <w:rsid w:val="001402AA"/>
    <w:rsid w:val="001416A4"/>
    <w:rsid w:val="001866FA"/>
    <w:rsid w:val="001873C1"/>
    <w:rsid w:val="00187E38"/>
    <w:rsid w:val="00190D54"/>
    <w:rsid w:val="00192C25"/>
    <w:rsid w:val="001B3088"/>
    <w:rsid w:val="001B32CB"/>
    <w:rsid w:val="001B6F4B"/>
    <w:rsid w:val="001C2C0B"/>
    <w:rsid w:val="001E00CC"/>
    <w:rsid w:val="00240CC0"/>
    <w:rsid w:val="00242559"/>
    <w:rsid w:val="00277103"/>
    <w:rsid w:val="002A5046"/>
    <w:rsid w:val="002D6B40"/>
    <w:rsid w:val="002E43FD"/>
    <w:rsid w:val="002E6157"/>
    <w:rsid w:val="002F1283"/>
    <w:rsid w:val="002F2984"/>
    <w:rsid w:val="00320783"/>
    <w:rsid w:val="003478EA"/>
    <w:rsid w:val="00347F9C"/>
    <w:rsid w:val="0036534F"/>
    <w:rsid w:val="003B0453"/>
    <w:rsid w:val="003B39C6"/>
    <w:rsid w:val="003B3E05"/>
    <w:rsid w:val="004131D2"/>
    <w:rsid w:val="0042774A"/>
    <w:rsid w:val="0043315A"/>
    <w:rsid w:val="00451C6A"/>
    <w:rsid w:val="00452261"/>
    <w:rsid w:val="00454D41"/>
    <w:rsid w:val="0047584A"/>
    <w:rsid w:val="00476922"/>
    <w:rsid w:val="004A5DA0"/>
    <w:rsid w:val="005219EF"/>
    <w:rsid w:val="0052551E"/>
    <w:rsid w:val="00546595"/>
    <w:rsid w:val="005638A7"/>
    <w:rsid w:val="00592D50"/>
    <w:rsid w:val="005C7C77"/>
    <w:rsid w:val="005D4A9D"/>
    <w:rsid w:val="005E0EB5"/>
    <w:rsid w:val="005F4645"/>
    <w:rsid w:val="00643A59"/>
    <w:rsid w:val="00650CBB"/>
    <w:rsid w:val="006656B0"/>
    <w:rsid w:val="006755CA"/>
    <w:rsid w:val="00692935"/>
    <w:rsid w:val="006B57BB"/>
    <w:rsid w:val="006C584B"/>
    <w:rsid w:val="006D7E25"/>
    <w:rsid w:val="006E1796"/>
    <w:rsid w:val="006E5DDF"/>
    <w:rsid w:val="006F13EC"/>
    <w:rsid w:val="006F6D43"/>
    <w:rsid w:val="00703632"/>
    <w:rsid w:val="007058EE"/>
    <w:rsid w:val="007115C6"/>
    <w:rsid w:val="007219D0"/>
    <w:rsid w:val="00724729"/>
    <w:rsid w:val="007511FC"/>
    <w:rsid w:val="0079385F"/>
    <w:rsid w:val="007A1355"/>
    <w:rsid w:val="007A757F"/>
    <w:rsid w:val="007B62F5"/>
    <w:rsid w:val="007E1076"/>
    <w:rsid w:val="007E3981"/>
    <w:rsid w:val="0080106B"/>
    <w:rsid w:val="0081234B"/>
    <w:rsid w:val="00824A2C"/>
    <w:rsid w:val="00832551"/>
    <w:rsid w:val="00837E42"/>
    <w:rsid w:val="0085544F"/>
    <w:rsid w:val="00856018"/>
    <w:rsid w:val="008615C1"/>
    <w:rsid w:val="008A1184"/>
    <w:rsid w:val="008E402A"/>
    <w:rsid w:val="008E7C04"/>
    <w:rsid w:val="008F1A2F"/>
    <w:rsid w:val="00930B09"/>
    <w:rsid w:val="00970B46"/>
    <w:rsid w:val="00976809"/>
    <w:rsid w:val="00990CE9"/>
    <w:rsid w:val="009A19AC"/>
    <w:rsid w:val="009A23EF"/>
    <w:rsid w:val="009C212E"/>
    <w:rsid w:val="009C277F"/>
    <w:rsid w:val="009F1D27"/>
    <w:rsid w:val="009F3496"/>
    <w:rsid w:val="00A20F6F"/>
    <w:rsid w:val="00A362AA"/>
    <w:rsid w:val="00A73350"/>
    <w:rsid w:val="00A93F22"/>
    <w:rsid w:val="00A97AEE"/>
    <w:rsid w:val="00AB1019"/>
    <w:rsid w:val="00AB5214"/>
    <w:rsid w:val="00AC2A6B"/>
    <w:rsid w:val="00B018D4"/>
    <w:rsid w:val="00B11B93"/>
    <w:rsid w:val="00B15E9E"/>
    <w:rsid w:val="00B1619B"/>
    <w:rsid w:val="00B36350"/>
    <w:rsid w:val="00B40E2D"/>
    <w:rsid w:val="00B43546"/>
    <w:rsid w:val="00B82203"/>
    <w:rsid w:val="00B90CD5"/>
    <w:rsid w:val="00B968D5"/>
    <w:rsid w:val="00BB4627"/>
    <w:rsid w:val="00BB566C"/>
    <w:rsid w:val="00BC24F1"/>
    <w:rsid w:val="00BE4E18"/>
    <w:rsid w:val="00BE6F8E"/>
    <w:rsid w:val="00BF0424"/>
    <w:rsid w:val="00C03E5A"/>
    <w:rsid w:val="00C040AA"/>
    <w:rsid w:val="00C211FA"/>
    <w:rsid w:val="00C23E77"/>
    <w:rsid w:val="00C265BD"/>
    <w:rsid w:val="00C340E3"/>
    <w:rsid w:val="00C57663"/>
    <w:rsid w:val="00C62B10"/>
    <w:rsid w:val="00C75AEA"/>
    <w:rsid w:val="00CD1B7D"/>
    <w:rsid w:val="00CF71F8"/>
    <w:rsid w:val="00D4277C"/>
    <w:rsid w:val="00D871C8"/>
    <w:rsid w:val="00D947BD"/>
    <w:rsid w:val="00DB6FCF"/>
    <w:rsid w:val="00DC30A1"/>
    <w:rsid w:val="00DD76DC"/>
    <w:rsid w:val="00E07CAD"/>
    <w:rsid w:val="00E11A59"/>
    <w:rsid w:val="00E120B2"/>
    <w:rsid w:val="00E45B5F"/>
    <w:rsid w:val="00E465E7"/>
    <w:rsid w:val="00E578E6"/>
    <w:rsid w:val="00E67F7C"/>
    <w:rsid w:val="00E70352"/>
    <w:rsid w:val="00E7386C"/>
    <w:rsid w:val="00E76067"/>
    <w:rsid w:val="00E802DD"/>
    <w:rsid w:val="00E86541"/>
    <w:rsid w:val="00EC1645"/>
    <w:rsid w:val="00EC467D"/>
    <w:rsid w:val="00ED3E3E"/>
    <w:rsid w:val="00ED46FE"/>
    <w:rsid w:val="00EF40B8"/>
    <w:rsid w:val="00EF7442"/>
    <w:rsid w:val="00F013E0"/>
    <w:rsid w:val="00F30824"/>
    <w:rsid w:val="00F327F8"/>
    <w:rsid w:val="00F35E8F"/>
    <w:rsid w:val="00F67763"/>
    <w:rsid w:val="00F7174B"/>
    <w:rsid w:val="00F847EE"/>
    <w:rsid w:val="00FA74DD"/>
    <w:rsid w:val="00FB0310"/>
    <w:rsid w:val="00FD025C"/>
    <w:rsid w:val="00FD4475"/>
    <w:rsid w:val="01186966"/>
    <w:rsid w:val="035409EC"/>
    <w:rsid w:val="08883F92"/>
    <w:rsid w:val="098C4641"/>
    <w:rsid w:val="14557A31"/>
    <w:rsid w:val="1D2707FA"/>
    <w:rsid w:val="27A009DA"/>
    <w:rsid w:val="2FA661DA"/>
    <w:rsid w:val="36B22FD7"/>
    <w:rsid w:val="3F0C4337"/>
    <w:rsid w:val="42C57A56"/>
    <w:rsid w:val="489B51F9"/>
    <w:rsid w:val="4D210602"/>
    <w:rsid w:val="5E150C5F"/>
    <w:rsid w:val="5EB129A2"/>
    <w:rsid w:val="66FF1F59"/>
    <w:rsid w:val="6CA94FAE"/>
    <w:rsid w:val="6EA1556D"/>
    <w:rsid w:val="71B45AAB"/>
    <w:rsid w:val="74D40D51"/>
    <w:rsid w:val="7E6F04F9"/>
    <w:rsid w:val="7E8F420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84B"/>
    <w:pPr>
      <w:widowControl w:val="0"/>
      <w:spacing w:line="360" w:lineRule="auto"/>
      <w:ind w:firstLineChars="200" w:firstLine="200"/>
      <w:jc w:val="both"/>
    </w:pPr>
    <w:rPr>
      <w:rFonts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sid w:val="006C584B"/>
    <w:rPr>
      <w:rFonts w:ascii="Arial" w:eastAsia="黑体" w:hAnsi="Arial"/>
      <w:sz w:val="20"/>
    </w:rPr>
  </w:style>
  <w:style w:type="paragraph" w:styleId="a4">
    <w:name w:val="annotation text"/>
    <w:basedOn w:val="a"/>
    <w:uiPriority w:val="99"/>
    <w:semiHidden/>
    <w:unhideWhenUsed/>
    <w:rsid w:val="006C584B"/>
    <w:pPr>
      <w:jc w:val="left"/>
    </w:pPr>
  </w:style>
  <w:style w:type="paragraph" w:styleId="a5">
    <w:name w:val="Balloon Text"/>
    <w:basedOn w:val="a"/>
    <w:link w:val="Char"/>
    <w:uiPriority w:val="99"/>
    <w:semiHidden/>
    <w:unhideWhenUsed/>
    <w:rsid w:val="006C584B"/>
    <w:pPr>
      <w:spacing w:line="240" w:lineRule="auto"/>
    </w:pPr>
    <w:rPr>
      <w:sz w:val="18"/>
      <w:szCs w:val="18"/>
    </w:rPr>
  </w:style>
  <w:style w:type="paragraph" w:styleId="a6">
    <w:name w:val="footer"/>
    <w:basedOn w:val="a"/>
    <w:link w:val="Char0"/>
    <w:uiPriority w:val="99"/>
    <w:unhideWhenUsed/>
    <w:qFormat/>
    <w:rsid w:val="006C584B"/>
    <w:pPr>
      <w:tabs>
        <w:tab w:val="center" w:pos="4153"/>
        <w:tab w:val="right" w:pos="8306"/>
      </w:tabs>
      <w:snapToGrid w:val="0"/>
      <w:jc w:val="left"/>
    </w:pPr>
    <w:rPr>
      <w:sz w:val="18"/>
      <w:szCs w:val="18"/>
    </w:rPr>
  </w:style>
  <w:style w:type="paragraph" w:styleId="a7">
    <w:name w:val="header"/>
    <w:basedOn w:val="a"/>
    <w:link w:val="Char1"/>
    <w:uiPriority w:val="99"/>
    <w:unhideWhenUsed/>
    <w:qFormat/>
    <w:rsid w:val="006C584B"/>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rsid w:val="006C58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 w:val="24"/>
      <w:szCs w:val="24"/>
    </w:rPr>
  </w:style>
  <w:style w:type="table" w:styleId="a8">
    <w:name w:val="Table Grid"/>
    <w:basedOn w:val="a1"/>
    <w:uiPriority w:val="59"/>
    <w:qFormat/>
    <w:rsid w:val="006C584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annotation reference"/>
    <w:basedOn w:val="a0"/>
    <w:uiPriority w:val="99"/>
    <w:semiHidden/>
    <w:unhideWhenUsed/>
    <w:rsid w:val="006C584B"/>
    <w:rPr>
      <w:sz w:val="21"/>
      <w:szCs w:val="21"/>
    </w:rPr>
  </w:style>
  <w:style w:type="character" w:customStyle="1" w:styleId="Char1">
    <w:name w:val="页眉 Char"/>
    <w:basedOn w:val="a0"/>
    <w:link w:val="a7"/>
    <w:uiPriority w:val="99"/>
    <w:qFormat/>
    <w:rsid w:val="006C584B"/>
    <w:rPr>
      <w:sz w:val="18"/>
      <w:szCs w:val="18"/>
    </w:rPr>
  </w:style>
  <w:style w:type="character" w:customStyle="1" w:styleId="Char0">
    <w:name w:val="页脚 Char"/>
    <w:basedOn w:val="a0"/>
    <w:link w:val="a6"/>
    <w:uiPriority w:val="99"/>
    <w:qFormat/>
    <w:rsid w:val="006C584B"/>
    <w:rPr>
      <w:sz w:val="18"/>
      <w:szCs w:val="18"/>
    </w:rPr>
  </w:style>
  <w:style w:type="paragraph" w:styleId="aa">
    <w:name w:val="List Paragraph"/>
    <w:basedOn w:val="a"/>
    <w:uiPriority w:val="34"/>
    <w:qFormat/>
    <w:rsid w:val="006C584B"/>
    <w:pPr>
      <w:ind w:firstLine="420"/>
    </w:pPr>
  </w:style>
  <w:style w:type="character" w:customStyle="1" w:styleId="Char">
    <w:name w:val="批注框文本 Char"/>
    <w:basedOn w:val="a0"/>
    <w:link w:val="a5"/>
    <w:uiPriority w:val="99"/>
    <w:semiHidden/>
    <w:rsid w:val="006C584B"/>
    <w:rPr>
      <w:rFonts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semiHidden="0"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ind w:firstLineChars="200" w:firstLine="200"/>
      <w:jc w:val="both"/>
    </w:pPr>
    <w:rPr>
      <w:rFonts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uiPriority w:val="35"/>
    <w:unhideWhenUsed/>
    <w:qFormat/>
    <w:rPr>
      <w:rFonts w:ascii="Arial" w:eastAsia="黑体" w:hAnsi="Arial"/>
      <w:sz w:val="20"/>
    </w:rPr>
  </w:style>
  <w:style w:type="paragraph" w:styleId="a4">
    <w:name w:val="annotation text"/>
    <w:basedOn w:val="a"/>
    <w:uiPriority w:val="99"/>
    <w:semiHidden/>
    <w:unhideWhenUsed/>
    <w:pPr>
      <w:jc w:val="left"/>
    </w:pPr>
  </w:style>
  <w:style w:type="paragraph" w:styleId="a5">
    <w:name w:val="Balloon Text"/>
    <w:basedOn w:val="a"/>
    <w:link w:val="Char"/>
    <w:uiPriority w:val="99"/>
    <w:semiHidden/>
    <w:unhideWhenUsed/>
    <w:pPr>
      <w:spacing w:line="240" w:lineRule="auto"/>
    </w:pPr>
    <w:rPr>
      <w:sz w:val="18"/>
      <w:szCs w:val="18"/>
    </w:rPr>
  </w:style>
  <w:style w:type="paragraph" w:styleId="a6">
    <w:name w:val="footer"/>
    <w:basedOn w:val="a"/>
    <w:link w:val="Char0"/>
    <w:uiPriority w:val="99"/>
    <w:unhideWhenUsed/>
    <w:qFormat/>
    <w:pPr>
      <w:tabs>
        <w:tab w:val="center" w:pos="4153"/>
        <w:tab w:val="right" w:pos="8306"/>
      </w:tabs>
      <w:snapToGrid w:val="0"/>
      <w:jc w:val="left"/>
    </w:pPr>
    <w:rPr>
      <w:sz w:val="18"/>
      <w:szCs w:val="18"/>
    </w:rPr>
  </w:style>
  <w:style w:type="paragraph" w:styleId="a7">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Times New Roman" w:hint="eastAsia"/>
      <w:kern w:val="0"/>
      <w:sz w:val="24"/>
      <w:szCs w:val="24"/>
    </w:rPr>
  </w:style>
  <w:style w:type="table" w:styleId="a8">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annotation reference"/>
    <w:basedOn w:val="a0"/>
    <w:uiPriority w:val="99"/>
    <w:semiHidden/>
    <w:unhideWhenUsed/>
    <w:rPr>
      <w:sz w:val="21"/>
      <w:szCs w:val="21"/>
    </w:rPr>
  </w:style>
  <w:style w:type="character" w:customStyle="1" w:styleId="Char1">
    <w:name w:val="页眉 Char"/>
    <w:basedOn w:val="a0"/>
    <w:link w:val="a7"/>
    <w:uiPriority w:val="99"/>
    <w:qFormat/>
    <w:rPr>
      <w:sz w:val="18"/>
      <w:szCs w:val="18"/>
    </w:rPr>
  </w:style>
  <w:style w:type="character" w:customStyle="1" w:styleId="Char0">
    <w:name w:val="页脚 Char"/>
    <w:basedOn w:val="a0"/>
    <w:link w:val="a6"/>
    <w:uiPriority w:val="99"/>
    <w:qFormat/>
    <w:rPr>
      <w:sz w:val="18"/>
      <w:szCs w:val="18"/>
    </w:rPr>
  </w:style>
  <w:style w:type="paragraph" w:styleId="aa">
    <w:name w:val="List Paragraph"/>
    <w:basedOn w:val="a"/>
    <w:uiPriority w:val="34"/>
    <w:qFormat/>
    <w:pPr>
      <w:ind w:firstLine="420"/>
    </w:pPr>
  </w:style>
  <w:style w:type="character" w:customStyle="1" w:styleId="Char">
    <w:name w:val="批注框文本 Char"/>
    <w:basedOn w:val="a0"/>
    <w:link w:val="a5"/>
    <w:uiPriority w:val="99"/>
    <w:semiHidden/>
    <w:rPr>
      <w:rFonts w:cstheme="minorBid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microsoft.com/office/2007/relationships/stylesWithEffects" Target="stylesWithEffect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1A11AA8-7762-4CC4-959F-F1C7CFA233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103</TotalTime>
  <Pages>8</Pages>
  <Words>5595</Words>
  <Characters>2620</Characters>
  <Application>Microsoft Office Word</Application>
  <DocSecurity>0</DocSecurity>
  <Lines>21</Lines>
  <Paragraphs>16</Paragraphs>
  <ScaleCrop>false</ScaleCrop>
  <Company/>
  <LinksUpToDate>false</LinksUpToDate>
  <CharactersWithSpaces>8199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1</cp:lastModifiedBy>
  <cp:revision>52</cp:revision>
  <dcterms:created xsi:type="dcterms:W3CDTF">2022-03-01T02:15:00Z</dcterms:created>
  <dcterms:modified xsi:type="dcterms:W3CDTF">2025-03-04T22:41:00Z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23E63027C009475F99785E382443E00F</vt:lpwstr>
  </property>
</Properties>
</file>