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D4D98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1" w:lineRule="atLeast"/>
        <w:ind w:left="0" w:right="0" w:firstLine="0"/>
        <w:jc w:val="left"/>
        <w:rPr>
          <w:rFonts w:hint="eastAsia" w:ascii="楷体" w:hAnsi="楷体" w:eastAsia="楷体" w:cs="楷体"/>
          <w:b/>
          <w:bCs/>
          <w:i w:val="0"/>
          <w:iCs w:val="0"/>
          <w:caps w:val="0"/>
          <w:spacing w:val="8"/>
          <w:sz w:val="44"/>
          <w:szCs w:val="44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spacing w:val="8"/>
          <w:sz w:val="44"/>
          <w:szCs w:val="44"/>
          <w:shd w:val="clear" w:fill="FFFFFF"/>
        </w:rPr>
        <w:t>助力尼帕病毒检测与疫苗研发，义翘神州现货供应G蛋白和Fusion蛋白</w:t>
      </w:r>
    </w:p>
    <w:p w14:paraId="1E683DC3">
      <w:pPr>
        <w:rPr>
          <w:rFonts w:hint="eastAsia" w:ascii="楷体" w:hAnsi="楷体" w:eastAsia="楷体" w:cs="楷体"/>
          <w:sz w:val="28"/>
          <w:szCs w:val="28"/>
        </w:rPr>
      </w:pPr>
    </w:p>
    <w:p w14:paraId="6A655F67">
      <w:pPr>
        <w:rPr>
          <w:rFonts w:hint="eastAsia" w:ascii="楷体" w:hAnsi="楷体" w:eastAsia="楷体" w:cs="楷体"/>
          <w:sz w:val="28"/>
          <w:szCs w:val="28"/>
        </w:rPr>
      </w:pPr>
    </w:p>
    <w:p w14:paraId="3248F8A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sz w:val="28"/>
          <w:szCs w:val="28"/>
        </w:rPr>
        <w:t>前言</w:t>
      </w:r>
      <w:bookmarkStart w:id="0" w:name="_GoBack"/>
      <w:bookmarkEnd w:id="0"/>
    </w:p>
    <w:p w14:paraId="59994DB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近日，印度西孟加拉邦出现尼帕病毒感染病例，近百人被要求居家隔离。据新闻报道，本次疫情或来自医院，患者A因误食被蝙蝠污染的新鲜椰枣汁造成感染。受此影响，泰国和尼泊尔相继加强对来自印度旅客的筛查措施。我国已将尼帕病毒纳入</w:t>
      </w:r>
      <w:r>
        <w:rPr>
          <w:rStyle w:val="6"/>
          <w:rFonts w:hint="eastAsia" w:ascii="楷体" w:hAnsi="楷体" w:eastAsia="楷体" w:cs="楷体"/>
          <w:sz w:val="28"/>
          <w:szCs w:val="28"/>
        </w:rPr>
        <w:t>《国境卫生检疫法》</w:t>
      </w:r>
      <w:r>
        <w:rPr>
          <w:rFonts w:hint="eastAsia" w:ascii="楷体" w:hAnsi="楷体" w:eastAsia="楷体" w:cs="楷体"/>
          <w:sz w:val="28"/>
          <w:szCs w:val="28"/>
        </w:rPr>
        <w:t>监测目录，目前尚未报告过相关病例。</w:t>
      </w:r>
    </w:p>
    <w:p w14:paraId="0A5F8EA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</w:p>
    <w:p w14:paraId="0C3CB89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Style w:val="6"/>
          <w:rFonts w:hint="eastAsia" w:ascii="楷体" w:hAnsi="楷体" w:eastAsia="楷体" w:cs="楷体"/>
          <w:sz w:val="28"/>
          <w:szCs w:val="28"/>
        </w:rPr>
        <w:t>尼帕病毒</w:t>
      </w:r>
      <w:r>
        <w:rPr>
          <w:rFonts w:hint="eastAsia" w:ascii="楷体" w:hAnsi="楷体" w:eastAsia="楷体" w:cs="楷体"/>
          <w:sz w:val="28"/>
          <w:szCs w:val="28"/>
        </w:rPr>
        <w:t>是一种新兴的、高致病性的副粘病毒，于1998年首次在马来西亚暴发。因其高病死率（40%-75%）、人畜共患、潜伏期长等特性，被</w:t>
      </w:r>
      <w:r>
        <w:rPr>
          <w:rStyle w:val="6"/>
          <w:rFonts w:hint="eastAsia" w:ascii="楷体" w:hAnsi="楷体" w:eastAsia="楷体" w:cs="楷体"/>
          <w:sz w:val="28"/>
          <w:szCs w:val="28"/>
        </w:rPr>
        <w:t>WHO</w:t>
      </w:r>
      <w:r>
        <w:rPr>
          <w:rFonts w:hint="eastAsia" w:ascii="楷体" w:hAnsi="楷体" w:eastAsia="楷体" w:cs="楷体"/>
          <w:sz w:val="28"/>
          <w:szCs w:val="28"/>
        </w:rPr>
        <w:t>列为重点研究的病原体。</w:t>
      </w:r>
    </w:p>
    <w:p w14:paraId="6C9D955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</w:p>
    <w:p w14:paraId="2FD466F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目前尚无专门针对尼帕病毒的疫苗和有效疗法，但科研人员正在积极进行验证，部分疫苗或候选药物已进入临床研究阶段。G蛋白和F蛋白依然是其研发的核心靶点。</w:t>
      </w:r>
      <w:r>
        <w:rPr>
          <w:rStyle w:val="6"/>
          <w:rFonts w:hint="eastAsia" w:ascii="楷体" w:hAnsi="楷体" w:eastAsia="楷体" w:cs="楷体"/>
          <w:color w:val="006B61"/>
          <w:sz w:val="28"/>
          <w:szCs w:val="28"/>
        </w:rPr>
        <w:t>义翘神州</w:t>
      </w:r>
      <w:r>
        <w:rPr>
          <w:rStyle w:val="6"/>
          <w:rFonts w:hint="eastAsia" w:ascii="楷体" w:hAnsi="楷体" w:eastAsia="楷体" w:cs="楷体"/>
          <w:sz w:val="28"/>
          <w:szCs w:val="28"/>
        </w:rPr>
        <w:t>深耕病毒试剂开发领域18年，已构建包含6000多种科研试剂的ProVir</w:t>
      </w:r>
      <w:r>
        <w:rPr>
          <w:rStyle w:val="6"/>
          <w:rFonts w:hint="eastAsia" w:ascii="楷体" w:hAnsi="楷体" w:eastAsia="楷体" w:cs="楷体"/>
          <w:sz w:val="28"/>
          <w:szCs w:val="28"/>
          <w:vertAlign w:val="superscript"/>
        </w:rPr>
        <w:t>®</w:t>
      </w:r>
      <w:r>
        <w:rPr>
          <w:rStyle w:val="6"/>
          <w:rFonts w:hint="eastAsia" w:ascii="楷体" w:hAnsi="楷体" w:eastAsia="楷体" w:cs="楷体"/>
          <w:sz w:val="28"/>
          <w:szCs w:val="28"/>
        </w:rPr>
        <w:t>病毒解决方案，现货供应尼帕病毒相关重组蛋白和抗体！</w:t>
      </w:r>
    </w:p>
    <w:p w14:paraId="67D238CB">
      <w:pPr>
        <w:keepNext w:val="0"/>
        <w:keepLines w:val="0"/>
        <w:widowControl/>
        <w:suppressLineNumbers w:val="0"/>
        <w:jc w:val="center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color w:val="auto"/>
          <w:sz w:val="28"/>
          <w:szCs w:val="28"/>
          <w:u w:val="none"/>
        </w:rPr>
        <w:drawing>
          <wp:inline distT="0" distB="0" distL="114300" distR="114300">
            <wp:extent cx="5266690" cy="2633345"/>
            <wp:effectExtent l="0" t="0" r="10160" b="14605"/>
            <wp:docPr id="6" name="图片 1" descr="IMG_256">
              <a:hlinkClick xmlns:a="http://schemas.openxmlformats.org/drawingml/2006/main" r:id="rId4" tooltip="https://cn.sinobiological.com/research/virus/nipah-virus?utm_source=weixin&amp;utm_medium=picture-1st&amp;utm_campaign=2601-virus-niv-012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333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D7BF72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</w:p>
    <w:p w14:paraId="5A48715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Style w:val="6"/>
          <w:rFonts w:hint="eastAsia" w:ascii="楷体" w:hAnsi="楷体" w:eastAsia="楷体" w:cs="楷体"/>
          <w:sz w:val="28"/>
          <w:szCs w:val="28"/>
        </w:rPr>
        <w:t>1深化病毒基础研究</w:t>
      </w:r>
    </w:p>
    <w:p w14:paraId="7542D08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</w:p>
    <w:p w14:paraId="4EB7AD9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Style w:val="6"/>
          <w:rFonts w:hint="eastAsia" w:ascii="楷体" w:hAnsi="楷体" w:eastAsia="楷体" w:cs="楷体"/>
          <w:sz w:val="28"/>
          <w:szCs w:val="28"/>
        </w:rPr>
        <w:t>尼帕病毒（Nipah virus, NiV）</w:t>
      </w:r>
      <w:r>
        <w:rPr>
          <w:rFonts w:hint="eastAsia" w:ascii="楷体" w:hAnsi="楷体" w:eastAsia="楷体" w:cs="楷体"/>
          <w:sz w:val="28"/>
          <w:szCs w:val="28"/>
        </w:rPr>
        <w:t>属于副黏病毒科，与亨德拉病毒（Hendra virus, HeV）同属。其基因组为单股负链RNA，约18.2kb，编码6种结构蛋白和3种非结构蛋白。病毒由包膜、核衣壳及多种功能蛋白组成。6种结构蛋白分别为核蛋白（N）、糖蛋白（G）、融合蛋白（F）、基质蛋白（M）、磷酸蛋白（P）和大聚合酶（L），在病毒复制、传播和致病过程中具有关键作用，共同支撑NiV的高致病性和传播能力。</w:t>
      </w:r>
    </w:p>
    <w:p w14:paraId="0D966CC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</w:p>
    <w:p w14:paraId="762DB8AF">
      <w:pPr>
        <w:keepNext w:val="0"/>
        <w:keepLines w:val="0"/>
        <w:widowControl/>
        <w:suppressLineNumbers w:val="0"/>
        <w:jc w:val="center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kern w:val="0"/>
          <w:sz w:val="28"/>
          <w:szCs w:val="28"/>
          <w:lang w:val="en-US" w:eastAsia="zh-CN" w:bidi="ar"/>
        </w:rPr>
        <w:drawing>
          <wp:inline distT="0" distB="0" distL="114300" distR="114300">
            <wp:extent cx="5266690" cy="3935730"/>
            <wp:effectExtent l="0" t="0" r="10160" b="7620"/>
            <wp:docPr id="4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IMG_25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357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FF0F2D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尼帕病毒结构及其蛋白组成</w:t>
      </w:r>
    </w:p>
    <w:p w14:paraId="7783279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（源自文献：doi: 10.1080/01652176.2019.1580827）</w:t>
      </w:r>
    </w:p>
    <w:p w14:paraId="33CB4D3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</w:p>
    <w:p w14:paraId="3009CA1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Style w:val="6"/>
          <w:rFonts w:hint="eastAsia" w:ascii="楷体" w:hAnsi="楷体" w:eastAsia="楷体" w:cs="楷体"/>
          <w:sz w:val="28"/>
          <w:szCs w:val="28"/>
        </w:rPr>
        <w:t>糖蛋白</w:t>
      </w:r>
    </w:p>
    <w:p w14:paraId="5A5A0D6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Style w:val="6"/>
          <w:rFonts w:hint="eastAsia" w:ascii="楷体" w:hAnsi="楷体" w:eastAsia="楷体" w:cs="楷体"/>
          <w:sz w:val="28"/>
          <w:szCs w:val="28"/>
        </w:rPr>
        <w:t>糖蛋白G</w:t>
      </w:r>
      <w:r>
        <w:rPr>
          <w:rFonts w:hint="eastAsia" w:ascii="楷体" w:hAnsi="楷体" w:eastAsia="楷体" w:cs="楷体"/>
          <w:sz w:val="28"/>
          <w:szCs w:val="28"/>
        </w:rPr>
        <w:t>（Glycoprotein）以同源四聚体的形式存在于病毒表面，与宿主细胞受体Ephrin-B2和Ephrin-B3特异性结合，启动病毒入侵过程。G蛋白决定病毒的宿主范围和组织嗜性，是病毒入侵的“关键钥匙”，也是中和抗体的主要靶点。</w:t>
      </w:r>
    </w:p>
    <w:p w14:paraId="5B4D402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</w:p>
    <w:p w14:paraId="7DA13D7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Style w:val="6"/>
          <w:rFonts w:hint="eastAsia" w:ascii="楷体" w:hAnsi="楷体" w:eastAsia="楷体" w:cs="楷体"/>
          <w:sz w:val="28"/>
          <w:szCs w:val="28"/>
        </w:rPr>
      </w:pPr>
      <w:r>
        <w:rPr>
          <w:rStyle w:val="6"/>
          <w:rFonts w:hint="eastAsia" w:ascii="楷体" w:hAnsi="楷体" w:eastAsia="楷体" w:cs="楷体"/>
          <w:sz w:val="28"/>
          <w:szCs w:val="28"/>
        </w:rPr>
        <w:t>融合蛋白F</w:t>
      </w:r>
    </w:p>
    <w:p w14:paraId="03C0C5A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Style w:val="6"/>
          <w:rFonts w:hint="eastAsia" w:ascii="楷体" w:hAnsi="楷体" w:eastAsia="楷体" w:cs="楷体"/>
          <w:sz w:val="28"/>
          <w:szCs w:val="28"/>
        </w:rPr>
        <w:t>融合蛋白F</w:t>
      </w:r>
      <w:r>
        <w:rPr>
          <w:rFonts w:hint="eastAsia" w:ascii="楷体" w:hAnsi="楷体" w:eastAsia="楷体" w:cs="楷体"/>
          <w:sz w:val="28"/>
          <w:szCs w:val="28"/>
        </w:rPr>
        <w:t>（Fusion protein）以同源三聚体形式存在，并保持一种亚稳态的融合前构象。在G蛋白与受体结合后被激活，发生剧烈的构象重排，形成稳定的融合后构象。F蛋白将病毒膜和宿主细胞膜拉近并融合，是病毒进入宿主细胞的核心环节。F蛋白融合前构象是诱导强效中和反应的关键，其构象变化直接影响感染效率。</w:t>
      </w:r>
    </w:p>
    <w:p w14:paraId="0D85A83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</w:p>
    <w:p w14:paraId="37C05E0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Style w:val="6"/>
          <w:rFonts w:hint="eastAsia" w:ascii="楷体" w:hAnsi="楷体" w:eastAsia="楷体" w:cs="楷体"/>
          <w:sz w:val="28"/>
          <w:szCs w:val="28"/>
        </w:rPr>
        <w:t>核蛋白N</w:t>
      </w:r>
    </w:p>
    <w:p w14:paraId="006DCB7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Style w:val="6"/>
          <w:rFonts w:hint="eastAsia" w:ascii="楷体" w:hAnsi="楷体" w:eastAsia="楷体" w:cs="楷体"/>
          <w:sz w:val="28"/>
          <w:szCs w:val="28"/>
        </w:rPr>
        <w:t>核蛋白N</w:t>
      </w:r>
      <w:r>
        <w:rPr>
          <w:rFonts w:hint="eastAsia" w:ascii="楷体" w:hAnsi="楷体" w:eastAsia="楷体" w:cs="楷体"/>
          <w:sz w:val="28"/>
          <w:szCs w:val="28"/>
        </w:rPr>
        <w:t>（Nucleocapsid）包裹病毒RNA形成核衣壳复合物（RNP），保护遗传物质免受宿主酶降解，并直接参与病毒复制与转录过程。</w:t>
      </w:r>
    </w:p>
    <w:p w14:paraId="4B956FD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</w:p>
    <w:p w14:paraId="5D7C58A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Style w:val="6"/>
          <w:rFonts w:hint="eastAsia" w:ascii="楷体" w:hAnsi="楷体" w:eastAsia="楷体" w:cs="楷体"/>
          <w:sz w:val="28"/>
          <w:szCs w:val="28"/>
        </w:rPr>
        <w:t>基质蛋白M</w:t>
      </w:r>
    </w:p>
    <w:p w14:paraId="5C6CBF8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Style w:val="6"/>
          <w:rFonts w:hint="eastAsia" w:ascii="楷体" w:hAnsi="楷体" w:eastAsia="楷体" w:cs="楷体"/>
          <w:sz w:val="28"/>
          <w:szCs w:val="28"/>
        </w:rPr>
        <w:t>基质蛋白M</w:t>
      </w:r>
      <w:r>
        <w:rPr>
          <w:rFonts w:hint="eastAsia" w:ascii="楷体" w:hAnsi="楷体" w:eastAsia="楷体" w:cs="楷体"/>
          <w:sz w:val="28"/>
          <w:szCs w:val="28"/>
        </w:rPr>
        <w:t>（Matrix protein）位于病毒包膜内侧，连接着RNP和包膜糖蛋白，为病毒粒子组装提供结构支撑，驱动病毒组装和出芽。其核质穿梭功能对病毒生命周期至关重要。</w:t>
      </w:r>
    </w:p>
    <w:p w14:paraId="1B8A4F4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</w:p>
    <w:p w14:paraId="52EB090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Style w:val="6"/>
          <w:rFonts w:hint="eastAsia" w:ascii="楷体" w:hAnsi="楷体" w:eastAsia="楷体" w:cs="楷体"/>
          <w:sz w:val="28"/>
          <w:szCs w:val="28"/>
        </w:rPr>
        <w:t>磷酸蛋白P</w:t>
      </w:r>
    </w:p>
    <w:p w14:paraId="120B1A8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Style w:val="6"/>
          <w:rFonts w:hint="eastAsia" w:ascii="楷体" w:hAnsi="楷体" w:eastAsia="楷体" w:cs="楷体"/>
          <w:sz w:val="28"/>
          <w:szCs w:val="28"/>
        </w:rPr>
        <w:t>磷酸蛋白P</w:t>
      </w:r>
      <w:r>
        <w:rPr>
          <w:rFonts w:hint="eastAsia" w:ascii="楷体" w:hAnsi="楷体" w:eastAsia="楷体" w:cs="楷体"/>
          <w:sz w:val="28"/>
          <w:szCs w:val="28"/>
        </w:rPr>
        <w:t>（Phosphoprotein）作为聚合酶辅助因子，与大聚合酶L（Large polymerase）结合并维持其稳定性。同时通过RNA编辑机制产生V、W、C等衍生蛋白，参与病毒的免疫逃逸。L蛋白是病毒复制转录的核心酶，包含RNA依赖的RNA聚合酶、甲基转移酶等功能域，负责催化mRNA合成及基因组RNA复制，是病毒增殖的核心功能蛋白。</w:t>
      </w:r>
    </w:p>
    <w:p w14:paraId="3D9AD14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</w:p>
    <w:tbl>
      <w:tblPr>
        <w:tblStyle w:val="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73"/>
        <w:gridCol w:w="1912"/>
        <w:gridCol w:w="4521"/>
      </w:tblGrid>
      <w:tr w14:paraId="60F0BF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0" w:type="pct"/>
            <w:gridSpan w:val="3"/>
            <w:tcBorders>
              <w:top w:val="nil"/>
              <w:left w:val="nil"/>
              <w:bottom w:val="single" w:color="FFFFFF" w:sz="12" w:space="0"/>
              <w:right w:val="nil"/>
            </w:tcBorders>
            <w:shd w:val="clear" w:color="auto" w:fill="006B61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1F9FA2E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Style w:val="6"/>
                <w:rFonts w:hint="eastAsia" w:ascii="楷体" w:hAnsi="楷体" w:eastAsia="楷体" w:cs="楷体"/>
                <w:color w:val="FFFFFF"/>
                <w:sz w:val="24"/>
                <w:szCs w:val="24"/>
              </w:rPr>
              <w:t>义翘神州NiV蛋白相关试剂</w:t>
            </w:r>
          </w:p>
        </w:tc>
      </w:tr>
      <w:tr w14:paraId="5930AA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50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 w:color="auto" w:fill="47C1A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498CC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Style w:val="6"/>
                <w:rFonts w:hint="eastAsia" w:ascii="楷体" w:hAnsi="楷体" w:eastAsia="楷体" w:cs="楷体"/>
                <w:sz w:val="24"/>
                <w:szCs w:val="24"/>
              </w:rPr>
              <w:t>货号</w:t>
            </w:r>
          </w:p>
        </w:tc>
        <w:tc>
          <w:tcPr>
            <w:tcW w:w="1100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 w:color="auto" w:fill="47C1A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52880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</w:rPr>
              <w:t>分子</w:t>
            </w:r>
          </w:p>
        </w:tc>
        <w:tc>
          <w:tcPr>
            <w:tcW w:w="2600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 w:color="auto" w:fill="47C1A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43101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</w:rPr>
              <w:t>毒株</w:t>
            </w:r>
          </w:p>
        </w:tc>
      </w:tr>
      <w:tr w14:paraId="611D02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50" w:type="pct"/>
            <w:tcBorders>
              <w:top w:val="single" w:color="47C1A8" w:sz="6" w:space="0"/>
              <w:left w:val="single" w:color="47C1A8" w:sz="6" w:space="0"/>
              <w:bottom w:val="single" w:color="47C1A8" w:sz="6" w:space="0"/>
              <w:right w:val="single" w:color="47C1A8" w:sz="6" w:space="0"/>
            </w:tcBorders>
            <w:shd w:val="clear" w:color="auto" w:fill="FBF9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FC763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auto"/>
                <w:sz w:val="24"/>
                <w:szCs w:val="24"/>
                <w:u w:val="none"/>
              </w:rPr>
              <w:t>40980-V08H</w:t>
            </w:r>
          </w:p>
        </w:tc>
        <w:tc>
          <w:tcPr>
            <w:tcW w:w="1100" w:type="pct"/>
            <w:tcBorders>
              <w:top w:val="single" w:color="47C1A8" w:sz="6" w:space="0"/>
              <w:left w:val="single" w:color="47C1A8" w:sz="6" w:space="0"/>
              <w:bottom w:val="single" w:color="47C1A8" w:sz="6" w:space="0"/>
              <w:right w:val="single" w:color="47C1A8" w:sz="6" w:space="0"/>
            </w:tcBorders>
            <w:shd w:val="clear" w:color="auto" w:fill="FBF9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222D9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NiV-G</w:t>
            </w:r>
          </w:p>
        </w:tc>
        <w:tc>
          <w:tcPr>
            <w:tcW w:w="2600" w:type="pct"/>
            <w:tcBorders>
              <w:top w:val="single" w:color="47C1A8" w:sz="6" w:space="0"/>
              <w:left w:val="single" w:color="47C1A8" w:sz="6" w:space="0"/>
              <w:bottom w:val="single" w:color="47C1A8" w:sz="6" w:space="0"/>
              <w:right w:val="single" w:color="47C1A8" w:sz="6" w:space="0"/>
            </w:tcBorders>
            <w:shd w:val="clear" w:color="auto" w:fill="FBF9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D82E9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strain Bangladesh 2005</w:t>
            </w:r>
          </w:p>
        </w:tc>
      </w:tr>
      <w:tr w14:paraId="1E8BA7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50" w:type="pct"/>
            <w:tcBorders>
              <w:top w:val="single" w:color="47C1A8" w:sz="6" w:space="0"/>
              <w:left w:val="single" w:color="47C1A8" w:sz="6" w:space="0"/>
              <w:bottom w:val="single" w:color="47C1A8" w:sz="6" w:space="0"/>
              <w:right w:val="single" w:color="47C1A8" w:sz="6" w:space="0"/>
            </w:tcBorders>
            <w:shd w:val="clear" w:color="auto" w:fill="FBF9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E03D3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auto"/>
                <w:sz w:val="24"/>
                <w:szCs w:val="24"/>
                <w:u w:val="none"/>
              </w:rPr>
              <w:t>40982-V08H</w:t>
            </w:r>
          </w:p>
        </w:tc>
        <w:tc>
          <w:tcPr>
            <w:tcW w:w="1100" w:type="pct"/>
            <w:tcBorders>
              <w:top w:val="single" w:color="47C1A8" w:sz="6" w:space="0"/>
              <w:left w:val="single" w:color="47C1A8" w:sz="6" w:space="0"/>
              <w:bottom w:val="single" w:color="47C1A8" w:sz="6" w:space="0"/>
              <w:right w:val="single" w:color="47C1A8" w:sz="6" w:space="0"/>
            </w:tcBorders>
            <w:shd w:val="clear" w:color="auto" w:fill="FBF9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21271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NiV-F</w:t>
            </w:r>
          </w:p>
        </w:tc>
        <w:tc>
          <w:tcPr>
            <w:tcW w:w="2600" w:type="pct"/>
            <w:tcBorders>
              <w:top w:val="single" w:color="47C1A8" w:sz="6" w:space="0"/>
              <w:left w:val="single" w:color="47C1A8" w:sz="6" w:space="0"/>
              <w:bottom w:val="single" w:color="47C1A8" w:sz="6" w:space="0"/>
              <w:right w:val="single" w:color="47C1A8" w:sz="6" w:space="0"/>
            </w:tcBorders>
            <w:shd w:val="clear" w:color="auto" w:fill="FBF9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20DED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strain MCL-25-H-2892, strain MCL-19-BAT-574-4</w:t>
            </w:r>
          </w:p>
        </w:tc>
      </w:tr>
      <w:tr w14:paraId="50F454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50" w:type="pct"/>
            <w:tcBorders>
              <w:top w:val="single" w:color="47C1A8" w:sz="6" w:space="0"/>
              <w:left w:val="single" w:color="47C1A8" w:sz="6" w:space="0"/>
              <w:bottom w:val="single" w:color="47C1A8" w:sz="6" w:space="0"/>
              <w:right w:val="single" w:color="47C1A8" w:sz="6" w:space="0"/>
            </w:tcBorders>
            <w:shd w:val="clear" w:color="auto" w:fill="FBF9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201F6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Style w:val="6"/>
                <w:rFonts w:hint="eastAsia" w:ascii="楷体" w:hAnsi="楷体" w:eastAsia="楷体" w:cs="楷体"/>
                <w:sz w:val="24"/>
                <w:szCs w:val="24"/>
              </w:rPr>
              <w:t>41147-V08B</w:t>
            </w:r>
          </w:p>
          <w:p w14:paraId="70F450B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Style w:val="6"/>
                <w:rFonts w:hint="eastAsia" w:ascii="楷体" w:hAnsi="楷体" w:eastAsia="楷体" w:cs="楷体"/>
                <w:sz w:val="24"/>
                <w:szCs w:val="24"/>
              </w:rPr>
              <w:t>（预售）</w:t>
            </w:r>
          </w:p>
        </w:tc>
        <w:tc>
          <w:tcPr>
            <w:tcW w:w="1100" w:type="pct"/>
            <w:tcBorders>
              <w:top w:val="single" w:color="47C1A8" w:sz="6" w:space="0"/>
              <w:left w:val="single" w:color="47C1A8" w:sz="6" w:space="0"/>
              <w:bottom w:val="single" w:color="47C1A8" w:sz="6" w:space="0"/>
              <w:right w:val="single" w:color="47C1A8" w:sz="6" w:space="0"/>
            </w:tcBorders>
            <w:shd w:val="clear" w:color="auto" w:fill="FBF9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033E9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NiV-N</w:t>
            </w:r>
          </w:p>
        </w:tc>
        <w:tc>
          <w:tcPr>
            <w:tcW w:w="2600" w:type="pct"/>
            <w:tcBorders>
              <w:top w:val="single" w:color="47C1A8" w:sz="6" w:space="0"/>
              <w:left w:val="single" w:color="47C1A8" w:sz="6" w:space="0"/>
              <w:bottom w:val="single" w:color="47C1A8" w:sz="6" w:space="0"/>
              <w:right w:val="single" w:color="47C1A8" w:sz="6" w:space="0"/>
            </w:tcBorders>
            <w:shd w:val="clear" w:color="auto" w:fill="FBF9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58B38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strain MCL-25-H-2892</w:t>
            </w:r>
          </w:p>
        </w:tc>
      </w:tr>
      <w:tr w14:paraId="3AA747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50" w:type="pct"/>
            <w:tcBorders>
              <w:top w:val="single" w:color="47C1A8" w:sz="6" w:space="0"/>
              <w:left w:val="single" w:color="47C1A8" w:sz="6" w:space="0"/>
              <w:bottom w:val="single" w:color="47C1A8" w:sz="6" w:space="0"/>
              <w:right w:val="single" w:color="47C1A8" w:sz="6" w:space="0"/>
            </w:tcBorders>
            <w:shd w:val="clear" w:color="auto" w:fill="FBF9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DB76A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Style w:val="6"/>
                <w:rFonts w:hint="eastAsia" w:ascii="楷体" w:hAnsi="楷体" w:eastAsia="楷体" w:cs="楷体"/>
                <w:sz w:val="24"/>
                <w:szCs w:val="24"/>
              </w:rPr>
              <w:t>41147-V08E</w:t>
            </w:r>
          </w:p>
          <w:p w14:paraId="795BA6A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Style w:val="6"/>
                <w:rFonts w:hint="eastAsia" w:ascii="楷体" w:hAnsi="楷体" w:eastAsia="楷体" w:cs="楷体"/>
                <w:sz w:val="24"/>
                <w:szCs w:val="24"/>
              </w:rPr>
              <w:t>（预售）</w:t>
            </w:r>
          </w:p>
        </w:tc>
        <w:tc>
          <w:tcPr>
            <w:tcW w:w="1100" w:type="pct"/>
            <w:tcBorders>
              <w:top w:val="single" w:color="47C1A8" w:sz="6" w:space="0"/>
              <w:left w:val="single" w:color="47C1A8" w:sz="6" w:space="0"/>
              <w:bottom w:val="single" w:color="47C1A8" w:sz="6" w:space="0"/>
              <w:right w:val="single" w:color="47C1A8" w:sz="6" w:space="0"/>
            </w:tcBorders>
            <w:shd w:val="clear" w:color="auto" w:fill="FBF9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67BE8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NiV-N</w:t>
            </w:r>
          </w:p>
        </w:tc>
        <w:tc>
          <w:tcPr>
            <w:tcW w:w="2600" w:type="pct"/>
            <w:tcBorders>
              <w:top w:val="single" w:color="47C1A8" w:sz="6" w:space="0"/>
              <w:left w:val="single" w:color="47C1A8" w:sz="6" w:space="0"/>
              <w:bottom w:val="single" w:color="47C1A8" w:sz="6" w:space="0"/>
              <w:right w:val="single" w:color="47C1A8" w:sz="6" w:space="0"/>
            </w:tcBorders>
            <w:shd w:val="clear" w:color="auto" w:fill="FBF9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88CB4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strain MCL-25-H-2892</w:t>
            </w:r>
          </w:p>
        </w:tc>
      </w:tr>
      <w:tr w14:paraId="520D8A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50" w:type="pct"/>
            <w:tcBorders>
              <w:top w:val="single" w:color="47C1A8" w:sz="6" w:space="0"/>
              <w:left w:val="single" w:color="47C1A8" w:sz="6" w:space="0"/>
              <w:bottom w:val="single" w:color="47C1A8" w:sz="6" w:space="0"/>
              <w:right w:val="single" w:color="47C1A8" w:sz="6" w:space="0"/>
            </w:tcBorders>
            <w:shd w:val="clear" w:color="auto" w:fill="FBF9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A2C49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Style w:val="6"/>
                <w:rFonts w:hint="eastAsia" w:ascii="楷体" w:hAnsi="楷体" w:eastAsia="楷体" w:cs="楷体"/>
                <w:sz w:val="24"/>
                <w:szCs w:val="24"/>
              </w:rPr>
              <w:t>40982-V08H1</w:t>
            </w:r>
          </w:p>
          <w:p w14:paraId="0421FDA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Style w:val="6"/>
                <w:rFonts w:hint="eastAsia" w:ascii="楷体" w:hAnsi="楷体" w:eastAsia="楷体" w:cs="楷体"/>
                <w:sz w:val="24"/>
                <w:szCs w:val="24"/>
              </w:rPr>
              <w:t>（预售）</w:t>
            </w:r>
          </w:p>
        </w:tc>
        <w:tc>
          <w:tcPr>
            <w:tcW w:w="1100" w:type="pct"/>
            <w:tcBorders>
              <w:top w:val="single" w:color="47C1A8" w:sz="6" w:space="0"/>
              <w:left w:val="single" w:color="47C1A8" w:sz="6" w:space="0"/>
              <w:bottom w:val="single" w:color="47C1A8" w:sz="6" w:space="0"/>
              <w:right w:val="single" w:color="47C1A8" w:sz="6" w:space="0"/>
            </w:tcBorders>
            <w:shd w:val="clear" w:color="auto" w:fill="FBF9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D2DA3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NiV pre-F</w:t>
            </w:r>
          </w:p>
        </w:tc>
        <w:tc>
          <w:tcPr>
            <w:tcW w:w="2600" w:type="pct"/>
            <w:tcBorders>
              <w:top w:val="single" w:color="47C1A8" w:sz="6" w:space="0"/>
              <w:left w:val="single" w:color="47C1A8" w:sz="6" w:space="0"/>
              <w:bottom w:val="single" w:color="47C1A8" w:sz="6" w:space="0"/>
              <w:right w:val="single" w:color="47C1A8" w:sz="6" w:space="0"/>
            </w:tcBorders>
            <w:shd w:val="clear" w:color="auto" w:fill="FBF9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9357D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strain MCL-25-H-2892, strain MCL-19-BAT-574-4</w:t>
            </w:r>
          </w:p>
        </w:tc>
      </w:tr>
      <w:tr w14:paraId="014AB9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50" w:type="pct"/>
            <w:tcBorders>
              <w:top w:val="single" w:color="47C1A8" w:sz="6" w:space="0"/>
              <w:left w:val="single" w:color="47C1A8" w:sz="6" w:space="0"/>
              <w:bottom w:val="single" w:color="47C1A8" w:sz="6" w:space="0"/>
              <w:right w:val="single" w:color="47C1A8" w:sz="6" w:space="0"/>
            </w:tcBorders>
            <w:shd w:val="clear" w:color="auto" w:fill="FBF9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DB6CB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Style w:val="6"/>
                <w:rFonts w:hint="eastAsia" w:ascii="楷体" w:hAnsi="楷体" w:eastAsia="楷体" w:cs="楷体"/>
                <w:sz w:val="24"/>
                <w:szCs w:val="24"/>
              </w:rPr>
              <w:t>40982-V08H2</w:t>
            </w:r>
          </w:p>
          <w:p w14:paraId="16FEDBF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Style w:val="6"/>
                <w:rFonts w:hint="eastAsia" w:ascii="楷体" w:hAnsi="楷体" w:eastAsia="楷体" w:cs="楷体"/>
                <w:sz w:val="24"/>
                <w:szCs w:val="24"/>
              </w:rPr>
              <w:t>（预售）</w:t>
            </w:r>
          </w:p>
        </w:tc>
        <w:tc>
          <w:tcPr>
            <w:tcW w:w="1100" w:type="pct"/>
            <w:tcBorders>
              <w:top w:val="single" w:color="47C1A8" w:sz="6" w:space="0"/>
              <w:left w:val="single" w:color="47C1A8" w:sz="6" w:space="0"/>
              <w:bottom w:val="single" w:color="47C1A8" w:sz="6" w:space="0"/>
              <w:right w:val="single" w:color="47C1A8" w:sz="6" w:space="0"/>
            </w:tcBorders>
            <w:shd w:val="clear" w:color="auto" w:fill="FBF9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4A9FA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NiV post-F</w:t>
            </w:r>
          </w:p>
        </w:tc>
        <w:tc>
          <w:tcPr>
            <w:tcW w:w="2600" w:type="pct"/>
            <w:tcBorders>
              <w:top w:val="single" w:color="47C1A8" w:sz="6" w:space="0"/>
              <w:left w:val="single" w:color="47C1A8" w:sz="6" w:space="0"/>
              <w:bottom w:val="single" w:color="47C1A8" w:sz="6" w:space="0"/>
              <w:right w:val="single" w:color="47C1A8" w:sz="6" w:space="0"/>
            </w:tcBorders>
            <w:shd w:val="clear" w:color="auto" w:fill="FBF9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D1775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strain MCL-25-H-2892, strain MCL-19-BAT-574-4</w:t>
            </w:r>
          </w:p>
        </w:tc>
      </w:tr>
    </w:tbl>
    <w:p w14:paraId="0AFFF1C2">
      <w:pPr>
        <w:rPr>
          <w:rFonts w:hint="eastAsia" w:ascii="楷体" w:hAnsi="楷体" w:eastAsia="楷体" w:cs="楷体"/>
          <w:vanish/>
          <w:sz w:val="28"/>
          <w:szCs w:val="28"/>
        </w:rPr>
      </w:pPr>
    </w:p>
    <w:tbl>
      <w:tblPr>
        <w:tblStyle w:val="4"/>
        <w:tblpPr w:leftFromText="180" w:rightFromText="180" w:vertAnchor="text" w:horzAnchor="page" w:tblpX="1784" w:tblpY="330"/>
        <w:tblOverlap w:val="never"/>
        <w:tblW w:w="5001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54"/>
        <w:gridCol w:w="2240"/>
        <w:gridCol w:w="1725"/>
        <w:gridCol w:w="2489"/>
      </w:tblGrid>
      <w:tr w14:paraId="752577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5000" w:type="pct"/>
            <w:gridSpan w:val="4"/>
            <w:tcBorders>
              <w:top w:val="nil"/>
              <w:left w:val="nil"/>
              <w:bottom w:val="single" w:color="FFFFFF" w:sz="12" w:space="0"/>
              <w:right w:val="nil"/>
            </w:tcBorders>
            <w:shd w:val="clear" w:color="auto" w:fill="006B61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734FCD9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Style w:val="6"/>
                <w:rFonts w:hint="eastAsia" w:ascii="楷体" w:hAnsi="楷体" w:eastAsia="楷体" w:cs="楷体"/>
                <w:color w:val="FFFFFF"/>
                <w:sz w:val="24"/>
                <w:szCs w:val="24"/>
              </w:rPr>
              <w:t>义翘神州NiV抗体现货试剂</w:t>
            </w:r>
          </w:p>
        </w:tc>
      </w:tr>
      <w:tr w14:paraId="7A4338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51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 w:color="auto" w:fill="47C1A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BD4B0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Style w:val="6"/>
                <w:rFonts w:hint="eastAsia" w:ascii="楷体" w:hAnsi="楷体" w:eastAsia="楷体" w:cs="楷体"/>
                <w:sz w:val="24"/>
                <w:szCs w:val="24"/>
              </w:rPr>
              <w:t>货号</w:t>
            </w:r>
          </w:p>
        </w:tc>
        <w:tc>
          <w:tcPr>
            <w:tcW w:w="1301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 w:color="auto" w:fill="47C1A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E8CFF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</w:rPr>
              <w:t>验证的应用</w:t>
            </w:r>
          </w:p>
        </w:tc>
        <w:tc>
          <w:tcPr>
            <w:tcW w:w="1002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 w:color="auto" w:fill="47C1A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1DE48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</w:rPr>
              <w:t>靶点</w:t>
            </w:r>
          </w:p>
        </w:tc>
        <w:tc>
          <w:tcPr>
            <w:tcW w:w="1445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 w:color="auto" w:fill="47C1A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EDAE3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</w:rPr>
              <w:t>抗体类型</w:t>
            </w:r>
          </w:p>
        </w:tc>
      </w:tr>
      <w:tr w14:paraId="2714BA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51" w:type="pct"/>
            <w:tcBorders>
              <w:top w:val="single" w:color="47C1A8" w:sz="6" w:space="0"/>
              <w:left w:val="single" w:color="47C1A8" w:sz="6" w:space="0"/>
              <w:bottom w:val="single" w:color="47C1A8" w:sz="6" w:space="0"/>
              <w:right w:val="single" w:color="47C1A8" w:sz="6" w:space="0"/>
            </w:tcBorders>
            <w:shd w:val="clear" w:color="auto" w:fill="FBF9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C2418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auto"/>
                <w:sz w:val="24"/>
                <w:szCs w:val="24"/>
                <w:u w:val="none"/>
              </w:rPr>
              <w:t>40980-T62</w:t>
            </w:r>
          </w:p>
        </w:tc>
        <w:tc>
          <w:tcPr>
            <w:tcW w:w="1301" w:type="pct"/>
            <w:tcBorders>
              <w:top w:val="single" w:color="47C1A8" w:sz="6" w:space="0"/>
              <w:left w:val="single" w:color="47C1A8" w:sz="6" w:space="0"/>
              <w:bottom w:val="single" w:color="47C1A8" w:sz="6" w:space="0"/>
              <w:right w:val="single" w:color="47C1A8" w:sz="6" w:space="0"/>
            </w:tcBorders>
            <w:shd w:val="clear" w:color="auto" w:fill="FBF9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52DAE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WB, ELISA</w:t>
            </w:r>
          </w:p>
        </w:tc>
        <w:tc>
          <w:tcPr>
            <w:tcW w:w="1002" w:type="pct"/>
            <w:tcBorders>
              <w:top w:val="single" w:color="47C1A8" w:sz="6" w:space="0"/>
              <w:left w:val="single" w:color="47C1A8" w:sz="6" w:space="0"/>
              <w:bottom w:val="single" w:color="47C1A8" w:sz="6" w:space="0"/>
              <w:right w:val="single" w:color="47C1A8" w:sz="6" w:space="0"/>
            </w:tcBorders>
            <w:shd w:val="clear" w:color="auto" w:fill="FBF9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66D96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NiV-G</w:t>
            </w:r>
          </w:p>
        </w:tc>
        <w:tc>
          <w:tcPr>
            <w:tcW w:w="1445" w:type="pct"/>
            <w:tcBorders>
              <w:top w:val="single" w:color="47C1A8" w:sz="6" w:space="0"/>
              <w:left w:val="single" w:color="47C1A8" w:sz="6" w:space="0"/>
              <w:bottom w:val="single" w:color="47C1A8" w:sz="6" w:space="0"/>
              <w:right w:val="single" w:color="47C1A8" w:sz="6" w:space="0"/>
            </w:tcBorders>
            <w:shd w:val="clear" w:color="auto" w:fill="FBF9F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4D8CE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Rabbit PAb</w:t>
            </w:r>
          </w:p>
        </w:tc>
      </w:tr>
    </w:tbl>
    <w:p w14:paraId="60DCE8C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</w:p>
    <w:p w14:paraId="7D62EDA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b/>
          <w:bCs/>
          <w:sz w:val="28"/>
          <w:szCs w:val="28"/>
        </w:rPr>
      </w:pPr>
    </w:p>
    <w:p w14:paraId="6D71C5A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b/>
          <w:bCs/>
          <w:sz w:val="28"/>
          <w:szCs w:val="28"/>
        </w:rPr>
      </w:pPr>
    </w:p>
    <w:p w14:paraId="16B9340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sz w:val="28"/>
          <w:szCs w:val="28"/>
        </w:rPr>
        <w:t>2</w:t>
      </w:r>
      <w:r>
        <w:rPr>
          <w:rStyle w:val="6"/>
          <w:rFonts w:hint="eastAsia" w:ascii="楷体" w:hAnsi="楷体" w:eastAsia="楷体" w:cs="楷体"/>
          <w:sz w:val="28"/>
          <w:szCs w:val="28"/>
        </w:rPr>
        <w:t>高致病性的机制</w:t>
      </w:r>
    </w:p>
    <w:p w14:paraId="529387F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</w:p>
    <w:p w14:paraId="55FFE66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尼帕病毒的高致病性与其独特的感染机制和免疫逃逸策略有关，多步骤协同作用导致严重的病理损伤。</w:t>
      </w:r>
    </w:p>
    <w:p w14:paraId="45D2E5A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</w:p>
    <w:p w14:paraId="7D54C2A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Style w:val="6"/>
          <w:rFonts w:hint="eastAsia" w:ascii="楷体" w:hAnsi="楷体" w:eastAsia="楷体" w:cs="楷体"/>
          <w:sz w:val="28"/>
          <w:szCs w:val="28"/>
        </w:rPr>
        <w:t>病毒入侵</w:t>
      </w:r>
    </w:p>
    <w:p w14:paraId="1FA92DA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由G蛋白和F蛋白完成。G蛋白首先与受体结合，诱发F蛋白构象变化，介导病毒包膜与宿主细胞膜融合，使包裹RNA基因组的核衣壳进入胞质。G蛋白已确认的主要受体是Ephrin-B2和Ephrin-B3，广泛表达于血管内皮细胞和神经元，这与尼帕病毒感染引起的血管炎和脑炎高度一致。硫酸乙酰肝素也被发现是一种入侵相关因子，增强病毒感染效率。</w:t>
      </w:r>
    </w:p>
    <w:p w14:paraId="72652A3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</w:p>
    <w:p w14:paraId="0D19776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Style w:val="6"/>
          <w:rFonts w:hint="eastAsia" w:ascii="楷体" w:hAnsi="楷体" w:eastAsia="楷体" w:cs="楷体"/>
          <w:sz w:val="28"/>
          <w:szCs w:val="28"/>
        </w:rPr>
        <w:t>免疫逃逸</w:t>
      </w:r>
    </w:p>
    <w:p w14:paraId="72FCE91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尼帕病毒具有较强的免疫抑制能力。P基因通过RNA编辑和不同起始密码子，编码P、V、W和C四种蛋白质，其中V和W蛋白是免疫拮抗因子。阻断JAK-STAT等干扰素信号通路，抑制宿主先天免疫反应，为病毒快速复制和扩散创造有利条件；同时G蛋白上的N-糖基可作为“诱饵”，保护病毒包膜免受抗体介导的中和作用。</w:t>
      </w:r>
    </w:p>
    <w:p w14:paraId="3CE532D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</w:p>
    <w:p w14:paraId="5DBF490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Style w:val="6"/>
          <w:rFonts w:hint="eastAsia" w:ascii="楷体" w:hAnsi="楷体" w:eastAsia="楷体" w:cs="楷体"/>
          <w:sz w:val="28"/>
          <w:szCs w:val="28"/>
        </w:rPr>
        <w:t>细胞间传播与组织损伤</w:t>
      </w:r>
    </w:p>
    <w:p w14:paraId="7934FDD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感染初期，尼帕病毒的宿主细胞为支气管上皮细胞。随着其释放炎症细胞因子，侵袭肺血管内皮细胞，并可跨越血脑屏障感染神经元引发急性脑炎。</w:t>
      </w:r>
    </w:p>
    <w:p w14:paraId="0BD485A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</w:p>
    <w:p w14:paraId="640F2E74">
      <w:pPr>
        <w:keepNext w:val="0"/>
        <w:keepLines w:val="0"/>
        <w:widowControl/>
        <w:suppressLineNumbers w:val="0"/>
        <w:jc w:val="center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kern w:val="0"/>
          <w:sz w:val="28"/>
          <w:szCs w:val="28"/>
          <w:lang w:val="en-US" w:eastAsia="zh-CN" w:bidi="ar"/>
        </w:rPr>
        <w:drawing>
          <wp:inline distT="0" distB="0" distL="114300" distR="114300">
            <wp:extent cx="5266690" cy="3584575"/>
            <wp:effectExtent l="0" t="0" r="10160" b="15875"/>
            <wp:docPr id="3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584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A50D25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尼帕病毒的病理生理学机制</w:t>
      </w:r>
    </w:p>
    <w:p w14:paraId="5810823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4"/>
          <w:szCs w:val="24"/>
        </w:rPr>
        <w:t>（源自文献：doi: 10.31083/j.jin2305090）</w:t>
      </w:r>
    </w:p>
    <w:p w14:paraId="2B3D163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</w:p>
    <w:p w14:paraId="2A0CBE3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sz w:val="28"/>
          <w:szCs w:val="28"/>
        </w:rPr>
        <w:t>3</w:t>
      </w: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 xml:space="preserve"> </w:t>
      </w:r>
      <w:r>
        <w:rPr>
          <w:rStyle w:val="6"/>
          <w:rFonts w:hint="eastAsia" w:ascii="楷体" w:hAnsi="楷体" w:eastAsia="楷体" w:cs="楷体"/>
          <w:sz w:val="28"/>
          <w:szCs w:val="28"/>
        </w:rPr>
        <w:t>疫苗研发进入临床试验阶段</w:t>
      </w:r>
    </w:p>
    <w:p w14:paraId="48A5EDB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疫苗研发仍是预防尼帕病毒的重中之重。病毒入侵主要依赖其表面的两种糖蛋白：G蛋白和F蛋白，因此疫苗设计的主旨是诱导能够中和这两种蛋白的免疫反应。目前全球尚无获批尼帕病毒疫苗，但多款候选疫苗已取得阶段性进展，涵盖腺病毒载体、mRNA、DNA疫苗等多种技术路线。如</w:t>
      </w:r>
      <w:r>
        <w:rPr>
          <w:rStyle w:val="6"/>
          <w:rFonts w:hint="eastAsia" w:ascii="楷体" w:hAnsi="楷体" w:eastAsia="楷体" w:cs="楷体"/>
          <w:sz w:val="28"/>
          <w:szCs w:val="28"/>
        </w:rPr>
        <w:t>牛津大学</w:t>
      </w:r>
      <w:r>
        <w:rPr>
          <w:rFonts w:hint="eastAsia" w:ascii="楷体" w:hAnsi="楷体" w:eastAsia="楷体" w:cs="楷体"/>
          <w:sz w:val="28"/>
          <w:szCs w:val="28"/>
        </w:rPr>
        <w:t>研发的ChAdOx1 NipahB疫苗于2024年1月启动临床试验。</w:t>
      </w:r>
      <w:r>
        <w:rPr>
          <w:rStyle w:val="6"/>
          <w:rFonts w:hint="eastAsia" w:ascii="楷体" w:hAnsi="楷体" w:eastAsia="楷体" w:cs="楷体"/>
          <w:sz w:val="28"/>
          <w:szCs w:val="28"/>
        </w:rPr>
        <w:t>武汉病毒所</w:t>
      </w:r>
      <w:r>
        <w:rPr>
          <w:rFonts w:hint="eastAsia" w:ascii="楷体" w:hAnsi="楷体" w:eastAsia="楷体" w:cs="楷体"/>
          <w:sz w:val="28"/>
          <w:szCs w:val="28"/>
        </w:rPr>
        <w:t>团队开发的重组腺病毒载体疫苗（AdC68-G）和DNA疫苗（DNA-G）在动物模型中表现优异。</w:t>
      </w:r>
    </w:p>
    <w:p w14:paraId="7418AD9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</w:p>
    <w:p w14:paraId="7E533606">
      <w:pPr>
        <w:keepNext w:val="0"/>
        <w:keepLines w:val="0"/>
        <w:widowControl/>
        <w:suppressLineNumbers w:val="0"/>
        <w:jc w:val="center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kern w:val="0"/>
          <w:sz w:val="28"/>
          <w:szCs w:val="28"/>
          <w:lang w:val="en-US" w:eastAsia="zh-CN" w:bidi="ar"/>
        </w:rPr>
        <w:drawing>
          <wp:inline distT="0" distB="0" distL="114300" distR="114300">
            <wp:extent cx="5266690" cy="4140200"/>
            <wp:effectExtent l="0" t="0" r="10160" b="12700"/>
            <wp:docPr id="5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IMG_25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4140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79C34D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尼帕病毒疫苗研发技术路线</w:t>
      </w:r>
    </w:p>
    <w:p w14:paraId="3529002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（源自文献：doi: 10.1080/01652176.2019.1580827）</w:t>
      </w:r>
    </w:p>
    <w:p w14:paraId="0BB1545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</w:p>
    <w:p w14:paraId="6AA6BEE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Style w:val="6"/>
          <w:rFonts w:hint="eastAsia" w:ascii="楷体" w:hAnsi="楷体" w:eastAsia="楷体" w:cs="楷体"/>
          <w:sz w:val="28"/>
          <w:szCs w:val="28"/>
        </w:rPr>
      </w:pPr>
    </w:p>
    <w:p w14:paraId="68A5F60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Style w:val="6"/>
          <w:rFonts w:hint="eastAsia" w:ascii="楷体" w:hAnsi="楷体" w:eastAsia="楷体" w:cs="楷体"/>
          <w:sz w:val="28"/>
          <w:szCs w:val="28"/>
        </w:rPr>
      </w:pPr>
      <w:r>
        <w:rPr>
          <w:rStyle w:val="6"/>
          <w:rFonts w:hint="eastAsia" w:ascii="楷体" w:hAnsi="楷体" w:eastAsia="楷体" w:cs="楷体"/>
          <w:sz w:val="28"/>
          <w:szCs w:val="28"/>
        </w:rPr>
        <w:t>义翘神州ProVir</w:t>
      </w:r>
      <w:r>
        <w:rPr>
          <w:rStyle w:val="6"/>
          <w:rFonts w:hint="eastAsia" w:ascii="楷体" w:hAnsi="楷体" w:eastAsia="楷体" w:cs="楷体"/>
          <w:sz w:val="28"/>
          <w:szCs w:val="28"/>
          <w:vertAlign w:val="superscript"/>
        </w:rPr>
        <w:t>®</w:t>
      </w:r>
      <w:r>
        <w:rPr>
          <w:rStyle w:val="6"/>
          <w:rFonts w:hint="eastAsia" w:ascii="楷体" w:hAnsi="楷体" w:eastAsia="楷体" w:cs="楷体"/>
          <w:sz w:val="28"/>
          <w:szCs w:val="28"/>
        </w:rPr>
        <w:t>病毒解决方案</w:t>
      </w:r>
    </w:p>
    <w:p w14:paraId="426FEEA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Style w:val="6"/>
          <w:rFonts w:hint="eastAsia" w:ascii="楷体" w:hAnsi="楷体" w:eastAsia="楷体" w:cs="楷体"/>
          <w:sz w:val="28"/>
          <w:szCs w:val="28"/>
        </w:rPr>
      </w:pPr>
    </w:p>
    <w:p w14:paraId="7397033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Style w:val="6"/>
          <w:rFonts w:hint="eastAsia" w:ascii="楷体" w:hAnsi="楷体" w:eastAsia="楷体" w:cs="楷体"/>
          <w:color w:val="006453"/>
          <w:sz w:val="28"/>
          <w:szCs w:val="28"/>
        </w:rPr>
        <w:t>义翘神州</w:t>
      </w:r>
      <w:r>
        <w:rPr>
          <w:rStyle w:val="6"/>
          <w:rFonts w:hint="eastAsia" w:ascii="楷体" w:hAnsi="楷体" w:eastAsia="楷体" w:cs="楷体"/>
          <w:sz w:val="28"/>
          <w:szCs w:val="28"/>
        </w:rPr>
        <w:t>长期致力于为传染病研究和防控提供高品质科研试剂。公司已成功开发尼帕病毒的F、G蛋白及检测抗体，现货供应。N蛋白、pre-F 三聚体、post-F 三聚体蛋白即将上线，全面助力尼帕病毒疫苗研发和诊断试剂开发。</w:t>
      </w:r>
    </w:p>
    <w:p w14:paraId="27EDD67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Style w:val="6"/>
          <w:rFonts w:hint="eastAsia" w:ascii="楷体" w:hAnsi="楷体" w:eastAsia="楷体" w:cs="楷体"/>
          <w:sz w:val="28"/>
          <w:szCs w:val="28"/>
        </w:rPr>
        <w:t>产品验证数据</w:t>
      </w:r>
    </w:p>
    <w:p w14:paraId="38E8F39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  <w:r>
        <w:rPr>
          <w:rStyle w:val="6"/>
          <w:rFonts w:hint="eastAsia" w:ascii="楷体" w:hAnsi="楷体" w:eastAsia="楷体" w:cs="楷体"/>
          <w:sz w:val="28"/>
          <w:szCs w:val="28"/>
        </w:rPr>
        <w:t>产品：Nipah virus Glycoprotein G Protein (ECD, His Tag) | Cat#: </w:t>
      </w:r>
      <w:r>
        <w:rPr>
          <w:rFonts w:hint="eastAsia" w:ascii="楷体" w:hAnsi="楷体" w:eastAsia="楷体" w:cs="楷体"/>
          <w:b/>
          <w:color w:val="auto"/>
          <w:sz w:val="28"/>
          <w:szCs w:val="28"/>
          <w:u w:val="none"/>
        </w:rPr>
        <w:t>40980-V08H</w:t>
      </w:r>
    </w:p>
    <w:p w14:paraId="75ADA63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</w:p>
    <w:p w14:paraId="177C3294">
      <w:pPr>
        <w:keepNext w:val="0"/>
        <w:keepLines w:val="0"/>
        <w:widowControl/>
        <w:suppressLineNumbers w:val="0"/>
        <w:jc w:val="center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kern w:val="0"/>
          <w:sz w:val="28"/>
          <w:szCs w:val="28"/>
          <w:lang w:val="en-US" w:eastAsia="zh-CN" w:bidi="ar"/>
        </w:rPr>
        <w:drawing>
          <wp:inline distT="0" distB="0" distL="114300" distR="114300">
            <wp:extent cx="5266690" cy="2731135"/>
            <wp:effectExtent l="0" t="0" r="10160" b="12065"/>
            <wp:docPr id="1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5" descr="IMG_26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7311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316115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</w:p>
    <w:p w14:paraId="28453D2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4"/>
          <w:szCs w:val="24"/>
        </w:rPr>
      </w:pPr>
      <w:r>
        <w:rPr>
          <w:rStyle w:val="6"/>
          <w:rFonts w:hint="eastAsia" w:ascii="楷体" w:hAnsi="楷体" w:eastAsia="楷体" w:cs="楷体"/>
          <w:sz w:val="24"/>
          <w:szCs w:val="24"/>
        </w:rPr>
        <w:t>Purity: ≥ 95% as determined by SDS-PAGE. ≥ 90% as determined by SEC-HPLC.</w:t>
      </w:r>
    </w:p>
    <w:p w14:paraId="3F83CF3A">
      <w:pPr>
        <w:keepNext w:val="0"/>
        <w:keepLines w:val="0"/>
        <w:widowControl/>
        <w:suppressLineNumbers w:val="0"/>
        <w:jc w:val="center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kern w:val="0"/>
          <w:sz w:val="28"/>
          <w:szCs w:val="28"/>
          <w:lang w:val="en-US" w:eastAsia="zh-CN" w:bidi="ar"/>
        </w:rPr>
        <w:drawing>
          <wp:inline distT="0" distB="0" distL="114300" distR="114300">
            <wp:extent cx="5266690" cy="2731135"/>
            <wp:effectExtent l="0" t="0" r="10160" b="12065"/>
            <wp:docPr id="7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 descr="IMG_26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7311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BCEF74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</w:p>
    <w:p w14:paraId="62FE1E0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4"/>
          <w:szCs w:val="24"/>
        </w:rPr>
      </w:pPr>
      <w:r>
        <w:rPr>
          <w:rStyle w:val="6"/>
          <w:rFonts w:hint="eastAsia" w:ascii="楷体" w:hAnsi="楷体" w:eastAsia="楷体" w:cs="楷体"/>
          <w:sz w:val="24"/>
          <w:szCs w:val="24"/>
        </w:rPr>
        <w:t>Immobilized Human Ephrin-B2 / EFNB2 Protein (Cat#: </w:t>
      </w:r>
      <w:r>
        <w:rPr>
          <w:rFonts w:hint="eastAsia" w:ascii="楷体" w:hAnsi="楷体" w:eastAsia="楷体" w:cs="楷体"/>
          <w:b/>
          <w:color w:val="auto"/>
          <w:sz w:val="24"/>
          <w:szCs w:val="24"/>
          <w:u w:val="none"/>
        </w:rPr>
        <w:t>10881-HCCH</w:t>
      </w:r>
      <w:r>
        <w:rPr>
          <w:rStyle w:val="6"/>
          <w:rFonts w:hint="eastAsia" w:ascii="楷体" w:hAnsi="楷体" w:eastAsia="楷体" w:cs="楷体"/>
          <w:sz w:val="24"/>
          <w:szCs w:val="24"/>
        </w:rPr>
        <w:t>) at 2 μg/mL (100 μL/well) can bind Nipah virus Glycoprotein G Protein (Cat#: </w:t>
      </w:r>
      <w:r>
        <w:rPr>
          <w:rFonts w:hint="eastAsia" w:ascii="楷体" w:hAnsi="楷体" w:eastAsia="楷体" w:cs="楷体"/>
          <w:b/>
          <w:color w:val="auto"/>
          <w:sz w:val="24"/>
          <w:szCs w:val="24"/>
          <w:u w:val="none"/>
        </w:rPr>
        <w:t>40980-V08H</w:t>
      </w:r>
      <w:r>
        <w:rPr>
          <w:rStyle w:val="6"/>
          <w:rFonts w:hint="eastAsia" w:ascii="楷体" w:hAnsi="楷体" w:eastAsia="楷体" w:cs="楷体"/>
          <w:sz w:val="24"/>
          <w:szCs w:val="24"/>
        </w:rPr>
        <w:t>), the EC</w:t>
      </w:r>
      <w:r>
        <w:rPr>
          <w:rStyle w:val="6"/>
          <w:rFonts w:hint="eastAsia" w:ascii="楷体" w:hAnsi="楷体" w:eastAsia="楷体" w:cs="楷体"/>
          <w:sz w:val="24"/>
          <w:szCs w:val="24"/>
          <w:vertAlign w:val="subscript"/>
        </w:rPr>
        <w:t>50</w:t>
      </w:r>
      <w:r>
        <w:rPr>
          <w:rStyle w:val="6"/>
          <w:rFonts w:hint="eastAsia" w:ascii="楷体" w:hAnsi="楷体" w:eastAsia="楷体" w:cs="楷体"/>
          <w:sz w:val="24"/>
          <w:szCs w:val="24"/>
        </w:rPr>
        <w:t> is 16-48 ng/mL.</w:t>
      </w:r>
    </w:p>
    <w:p w14:paraId="3238B4B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4"/>
          <w:szCs w:val="24"/>
        </w:rPr>
      </w:pPr>
    </w:p>
    <w:p w14:paraId="38815ABF">
      <w:pPr>
        <w:keepNext w:val="0"/>
        <w:keepLines w:val="0"/>
        <w:widowControl/>
        <w:suppressLineNumbers w:val="0"/>
        <w:jc w:val="center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color w:val="auto"/>
          <w:sz w:val="28"/>
          <w:szCs w:val="28"/>
          <w:u w:val="none"/>
        </w:rPr>
        <w:drawing>
          <wp:inline distT="0" distB="0" distL="114300" distR="114300">
            <wp:extent cx="5266690" cy="2633345"/>
            <wp:effectExtent l="0" t="0" r="10160" b="14605"/>
            <wp:docPr id="2" name="图片 7" descr="IMG_262">
              <a:hlinkClick xmlns:a="http://schemas.openxmlformats.org/drawingml/2006/main" r:id="rId4" tooltip="https://cn.sinobiological.com/research/virus/nipah-virus?utm_source=weixin&amp;utm_medium=picture-1st&amp;utm_campaign=2601-virus-niv-012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7" descr="IMG_26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333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014323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8"/>
          <w:szCs w:val="28"/>
        </w:rPr>
      </w:pPr>
    </w:p>
    <w:p w14:paraId="1309D59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免责声明：义翘神州内容团队仅是分享和解读公开的研究论文及其发现，专注于介绍全球生物医药研究新进展。本文仅作信息交流用，文中观点不代表义翘神州立场。随着对疾病机制研究的深入，新的实验结果或结论可能会修改或推翻文中的描述，还请大家理解。</w:t>
      </w:r>
    </w:p>
    <w:p w14:paraId="0A10D8B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4"/>
          <w:szCs w:val="24"/>
        </w:rPr>
      </w:pPr>
    </w:p>
    <w:p w14:paraId="6FE35B0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本文不属于治疗方案推荐，如需获得治疗方案指导，请前往正规医院就诊。</w:t>
      </w:r>
    </w:p>
    <w:p w14:paraId="12D17A48">
      <w:pPr>
        <w:rPr>
          <w:rFonts w:hint="eastAsia" w:ascii="楷体" w:hAnsi="楷体" w:eastAsia="楷体" w:cs="楷体"/>
          <w:sz w:val="24"/>
          <w:szCs w:val="24"/>
        </w:rPr>
      </w:pPr>
    </w:p>
    <w:p w14:paraId="40D530E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4"/>
          <w:szCs w:val="24"/>
        </w:rPr>
      </w:pPr>
      <w:r>
        <w:rPr>
          <w:rStyle w:val="6"/>
          <w:rFonts w:hint="eastAsia" w:ascii="楷体" w:hAnsi="楷体" w:eastAsia="楷体" w:cs="楷体"/>
          <w:sz w:val="24"/>
          <w:szCs w:val="24"/>
        </w:rPr>
        <w:t>【参考文献】</w:t>
      </w:r>
    </w:p>
    <w:p w14:paraId="0AC10EA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1. Siyun Yang and Supratik Kar, Are we ready to fight the Nipah virus pandemic? An overview of drug targets, current medications, and potential leads. Structural Chemistry, 2023. https://doi.org/10.1007/s11224-023-02148-6</w:t>
      </w:r>
    </w:p>
    <w:p w14:paraId="3832E79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2. Raj Kumar Singh, et al. Nipah virus: epidemiology, pathology, immunobiology and advances in diagnosis, vaccine designing and control strategies - a comprehensive review. VETERINARY QUARTERLY, 2019, https://doi.org/10.1080/01652176.2019.1580827</w:t>
      </w:r>
    </w:p>
    <w:p w14:paraId="58BC6E0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3. Al-Obaidi MMJ, Muthanna A, Desa MNM. Nipah Virus Neurotropism: Insights into Blood-Brain Barrier Disruption. J Integr Neurosci. 2024. doi: 10.31083/j.jin2305090</w:t>
      </w:r>
    </w:p>
    <w:p w14:paraId="544BB4AB">
      <w:pPr>
        <w:rPr>
          <w:rFonts w:hint="eastAsia" w:ascii="楷体" w:hAnsi="楷体" w:eastAsia="楷体" w:cs="楷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7B3C2A"/>
    <w:rsid w:val="24FE063B"/>
    <w:rsid w:val="71314E8A"/>
    <w:rsid w:val="7B296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hyperlink" Target="https://cn.sinobiological.com/research/virus/nipah-virus?utm_source=weixin%26utm_medium=picture-1st%26utm_campaign=2601-virus-niv-0128" TargetMode="Externa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2252</Words>
  <Characters>3546</Characters>
  <Lines>0</Lines>
  <Paragraphs>0</Paragraphs>
  <TotalTime>4</TotalTime>
  <ScaleCrop>false</ScaleCrop>
  <LinksUpToDate>false</LinksUpToDate>
  <CharactersWithSpaces>3700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2026-01-29T07:26:00Z</dcterms:created>
  <dc:creator>s</dc:creator>
  <cp:lastModifiedBy>忘了天空的颜色</cp:lastModifiedBy>
  <dcterms:modified xsi:type="dcterms:W3CDTF">2026-01-29T08:13:20Z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eyJoZGlkIjoiZTE1YTA5Y2Y5Y2I0NzU2ZDExMmM5ZWY5YTU1YWU0MjAiLCJ1c2VySWQiOiIzMDIxNDQ2NTUifQ==</vt:lpwstr>
  </property>
  <property fmtid="{D5CDD505-2E9C-101B-9397-08002B2CF9AE}" pid="4" name="ICV">
    <vt:lpwstr>FBF2BE4CD8154D339E3AA66D1032FAE0_13</vt:lpwstr>
  </property>
</Properties>
</file>