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olors1.xml" ContentType="application/vnd.ms-office.chartcolorstyle+xml"/>
  <Override PartName="/word/charts/colors2.xml" ContentType="application/vnd.ms-office.chartcolorstyle+xml"/>
  <Override PartName="/word/charts/style1.xml" ContentType="application/vnd.ms-office.chartstyle+xml"/>
  <Override PartName="/word/charts/style2.xml" ContentType="application/vnd.ms-office.chartstyle+xml"/>
  <Override PartName="/word/document.xml" ContentType="application/vnd.openxmlformats-officedocument.wordprocessingml.document.main+xml"/>
  <Override PartName="/word/drawings/drawing1.xml" ContentType="application/vnd.openxmlformats-officedocument.drawingml.chartshap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67"/>
        <w:rPr>
          <w:lang w:eastAsia="zh-CN"/>
        </w:rPr>
      </w:pPr>
      <w:bookmarkStart w:id="13" w:name="_GoBack"/>
      <w:bookmarkEnd w:id="13"/>
      <w:bookmarkStart w:id="0" w:name="_Toc481801204"/>
      <w:bookmarkStart w:id="1" w:name="_Toc438987549"/>
      <w:bookmarkStart w:id="2" w:name="_Toc418070112"/>
      <w:bookmarkStart w:id="3" w:name="_Toc415143481"/>
      <w:bookmarkStart w:id="4" w:name="OLE_LINK13"/>
      <w:bookmarkStart w:id="5" w:name="_Toc415142861"/>
      <w:bookmarkStart w:id="6" w:name="OLE_LINK15"/>
      <w:bookmarkStart w:id="7" w:name="_Toc517262917"/>
      <w:bookmarkStart w:id="8" w:name="OLE_LINK40"/>
      <w:bookmarkStart w:id="9" w:name="_Toc453597319"/>
      <w:bookmarkStart w:id="10" w:name="_Toc415818939"/>
      <w:bookmarkStart w:id="11" w:name="OLE_LINK24"/>
      <w:bookmarkStart w:id="12" w:name="OLE_LINK39"/>
      <w:r>
        <w:rPr>
          <w:lang w:eastAsia="zh-CN"/>
        </w:rPr>
        <w:t>真空贴体包装</w:t>
      </w:r>
      <w:r>
        <w:rPr>
          <w:rFonts w:hint="eastAsia"/>
          <w:lang w:eastAsia="zh-CN"/>
        </w:rPr>
        <w:t>全球市场总体规模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真空贴体包装 （VSP） 是一种最先进的包装技术，由热成型托盘或成型塑料容器上的一层薄薄的塑料薄膜组成。塑料薄膜提供了一层高度透明的空气和湿气保护层，这些空气和湿气会导致产品降解和变质，同时允许客户在没有污染风险的情况下查看产品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据QYResearch调研团队最新报告“全球真空贴体包装市场报告2023-2029”显示，预计2029年全球真空贴体包装市场规模将达到2978亿美元，未来几年年复合增长率CAGR为7.8%。</w:t>
      </w:r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全球</w:t>
      </w:r>
      <w:r>
        <w:rPr>
          <w:lang w:eastAsia="zh-CN"/>
        </w:rPr>
        <w:t>真空贴体包装</w:t>
      </w:r>
      <w:r>
        <w:rPr>
          <w:rFonts w:hint="eastAsia"/>
          <w:lang w:eastAsia="zh-CN"/>
        </w:rPr>
        <w:t>市场总体规模（百万美元）&amp;（</w:t>
      </w:r>
      <w:r>
        <w:rPr>
          <w:lang w:eastAsia="zh-CN"/>
        </w:rPr>
        <w:t>2018-2029</w:t>
      </w:r>
      <w:r>
        <w:rPr>
          <w:rFonts w:hint="eastAsia"/>
          <w:lang w:eastAsia="zh-CN"/>
        </w:rPr>
        <w:t>）</w:t>
      </w:r>
    </w:p>
    <w:p>
      <w:pPr>
        <w:pStyle w:val="145"/>
      </w:pPr>
      <w:r>
        <w:rPr>
          <w:lang w:val="en-US" w:eastAsia="zh-CN"/>
        </w:rPr>
        <w:drawing>
          <wp:inline distT="0" distB="0" distL="0" distR="0">
            <wp:extent cx="6188710" cy="2936875"/>
            <wp:effectExtent l="0" t="0" r="2540" b="0"/>
            <wp:docPr id="1324330562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真空贴体包装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主要驱动因素</w:t>
      </w:r>
      <w:r>
        <w:rPr>
          <w:lang w:eastAsia="zh-CN"/>
        </w:rPr>
        <w:t>: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真空贴体包装的一些市场驱动因素是：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消费者对包装食品的需求不断增加，食品安全意识不断增强。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肉类和海鲜产品的消费不断增长，尤其是在中国等新兴地区。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真空贴体包装的优点包括延长保质期、减少浪费、增强保护和最佳展示。"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主要阻碍因素</w:t>
      </w:r>
      <w:r>
        <w:rPr>
          <w:lang w:eastAsia="zh-CN"/>
        </w:rPr>
        <w:t>: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"真空贴体包装的一些限制是：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实施和维护真空贴体包装系统的成本高且复杂。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不同司法管辖区和标准之间缺乏统一性和兼容性。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伦理和社会问题涉及创作者权利和用户利益之间的平衡。"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行业发展机遇</w:t>
      </w:r>
      <w:r>
        <w:rPr>
          <w:lang w:eastAsia="zh-CN"/>
        </w:rPr>
        <w:t>: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真空贴体包装未来的一些机会是：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新技术和应用程序的开发，使数字内容的分发和消费更加高效、安全和创新。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真空贴体包装内容新市场和受众的扩展，特别是在新兴地区。</w:t>
      </w:r>
    </w:p>
    <w:p>
      <w:pPr>
        <w:pStyle w:val="145"/>
      </w:pPr>
      <w:r>
        <w:rPr>
          <w:rFonts w:hint="eastAsia"/>
          <w:lang w:eastAsia="zh-CN"/>
        </w:rPr>
        <w:t>为内容创作者和提供商创建新的商业模式和收入来源。</w:t>
      </w:r>
      <w:r>
        <w:rPr>
          <w:rFonts w:hint="eastAsia"/>
        </w:rPr>
        <w:t>"</w:t>
      </w:r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全球</w:t>
      </w:r>
      <w:r>
        <w:rPr>
          <w:lang w:eastAsia="zh-CN"/>
        </w:rPr>
        <w:t>真空贴体包装</w:t>
      </w:r>
      <w:r>
        <w:rPr>
          <w:rFonts w:hint="eastAsia"/>
          <w:lang w:eastAsia="zh-CN"/>
        </w:rPr>
        <w:t>主要厂商排名</w:t>
      </w:r>
    </w:p>
    <w:p>
      <w:pPr>
        <w:pStyle w:val="145"/>
        <w:tabs>
          <w:tab w:val="left" w:pos="1434"/>
          <w:tab w:val="center" w:pos="4933"/>
        </w:tabs>
        <w:jc w:val="left"/>
      </w:pPr>
      <w:r>
        <w:rPr>
          <w:lang w:val="en-US" w:eastAsia="zh-CN"/>
        </w:rPr>
        <w:drawing>
          <wp:inline distT="0" distB="0" distL="0" distR="0">
            <wp:extent cx="4572000" cy="4399915"/>
            <wp:effectExtent l="0" t="0" r="0" b="635"/>
            <wp:docPr id="1618797466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真空贴体包装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  <w:r>
        <w:rPr>
          <w:rFonts w:hint="eastAsia"/>
          <w:lang w:eastAsia="zh-CN"/>
        </w:rPr>
        <w:t>本文作者</w:t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p>
      <w:pPr>
        <w:pStyle w:val="145"/>
        <w:rPr>
          <w:lang w:eastAsia="zh-CN"/>
        </w:rPr>
      </w:pPr>
    </w:p>
    <w:p>
      <w:pPr>
        <w:pStyle w:val="145"/>
        <w:rPr>
          <w:rFonts w:hint="eastAsia"/>
          <w:lang w:eastAsia="zh-CN"/>
        </w:rPr>
      </w:pPr>
    </w:p>
    <w:p>
      <w:pPr>
        <w:pStyle w:val="167"/>
        <w:rPr>
          <w:lang w:eastAsia="zh-CN"/>
        </w:rPr>
      </w:pPr>
      <w:r>
        <w:rPr>
          <w:lang w:eastAsia="zh-CN"/>
        </w:rPr>
        <w:t>QYResearch</w:t>
      </w:r>
      <w:r>
        <w:rPr>
          <w:rFonts w:hint="eastAsia"/>
          <w:lang w:eastAsia="zh-CN"/>
        </w:rPr>
        <w:t>简介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QYResearch于2007年成立于美国加利福尼亚州，是全球领先的市场研究和咨询公司。 拥有超过16年的经验和遍布全球各个城市的专业研究团队，QY Research专注于管理咨询、数据库和研讨会服务、IPO咨询、产业链研究和定制研究，帮助我们的客户提供非线性收入模式，使 他们成功了。 我们因广泛的服务组合、良好的企业公民意识以及对可持续发展的坚定承诺而获得全球认可。 截至目前，我们已与五大洲超过60,000家客户合作。 让我们与您密切合作，共创美好的未来。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QYResearch是一家全球知名的大型咨询公司。 行业涵盖高科技产业链各个细分市场，横跨半导体产业链（半导体设备及零部件、半导体材料、集成电路、晶圆代工、封装测试、分立器件、传感器、光电器件）、光伏产业链（设备、电池片） 、模组、辅助材料支架、逆变器、电站终端）、新能源汽车产业链（电池及材料、汽车零部件、电池、电机、电控、汽车半导体等）、通信产业链（通信系统设备、终端 设备、电子元器件、射频前端、光模块、4G/5G/6G、宽带、物联网、数字经济、人工智能）、先进材料产业链（金属材料、高分子材料、陶瓷材料、纳米材料等）、 机械制造产业链（数控机床、工程机械、电机、3C自动化、工业机器人、激光、工控、无人机）、食品饮料医药、医疗器械、农业等。</w:t>
      </w:r>
    </w:p>
    <w:sectPr>
      <w:pgSz w:w="11906" w:h="16838"/>
      <w:pgMar w:top="1440" w:right="1080" w:bottom="1440" w:left="1080" w:header="709" w:footer="567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 w14:prst="orthographicFront"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MDYzNTE3ZmJhYmZjY2ZiNzUxNTI1ZTRkNzNkYTA1OTIifQ=="/>
  </w:docVars>
  <w:rsids>
    <w:rsidRoot w:val="00D33EE2"/>
    <w:rsid w:val="000002E5"/>
    <w:rsid w:val="0000037A"/>
    <w:rsid w:val="0000040F"/>
    <w:rsid w:val="0000064D"/>
    <w:rsid w:val="00000877"/>
    <w:rsid w:val="00000A89"/>
    <w:rsid w:val="00000CBB"/>
    <w:rsid w:val="00001917"/>
    <w:rsid w:val="00001B99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4D1"/>
    <w:rsid w:val="001056AE"/>
    <w:rsid w:val="001059EC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93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CA4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4D00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389"/>
    <w:rsid w:val="00634487"/>
    <w:rsid w:val="006344EE"/>
    <w:rsid w:val="00634580"/>
    <w:rsid w:val="006346F1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AFD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05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53C"/>
    <w:rsid w:val="009C19F1"/>
    <w:rsid w:val="009C1D27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897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4DE"/>
    <w:rsid w:val="00AC5831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14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D34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E9A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515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11CE1B10"/>
    <w:rsid w:val="58B17B42"/>
    <w:rsid w:val="687220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/>
    </w:rPr>
  </w:style>
  <w:style w:type="paragraph" w:styleId="6">
    <w:name w:val="heading 5"/>
    <w:basedOn w:val="1"/>
    <w:next w:val="1"/>
    <w:link w:val="85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semiHidden/>
    <w:unhideWhenUsed/>
    <w:qFormat/>
    <w:uiPriority w:val="1"/>
  </w:style>
  <w:style w:type="table" w:default="1" w:styleId="3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unhideWhenUsed/>
    <w:qFormat/>
    <w:uiPriority w:val="0"/>
    <w:pPr>
      <w:jc w:val="left"/>
    </w:pPr>
  </w:style>
  <w:style w:type="paragraph" w:styleId="13">
    <w:name w:val="Body Text"/>
    <w:basedOn w:val="1"/>
    <w:link w:val="112"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qFormat/>
    <w:uiPriority w:val="0"/>
    <w:pPr>
      <w:ind w:left="100" w:leftChars="2500"/>
    </w:pPr>
  </w:style>
  <w:style w:type="paragraph" w:styleId="19">
    <w:name w:val="endnote text"/>
    <w:basedOn w:val="1"/>
    <w:link w:val="140"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unhideWhenUsed/>
    <w:qFormat/>
    <w:uiPriority w:val="39"/>
  </w:style>
  <w:style w:type="paragraph" w:styleId="28">
    <w:name w:val="table of figures"/>
    <w:next w:val="1"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lang w:val="en-US" w:eastAsia="zh-CN" w:bidi="ar-SA"/>
    </w:rPr>
  </w:style>
  <w:style w:type="paragraph" w:styleId="29">
    <w:name w:val="toc 2"/>
    <w:basedOn w:val="24"/>
    <w:next w:val="24"/>
    <w:link w:val="157"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unhideWhenUsed/>
    <w:qFormat/>
    <w:uiPriority w:val="39"/>
    <w:pPr>
      <w:ind w:left="3360" w:leftChars="1600"/>
    </w:pPr>
  </w:style>
  <w:style w:type="paragraph" w:styleId="31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qFormat/>
    <w:uiPriority w:val="0"/>
    <w:pPr>
      <w:jc w:val="left"/>
    </w:pPr>
    <w:rPr>
      <w:b/>
      <w:bCs/>
    </w:rPr>
  </w:style>
  <w:style w:type="table" w:styleId="35">
    <w:name w:val="Table Grid"/>
    <w:basedOn w:val="34"/>
    <w:uiPriority w:val="39"/>
    <w:rPr>
      <w:rFonts w:ascii="Times New Roman" w:hAnsi="Times New Roman" w:eastAsia="宋体" w:cs="Times New Roman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qFormat/>
    <w:uiPriority w:val="0"/>
    <w:pPr>
      <w:widowControl w:val="0"/>
      <w:jc w:val="right"/>
    </w:pPr>
    <w:rPr>
      <w:rFonts w:ascii="Times New Roman" w:hAnsi="Times New Roman" w:eastAsia="宋体" w:cs="Times New Roman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qFormat/>
    <w:uiPriority w:val="61"/>
    <w:rPr>
      <w:rFonts w:ascii="Calibri" w:hAnsi="Calibri" w:eastAsia="宋体" w:cs="Times New Roman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qFormat/>
    <w:uiPriority w:val="63"/>
    <w:rPr>
      <w:rFonts w:ascii="Calibri" w:hAnsi="Calibri" w:eastAsia="宋体" w:cs="Times New Roman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qFormat/>
    <w:uiPriority w:val="73"/>
    <w:rPr>
      <w:rFonts w:ascii="Calibri" w:hAnsi="Calibri" w:eastAsia="宋体" w:cs="Times New Roman"/>
      <w:color w:val="00000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qFormat/>
    <w:uiPriority w:val="22"/>
    <w:rPr>
      <w:b/>
      <w:bCs/>
    </w:rPr>
  </w:style>
  <w:style w:type="character" w:styleId="69">
    <w:name w:val="endnote reference"/>
    <w:basedOn w:val="67"/>
    <w:semiHidden/>
    <w:unhideWhenUsed/>
    <w:qFormat/>
    <w:uiPriority w:val="99"/>
    <w:rPr>
      <w:vertAlign w:val="superscript"/>
    </w:rPr>
  </w:style>
  <w:style w:type="character" w:styleId="70">
    <w:name w:val="Emphasis"/>
    <w:qFormat/>
    <w:uiPriority w:val="0"/>
    <w:rPr>
      <w:i/>
      <w:iCs/>
    </w:rPr>
  </w:style>
  <w:style w:type="character" w:styleId="71">
    <w:name w:val="Hyperlink"/>
    <w:unhideWhenUsed/>
    <w:qFormat/>
    <w:uiPriority w:val="99"/>
    <w:rPr>
      <w:color w:val="0000FF"/>
      <w:u w:val="single"/>
    </w:rPr>
  </w:style>
  <w:style w:type="character" w:styleId="72">
    <w:name w:val="annotation reference"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qFormat/>
    <w:uiPriority w:val="99"/>
    <w:rPr>
      <w:sz w:val="18"/>
      <w:szCs w:val="18"/>
    </w:rPr>
  </w:style>
  <w:style w:type="character" w:customStyle="1" w:styleId="75">
    <w:name w:val="标题 1 字符"/>
    <w:basedOn w:val="67"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标题1"/>
    <w:basedOn w:val="2"/>
    <w:next w:val="1"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修订1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qFormat/>
    <w:uiPriority w:val="49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qFormat/>
    <w:uiPriority w:val="0"/>
  </w:style>
  <w:style w:type="character" w:customStyle="1" w:styleId="108">
    <w:name w:val="纯文本 字符1"/>
    <w:link w:val="16"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qFormat/>
    <w:uiPriority w:val="49"/>
    <w:pPr>
      <w:widowControl w:val="0"/>
    </w:pPr>
    <w:rPr>
      <w:rFonts w:ascii="Calibri" w:hAnsi="Calibri" w:eastAsia="宋体" w:cs="Times New Roman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qFormat/>
    <w:uiPriority w:val="50"/>
    <w:pPr>
      <w:widowControl w:val="0"/>
    </w:pPr>
    <w:rPr>
      <w:rFonts w:ascii="Calibri" w:hAnsi="Calibri" w:eastAsia="宋体" w:cs="Times New Roman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qFormat/>
    <w:uiPriority w:val="0"/>
  </w:style>
  <w:style w:type="paragraph" w:styleId="131">
    <w:name w:val="No Spacing"/>
    <w:link w:val="132"/>
    <w:qFormat/>
    <w:uiPriority w:val="1"/>
    <w:rPr>
      <w:rFonts w:ascii="Calibri" w:hAnsi="Calibri" w:eastAsia="宋体" w:cs="Times New Roman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qFormat/>
    <w:uiPriority w:val="0"/>
    <w:rPr>
      <w:b/>
    </w:rPr>
  </w:style>
  <w:style w:type="table" w:customStyle="1" w:styleId="134">
    <w:name w:val="网格表 4 - 着色 13"/>
    <w:basedOn w:val="34"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qFormat/>
    <w:uiPriority w:val="0"/>
    <w:pPr>
      <w:widowControl/>
      <w:topLinePunct w:val="0"/>
      <w:spacing w:before="240" w:after="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qFormat/>
    <w:uiPriority w:val="0"/>
    <w:rPr>
      <w:rFonts w:ascii="Times New Roman" w:hAnsi="Times New Roman" w:eastAsia="宋体"/>
      <w:color w:val="0D0D0D" w:themeColor="text1" w:themeTint="F2"/>
      <w:kern w:val="0"/>
      <w:sz w:val="22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出段落 字符"/>
    <w:basedOn w:val="67"/>
    <w:link w:val="113"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qFormat/>
    <w:uiPriority w:val="0"/>
    <w:pPr>
      <w:tabs>
        <w:tab w:val="right" w:pos="9736"/>
      </w:tabs>
    </w:pPr>
  </w:style>
  <w:style w:type="character" w:customStyle="1" w:styleId="157">
    <w:name w:val="目录 2 字符"/>
    <w:basedOn w:val="67"/>
    <w:link w:val="29"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清单表 2 - 着色 41"/>
    <w:basedOn w:val="34"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qFormat/>
    <w:uiPriority w:val="99"/>
    <w:rPr>
      <w:rFonts w:eastAsia="Times New Roman"/>
      <w:color w:val="00B050"/>
    </w:rPr>
  </w:style>
  <w:style w:type="character" w:customStyle="1" w:styleId="162">
    <w:name w:val="未处理的提及31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清单表 1 浅色 - 着色 11"/>
    <w:basedOn w:val="34"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qFormat/>
    <w:uiPriority w:val="73"/>
    <w:rPr>
      <w:rFonts w:ascii="Calibri" w:hAnsi="Calibri" w:eastAsia="宋体" w:cs="Times New Roman"/>
      <w:color w:val="00000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qFormat/>
    <w:uiPriority w:val="73"/>
    <w:rPr>
      <w:rFonts w:ascii="Calibri" w:hAnsi="Calibri" w:eastAsia="宋体" w:cs="Times New Roman"/>
      <w:color w:val="00000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qFormat/>
    <w:uiPriority w:val="70"/>
    <w:rPr>
      <w:rFonts w:ascii="Calibri" w:hAnsi="Calibri" w:eastAsia="宋体" w:cs="Times New Roman"/>
      <w:color w:val="FFFFFF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qFormat/>
    <w:uiPriority w:val="70"/>
    <w:rPr>
      <w:rFonts w:ascii="Calibri" w:hAnsi="Calibri" w:eastAsia="宋体" w:cs="Times New Roman"/>
      <w:color w:val="FFFFFF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qFormat/>
    <w:uiPriority w:val="70"/>
    <w:rPr>
      <w:rFonts w:ascii="Calibri" w:hAnsi="Calibri" w:eastAsia="宋体" w:cs="Times New Roman"/>
      <w:color w:val="FFFFFF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qFormat/>
    <w:uiPriority w:val="63"/>
    <w:rPr>
      <w:rFonts w:ascii="Calibri" w:hAnsi="Calibri" w:eastAsia="宋体" w:cs="Times New Roman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qFormat/>
    <w:uiPriority w:val="61"/>
    <w:rPr>
      <w:rFonts w:ascii="Calibri" w:hAnsi="Calibri" w:eastAsia="宋体" w:cs="Times New Roman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qFormat/>
    <w:uiPriority w:val="61"/>
    <w:rPr>
      <w:rFonts w:ascii="Calibri" w:hAnsi="Calibri" w:eastAsia="宋体" w:cs="Times New Roman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qFormat/>
    <w:uiPriority w:val="61"/>
    <w:rPr>
      <w:rFonts w:ascii="Calibri" w:hAnsi="Calibri" w:eastAsia="宋体" w:cs="Times New Roman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qFormat/>
    <w:uiPriority w:val="63"/>
    <w:rPr>
      <w:rFonts w:ascii="Calibri" w:hAnsi="Calibri" w:eastAsia="宋体" w:cs="Times New Roman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qFormat/>
    <w:uiPriority w:val="69"/>
    <w:rPr>
      <w:rFonts w:ascii="Calibri" w:hAnsi="Calibri" w:eastAsia="宋体" w:cs="Times New Roman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qFormat/>
    <w:uiPriority w:val="61"/>
    <w:rPr>
      <w:rFonts w:ascii="Calibri" w:hAnsi="Calibri" w:eastAsia="宋体" w:cs="Times New Roman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qFormat/>
    <w:uiPriority w:val="69"/>
    <w:rPr>
      <w:rFonts w:ascii="Times New Roman" w:hAnsi="Times New Roman" w:eastAsia="宋体" w:cs="Times New Roman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qFormat/>
    <w:uiPriority w:val="67"/>
    <w:rPr>
      <w:rFonts w:ascii="Times New Roman" w:hAnsi="Times New Roman" w:eastAsia="宋体" w:cs="Times New Roman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qFormat/>
    <w:uiPriority w:val="63"/>
    <w:rPr>
      <w:rFonts w:ascii="Times New Roman" w:hAnsi="Times New Roman" w:eastAsia="宋体" w:cs="Times New Roman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qFormat/>
    <w:uiPriority w:val="63"/>
    <w:rPr>
      <w:rFonts w:ascii="Times New Roman" w:hAnsi="Times New Roman" w:eastAsia="宋体" w:cs="Times New Roman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清单表 2 - 着色 21"/>
    <w:basedOn w:val="34"/>
    <w:qFormat/>
    <w:uiPriority w:val="47"/>
    <w:rPr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qFormat/>
    <w:uiPriority w:val="99"/>
    <w:pPr>
      <w:jc w:val="both"/>
    </w:pPr>
    <w:rPr>
      <w:rFonts w:ascii="Calibri" w:hAnsi="Calibri" w:eastAsia="Calibri"/>
      <w:color w:val="000000" w:themeColor="text1"/>
      <w:sz w:val="22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网格表 21"/>
    <w:basedOn w:val="34"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网格表 2 - 着色 41"/>
    <w:basedOn w:val="34"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网格表 2 - 着色 51"/>
    <w:basedOn w:val="34"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qFormat/>
    <w:uiPriority w:val="99"/>
  </w:style>
  <w:style w:type="table" w:customStyle="1" w:styleId="201">
    <w:name w:val="清单表 2 - 着色 51"/>
    <w:basedOn w:val="34"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清单表 1 浅色 - 着色 51"/>
    <w:basedOn w:val="34"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qFormat/>
    <w:uiPriority w:val="0"/>
    <w:pPr>
      <w:spacing w:before="80" w:after="80"/>
    </w:pPr>
    <w:rPr>
      <w:rFonts w:ascii="Tahoma" w:hAnsi="Tahoma" w:eastAsia="宋体" w:cstheme="minorBidi"/>
      <w:sz w:val="21"/>
      <w:szCs w:val="22"/>
      <w:lang w:val="en-IN" w:eastAsia="en-US" w:bidi="ar-SA"/>
    </w:rPr>
  </w:style>
  <w:style w:type="character" w:customStyle="1" w:styleId="204">
    <w:name w:val="未处理的提及6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205">
    <w:name w:val="Unresolved Mention"/>
    <w:basedOn w:val="67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numbering" Target="numbering.xml"/><Relationship Id="rId6" Type="http://schemas.openxmlformats.org/officeDocument/2006/relationships/chart" Target="charts/chart2.xml"/><Relationship Id="rId5" Type="http://schemas.openxmlformats.org/officeDocument/2006/relationships/chart" Target="charts/chart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charts/_rels/chart1.xml.rels><?xml version="1.0" encoding="UTF-8" standalone="yes"?>
<Relationships xmlns="http://schemas.openxmlformats.org/package/2006/relationships"><Relationship Id="rId4" Type="http://schemas.microsoft.com/office/2011/relationships/chartColorStyle" Target="colors1.xml"/><Relationship Id="rId3" Type="http://schemas.microsoft.com/office/2011/relationships/chartStyle" Target="style1.xml"/><Relationship Id="rId2" Type="http://schemas.openxmlformats.org/officeDocument/2006/relationships/chartUserShapes" Target="../drawings/drawing1.xml"/><Relationship Id="rId1" Type="http://schemas.openxmlformats.org/officeDocument/2006/relationships/oleObject" Target="file:///C:\Users\12057\Desktop\&#35838;&#39064;&#30446;&#24405;&#27719;&#24635;\Word&#35266;&#28857;\&#35885;&#29738;&#23609;\&#30495;&#31354;&#36148;&#20307;&#21253;&#35013;\&#30495;&#31354;&#36148;&#20307;&#21253;&#35013;.xlsx" TargetMode="External"/></Relationships>
</file>

<file path=word/charts/_rels/chart2.xml.rels><?xml version="1.0" encoding="UTF-8" standalone="yes"?>
<Relationships xmlns="http://schemas.openxmlformats.org/package/2006/relationships"><Relationship Id="rId3" Type="http://schemas.microsoft.com/office/2011/relationships/chartColorStyle" Target="colors2.xml"/><Relationship Id="rId2" Type="http://schemas.microsoft.com/office/2011/relationships/chartStyle" Target="style2.xml"/><Relationship Id="rId1" Type="http://schemas.openxmlformats.org/officeDocument/2006/relationships/oleObject" Target="file:///C:\Users\12057\Desktop\&#35838;&#39064;&#30446;&#24405;&#27719;&#24635;\Word&#35266;&#28857;\&#35885;&#29738;&#23609;\&#30495;&#31354;&#36148;&#20307;&#21253;&#35013;\&#30495;&#31354;&#36148;&#20307;&#21253;&#35013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1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zh-CN" altLang="en-US" sz="1100" b="0" i="0" u="none" strike="noStrike" kern="1200" spc="0" baseline="0">
                <a:solidFill>
                  <a:sysClr val="windowText" lastClr="000000">
                    <a:lumMod val="65000"/>
                    <a:lumOff val="35000"/>
                  </a:sysClr>
                </a:solidFill>
                <a:latin typeface="Book Antiqua" panose="02040602050305030304" pitchFamily="1" charset="0"/>
              </a:rPr>
              <a:t>全球市场规模（百万美元）</a:t>
            </a:r>
            <a:endParaRPr lang="en-US" altLang="zh-CN" sz="1100" b="0" i="0" u="none" strike="noStrike" kern="1200" spc="0" baseline="0">
              <a:solidFill>
                <a:sysClr val="windowText" lastClr="000000">
                  <a:lumMod val="65000"/>
                  <a:lumOff val="35000"/>
                </a:sysClr>
              </a:solidFill>
              <a:latin typeface="Book Antiqua" panose="02040602050305030304" pitchFamily="1" charset="0"/>
            </a:endParaRPr>
          </a:p>
        </c:rich>
      </c:tx>
      <c:layout/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0.0254884259259259"/>
          <c:y val="0.131440849673203"/>
          <c:w val="0.937283950617284"/>
          <c:h val="0.793030392156863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全球总体!$A$22</c:f>
              <c:strCache>
                <c:ptCount val="1"/>
                <c:pt idx="0">
                  <c:v>Global Market Size ($ Mn)</c:v>
                </c:pt>
              </c:strCache>
            </c:strRef>
          </c:tx>
          <c:spPr>
            <a:solidFill>
              <a:srgbClr val="00206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全球总体!$B$21:$D$21</c:f>
              <c:numCache>
                <c:formatCode>General</c:formatCode>
                <c:ptCount val="3"/>
                <c:pt idx="0">
                  <c:v>2018</c:v>
                </c:pt>
                <c:pt idx="1">
                  <c:v>2022</c:v>
                </c:pt>
                <c:pt idx="2">
                  <c:v>2029</c:v>
                </c:pt>
              </c:numCache>
            </c:numRef>
          </c:cat>
          <c:val>
            <c:numRef>
              <c:f>全球总体!$B$22:$D$22</c:f>
              <c:numCache>
                <c:formatCode>#,##0_ </c:formatCode>
                <c:ptCount val="3"/>
                <c:pt idx="0">
                  <c:v>126653</c:v>
                </c:pt>
                <c:pt idx="1">
                  <c:v>189789</c:v>
                </c:pt>
                <c:pt idx="2">
                  <c:v>297797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719571343"/>
        <c:axId val="481370671"/>
      </c:barChart>
      <c:catAx>
        <c:axId val="71957134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481370671"/>
        <c:crosses val="autoZero"/>
        <c:auto val="1"/>
        <c:lblAlgn val="ctr"/>
        <c:lblOffset val="100"/>
        <c:noMultiLvlLbl val="0"/>
      </c:catAx>
      <c:valAx>
        <c:axId val="481370671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71957134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05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  <a:r>
              <a:rPr lang="zh-CN" altLang="en-US" sz="1050">
                <a:latin typeface="Book Antiqua" panose="02040602050305030304" pitchFamily="1" charset="0"/>
              </a:rPr>
              <a:t>全球市场主要企业排名</a:t>
            </a:r>
            <a:endParaRPr lang="en-US" altLang="zh-CN" sz="1050">
              <a:latin typeface="Book Antiqua" panose="02040602050305030304" pitchFamily="1" charset="0"/>
            </a:endParaRPr>
          </a:p>
        </c:rich>
      </c:tx>
      <c:layout>
        <c:manualLayout>
          <c:xMode val="edge"/>
          <c:yMode val="edge"/>
          <c:x val="0.332020778652668"/>
          <c:y val="0.0346320818516983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bar"/>
        <c:grouping val="clustered"/>
        <c:varyColors val="1"/>
        <c:ser>
          <c:idx val="0"/>
          <c:order val="0"/>
          <c:tx>
            <c:strRef>
              <c:f>企业排序!$G$1</c:f>
              <c:strCache>
                <c:ptCount val="1"/>
                <c:pt idx="0">
                  <c:v>2022</c:v>
                </c:pt>
              </c:strCache>
            </c:strRef>
          </c:tx>
          <c:spPr/>
          <c:invertIfNegative val="0"/>
          <c:dPt>
            <c:idx val="0"/>
            <c:invertIfNegative val="0"/>
            <c:bubble3D val="0"/>
            <c:spPr>
              <a:solidFill>
                <a:schemeClr val="accent1"/>
              </a:solidFill>
              <a:ln>
                <a:noFill/>
              </a:ln>
              <a:effectLst/>
            </c:spPr>
          </c:dPt>
          <c:dPt>
            <c:idx val="1"/>
            <c:invertIfNegative val="0"/>
            <c:bubble3D val="0"/>
            <c:spPr>
              <a:solidFill>
                <a:schemeClr val="accent2"/>
              </a:solidFill>
              <a:ln>
                <a:noFill/>
              </a:ln>
              <a:effectLst/>
            </c:spPr>
          </c:dPt>
          <c:dPt>
            <c:idx val="2"/>
            <c:invertIfNegative val="0"/>
            <c:bubble3D val="0"/>
            <c:spPr>
              <a:solidFill>
                <a:schemeClr val="accent3"/>
              </a:solidFill>
              <a:ln>
                <a:noFill/>
              </a:ln>
              <a:effectLst/>
            </c:spPr>
          </c:dPt>
          <c:dPt>
            <c:idx val="3"/>
            <c:invertIfNegative val="0"/>
            <c:bubble3D val="0"/>
            <c:spPr>
              <a:solidFill>
                <a:schemeClr val="accent4"/>
              </a:solidFill>
              <a:ln>
                <a:noFill/>
              </a:ln>
              <a:effectLst/>
            </c:spPr>
          </c:dPt>
          <c:dPt>
            <c:idx val="4"/>
            <c:invertIfNegative val="0"/>
            <c:bubble3D val="0"/>
            <c:spPr>
              <a:solidFill>
                <a:schemeClr val="accent5"/>
              </a:solidFill>
              <a:ln>
                <a:noFill/>
              </a:ln>
              <a:effectLst/>
            </c:spPr>
          </c:dPt>
          <c:dPt>
            <c:idx val="5"/>
            <c:invertIfNegative val="0"/>
            <c:bubble3D val="0"/>
            <c:spPr>
              <a:solidFill>
                <a:schemeClr val="accent6"/>
              </a:solidFill>
              <a:ln>
                <a:noFill/>
              </a:ln>
              <a:effectLst/>
            </c:spPr>
          </c:dPt>
          <c:dPt>
            <c:idx val="6"/>
            <c:invertIfNegative val="0"/>
            <c:bubble3D val="0"/>
            <c:spPr>
              <a:solidFill>
                <a:schemeClr val="accent1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7"/>
            <c:invertIfNegative val="0"/>
            <c:bubble3D val="0"/>
            <c:spPr>
              <a:solidFill>
                <a:schemeClr val="accent2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8"/>
            <c:invertIfNegative val="0"/>
            <c:bubble3D val="0"/>
            <c:spPr>
              <a:solidFill>
                <a:schemeClr val="accent3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9"/>
            <c:invertIfNegative val="0"/>
            <c:bubble3D val="0"/>
            <c:spPr>
              <a:solidFill>
                <a:schemeClr val="accent4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0"/>
            <c:invertIfNegative val="0"/>
            <c:bubble3D val="0"/>
            <c:spPr>
              <a:solidFill>
                <a:schemeClr val="accent5">
                  <a:lumMod val="60000"/>
                </a:schemeClr>
              </a:solidFill>
              <a:ln>
                <a:noFill/>
              </a:ln>
              <a:effectLst/>
            </c:spPr>
          </c:dPt>
          <c:dLbls>
            <c:delete val="1"/>
          </c:dLbls>
          <c:cat>
            <c:strRef>
              <c:f>企业排序!$F$2:$F$25</c:f>
              <c:strCache>
                <c:ptCount val="11"/>
                <c:pt idx="0">
                  <c:v>Sealed Air</c:v>
                </c:pt>
                <c:pt idx="1">
                  <c:v>Amcor (Bemis)</c:v>
                </c:pt>
                <c:pt idx="2">
                  <c:v>Winpak Ltd.</c:v>
                </c:pt>
                <c:pt idx="3">
                  <c:v>Linpac Packaging</c:v>
                </c:pt>
                <c:pt idx="4">
                  <c:v>MULTIVAC</c:v>
                </c:pt>
                <c:pt idx="5">
                  <c:v>Schur Flexibles</c:v>
                </c:pt>
                <c:pt idx="6">
                  <c:v>Plastopil Hazorea</c:v>
                </c:pt>
                <c:pt idx="7">
                  <c:v>Quinn Packaging</c:v>
                </c:pt>
                <c:pt idx="8">
                  <c:v>DuPont</c:v>
                </c:pt>
                <c:pt idx="9">
                  <c:v>G. Mondini</c:v>
                </c:pt>
                <c:pt idx="10">
                  <c:v>Clondalkin Group</c:v>
                </c:pt>
              </c:strCache>
            </c:strRef>
          </c:cat>
          <c:val>
            <c:numRef>
              <c:f>企业排序!$G$2:$G$25</c:f>
              <c:numCache>
                <c:formatCode>#,##0.00_ </c:formatCode>
                <c:ptCount val="11"/>
                <c:pt idx="0">
                  <c:v>269.73</c:v>
                </c:pt>
                <c:pt idx="1">
                  <c:v>176.7</c:v>
                </c:pt>
                <c:pt idx="2">
                  <c:v>95.1</c:v>
                </c:pt>
                <c:pt idx="3">
                  <c:v>82.35</c:v>
                </c:pt>
                <c:pt idx="4">
                  <c:v>61.3</c:v>
                </c:pt>
                <c:pt idx="5">
                  <c:v>40.22</c:v>
                </c:pt>
                <c:pt idx="6">
                  <c:v>16.82</c:v>
                </c:pt>
                <c:pt idx="7">
                  <c:v>16.78</c:v>
                </c:pt>
                <c:pt idx="8">
                  <c:v>15.87</c:v>
                </c:pt>
                <c:pt idx="9">
                  <c:v>13.84</c:v>
                </c:pt>
                <c:pt idx="10">
                  <c:v>9.5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axId val="1272139183"/>
        <c:axId val="1326546959"/>
      </c:barChart>
      <c:catAx>
        <c:axId val="1272139183"/>
        <c:scaling>
          <c:orientation val="maxMin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326546959"/>
        <c:crosses val="autoZero"/>
        <c:auto val="1"/>
        <c:lblAlgn val="ctr"/>
        <c:lblOffset val="100"/>
        <c:noMultiLvlLbl val="0"/>
      </c:catAx>
      <c:valAx>
        <c:axId val="1326546959"/>
        <c:scaling>
          <c:orientation val="minMax"/>
        </c:scaling>
        <c:delete val="0"/>
        <c:axPos val="t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.0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27213918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0.55078</cdr:x>
      <cdr:y>0.17175</cdr:y>
    </cdr:from>
    <cdr:to>
      <cdr:x>0.73063</cdr:x>
      <cdr:y>0.51232</cdr:y>
    </cdr:to>
    <cdr:grpSp>
      <cdr:nvGrpSpPr>
        <cdr:cNvPr id="2" name="组合 1"/>
        <cdr:cNvGrpSpPr/>
      </cdr:nvGrpSpPr>
      <cdr:grpSpPr xmlns:a="http://schemas.openxmlformats.org/drawingml/2006/main">
        <a:xfrm rot="439955">
          <a:off x="3408618" y="504408"/>
          <a:ext cx="1113039" cy="1000212"/>
          <a:chOff x="2859058" y="1061399"/>
          <a:chExt cx="759437" cy="821673"/>
        </a:xfrm>
        <a:solidFill>
          <a:srgbClr val="FFC000"/>
        </a:solidFill>
      </cdr:grpSpPr>
      <cdr:cxnSp>
        <cdr:nvCxnSpPr>
          <cdr:cNvPr id="3" name="直接箭头连接符 2"/>
          <cdr:cNvCxnSpPr/>
        </cdr:nvCxnSpPr>
        <cdr:spPr xmlns:a="http://schemas.openxmlformats.org/drawingml/2006/main">
          <a:xfrm xmlns:a="http://schemas.openxmlformats.org/drawingml/2006/main" rot="21160045" flipV="1">
            <a:off x="2859058" y="1061399"/>
            <a:ext cx="759437" cy="821673"/>
          </a:xfrm>
          <a:prstGeom xmlns:a="http://schemas.openxmlformats.org/drawingml/2006/main" prst="straightConnector1">
            <a:avLst/>
          </a:prstGeom>
          <a:grpFill/>
          <a:ln w="15875">
            <a:solidFill>
              <a:srgbClr val="002060"/>
            </a:solidFill>
            <a:tailEnd type="triangle"/>
          </a:ln>
        </cdr:spPr>
        <cdr:style>
          <a:lnRef xmlns:a="http://schemas.openxmlformats.org/drawingml/2006/main" idx="1">
            <a:schemeClr val="accent1"/>
          </a:lnRef>
          <a:fillRef xmlns:a="http://schemas.openxmlformats.org/drawingml/2006/main" idx="0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tx1"/>
          </a:fontRef>
        </cdr:style>
      </cdr:cxnSp>
      <cdr:sp>
        <cdr:nvSpPr>
          <cdr:cNvPr id="4" name="椭圆 3"/>
          <cdr:cNvSpPr/>
        </cdr:nvSpPr>
        <cdr:spPr xmlns:a="http://schemas.openxmlformats.org/drawingml/2006/main">
          <a:xfrm xmlns:a="http://schemas.openxmlformats.org/drawingml/2006/main" rot="18649119">
            <a:off x="2885602" y="1427757"/>
            <a:ext cx="619687" cy="185800"/>
          </a:xfrm>
          <a:prstGeom xmlns:a="http://schemas.openxmlformats.org/drawingml/2006/main" prst="ellipse">
            <a:avLst/>
          </a:prstGeom>
          <a:grpFill/>
          <a:ln w="12700">
            <a:noFill/>
          </a:ln>
        </cdr:spPr>
        <cdr:style>
          <a:lnRef xmlns:a="http://schemas.openxmlformats.org/drawingml/2006/main" idx="2">
            <a:schemeClr val="accent1">
              <a:shade val="15000"/>
            </a:schemeClr>
          </a:lnRef>
          <a:fillRef xmlns:a="http://schemas.openxmlformats.org/drawingml/2006/main" idx="1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lt1"/>
          </a:fontRef>
        </cdr:style>
        <cdr:txBody xmlns:a="http://schemas.openxmlformats.org/drawingml/2006/main">
          <a:bodyPr vertOverflow="clip" vert="horz" wrap="none" lIns="45720" tIns="45720" rIns="45720" bIns="45720" anchor="ctr" anchorCtr="0">
            <a:normAutofit/>
          </a:bodyPr>
          <a:lstStyle/>
          <a:p>
            <a:pPr algn="ctr"/>
            <a:r>
              <a:rPr lang="en-US" altLang="zh-CN" baseline="0">
                <a:solidFill>
                  <a:sysClr val="windowText" lastClr="000000"/>
                </a:solidFill>
                <a:latin typeface="Book Antiqua" panose="02040602050305030304" pitchFamily="1" charset="0"/>
                <a:ea typeface="宋体" panose="02010600030101010101" charset="-122"/>
              </a:rPr>
              <a:t>7.8%</a:t>
            </a:r>
            <a:endParaRPr lang="zh-CN" baseline="0">
              <a:solidFill>
                <a:sysClr val="windowText" lastClr="000000"/>
              </a:solidFill>
              <a:latin typeface="Book Antiqua" panose="02040602050305030304" pitchFamily="1" charset="0"/>
              <a:ea typeface="宋体" panose="02010600030101010101" charset="-122"/>
            </a:endParaRPr>
          </a:p>
        </cdr:txBody>
      </cdr:sp>
    </cdr:grpSp>
  </cdr:relSizeAnchor>
  <cdr:relSizeAnchor xmlns:cdr="http://schemas.openxmlformats.org/drawingml/2006/chartDrawing">
    <cdr:from>
      <cdr:x>0.23328</cdr:x>
      <cdr:y>0.47975</cdr:y>
    </cdr:from>
    <cdr:to>
      <cdr:x>0.43042</cdr:x>
      <cdr:y>0.743</cdr:y>
    </cdr:to>
    <cdr:grpSp>
      <cdr:nvGrpSpPr>
        <cdr:cNvPr id="5" name="组合 4"/>
        <cdr:cNvGrpSpPr/>
      </cdr:nvGrpSpPr>
      <cdr:grpSpPr xmlns:a="http://schemas.openxmlformats.org/drawingml/2006/main">
        <a:xfrm rot="1783323">
          <a:off x="1443702" y="1408966"/>
          <a:ext cx="1220042" cy="773132"/>
          <a:chOff x="3065378" y="1615187"/>
          <a:chExt cx="1010935" cy="814928"/>
        </a:xfrm>
      </cdr:grpSpPr>
      <cdr:cxnSp>
        <cdr:nvCxnSpPr>
          <cdr:cNvPr id="6" name="直接箭头连接符 5"/>
          <cdr:cNvCxnSpPr/>
        </cdr:nvCxnSpPr>
        <cdr:spPr xmlns:a="http://schemas.openxmlformats.org/drawingml/2006/main">
          <a:xfrm xmlns:a="http://schemas.openxmlformats.org/drawingml/2006/main" rot="19816677" flipV="1">
            <a:off x="3065378" y="1822248"/>
            <a:ext cx="1010935" cy="464804"/>
          </a:xfrm>
          <a:prstGeom xmlns:a="http://schemas.openxmlformats.org/drawingml/2006/main" prst="straightConnector1">
            <a:avLst/>
          </a:prstGeom>
          <a:ln w="15875">
            <a:solidFill>
              <a:srgbClr val="002060"/>
            </a:solidFill>
            <a:tailEnd type="triangle"/>
          </a:ln>
        </cdr:spPr>
        <cdr:style>
          <a:lnRef xmlns:a="http://schemas.openxmlformats.org/drawingml/2006/main" idx="1">
            <a:schemeClr val="accent1"/>
          </a:lnRef>
          <a:fillRef xmlns:a="http://schemas.openxmlformats.org/drawingml/2006/main" idx="0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tx1"/>
          </a:fontRef>
        </cdr:style>
      </cdr:cxnSp>
      <cdr:sp>
        <cdr:nvSpPr>
          <cdr:cNvPr id="7" name="椭圆 6"/>
          <cdr:cNvSpPr/>
        </cdr:nvSpPr>
        <cdr:spPr xmlns:a="http://schemas.openxmlformats.org/drawingml/2006/main">
          <a:xfrm xmlns:a="http://schemas.openxmlformats.org/drawingml/2006/main" rot="18584799">
            <a:off x="3135135" y="1935053"/>
            <a:ext cx="814928" cy="175195"/>
          </a:xfrm>
          <a:prstGeom xmlns:a="http://schemas.openxmlformats.org/drawingml/2006/main" prst="ellipse">
            <a:avLst/>
          </a:prstGeom>
          <a:solidFill>
            <a:srgbClr val="FFC000"/>
          </a:solidFill>
          <a:ln w="12700">
            <a:noFill/>
          </a:ln>
        </cdr:spPr>
        <cdr:style>
          <a:lnRef xmlns:a="http://schemas.openxmlformats.org/drawingml/2006/main" idx="2">
            <a:schemeClr val="accent1">
              <a:shade val="15000"/>
            </a:schemeClr>
          </a:lnRef>
          <a:fillRef xmlns:a="http://schemas.openxmlformats.org/drawingml/2006/main" idx="1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lt1"/>
          </a:fontRef>
        </cdr:style>
        <cdr:txBody xmlns:a="http://schemas.openxmlformats.org/drawingml/2006/main">
          <a:bodyPr vertOverflow="clip" vert="horz" wrap="none" lIns="45720" tIns="45720" rIns="45720" bIns="45720" anchor="ctr" anchorCtr="0">
            <a:normAutofit/>
          </a:bodyPr>
          <a:lstStyle/>
          <a:p>
            <a:pPr algn="ctr"/>
            <a:r>
              <a:rPr lang="en-US" altLang="zh-CN">
                <a:solidFill>
                  <a:sysClr val="windowText" lastClr="000000"/>
                </a:solidFill>
              </a:rPr>
              <a:t>10.6%</a:t>
            </a:r>
            <a:endParaRPr lang="zh-CN">
              <a:solidFill>
                <a:sysClr val="windowText" lastClr="000000"/>
              </a:solidFill>
            </a:endParaRPr>
          </a:p>
        </cdr:txBody>
      </cdr:sp>
    </cdr:grpSp>
  </cdr:relSizeAnchor>
</c:userShape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B83074-CB15-4A41-9C6F-47CB6614529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191</Words>
  <Characters>1094</Characters>
  <Lines>9</Lines>
  <Paragraphs>2</Paragraphs>
  <TotalTime>8</TotalTime>
  <ScaleCrop>false</ScaleCrop>
  <LinksUpToDate>false</LinksUpToDate>
  <CharactersWithSpaces>1283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*星*空夜@话</cp:lastModifiedBy>
  <dcterms:modified xsi:type="dcterms:W3CDTF">2023-11-03T06:22:01Z</dcterms:modified>
  <cp:revision>752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6AA0B7E4A1194232873B202353B70219_13</vt:lpwstr>
  </property>
</Properties>
</file>