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叉车</w:t>
      </w:r>
      <w:r>
        <w:rPr>
          <w:rFonts w:hint="eastAsia" w:ascii="微软雅黑" w:hAnsi="微软雅黑" w:eastAsia="微软雅黑" w:cs="微软雅黑"/>
          <w:b/>
          <w:sz w:val="24"/>
          <w:szCs w:val="24"/>
          <w:lang w:val="en-US" w:eastAsia="zh-CN"/>
        </w:rPr>
        <w:t>保养之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sz w:val="24"/>
          <w:szCs w:val="24"/>
        </w:rPr>
        <w:t>二级保养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1、清洗发动机油底壳、曲轴箱及油滤清器内部，更换新机油。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2、清洗燃油箱并检查燃油管路和油泵的接头有无松动、漏油现象。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3、检查、紧固发电机各外露部位的螺栓。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4、检查蓄电池的放电量，并视需要进行充电。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5、检查分电器断电触点并调整期间隙。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6、更换散热器内的冷却水。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7、检查、调整离合器和制动器踏板的自由行程以及车轮制动器的制动间隙。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8、检查两起重链的松紧程度是否一致。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9、排放工作油箱底部的沉淀杂物和积水，清洗滤网并视情况添加新油。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10、检查货叉车卡铁及货叉踵部有无变形、开裂等现象。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B01FB"/>
    <w:rsid w:val="19545618"/>
    <w:rsid w:val="28DB0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2020-06-24T09:12:00Z</dcterms:created>
  <dc:creator>wen</dc:creator>
  <cp:lastModifiedBy>wen</cp:lastModifiedBy>
  <dcterms:modified xsi:type="dcterms:W3CDTF">2020-06-26T06:37:20Z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