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517262917"/>
      <w:bookmarkStart w:id="1" w:name="_Toc453597319"/>
      <w:bookmarkStart w:id="2" w:name="_Toc418070112"/>
      <w:bookmarkStart w:id="3" w:name="_Toc415143481"/>
      <w:bookmarkStart w:id="4" w:name="OLE_LINK15"/>
      <w:bookmarkStart w:id="5" w:name="_Toc415142861"/>
      <w:bookmarkStart w:id="6" w:name="_Toc481801204"/>
      <w:bookmarkStart w:id="7" w:name="OLE_LINK13"/>
      <w:bookmarkStart w:id="8" w:name="_Toc438987549"/>
      <w:bookmarkStart w:id="9" w:name="_Toc415818939"/>
      <w:bookmarkStart w:id="10" w:name="OLE_LINK40"/>
      <w:bookmarkStart w:id="11" w:name="OLE_LINK39"/>
      <w:bookmarkStart w:id="12" w:name="OLE_LINK24"/>
      <w:r>
        <w:rPr>
          <w:lang w:eastAsia="zh-CN"/>
        </w:rPr>
        <w:t>麝香酮</w:t>
      </w:r>
      <w:r>
        <w:rPr>
          <w:rFonts w:hint="eastAsia"/>
          <w:lang w:eastAsia="zh-CN"/>
        </w:rPr>
        <w:t>定义</w:t>
      </w:r>
    </w:p>
    <w:p>
      <w:pPr>
        <w:pStyle w:val="145"/>
        <w:rPr>
          <w:lang w:eastAsia="zh-CN"/>
        </w:rPr>
      </w:pPr>
      <w:r>
        <w:rPr>
          <w:rFonts w:hint="eastAsia"/>
          <w:lang w:eastAsia="zh-CN"/>
        </w:rPr>
        <w:t>麝香酮 (CAS 81-14-1) 是一种硝基麝香，呈白色至淡黄色晶体。 在香料工业中又称合成麝香、白麝香。 麝香酮可由相应的苯衍生物硝化而得。 广泛用于香精配方中。 麝香酮具有相当天然的麝香特征，干粉香甜且非常顽强。 唯一尚未被 IFRA 限制禁止的硝基麝香。</w:t>
      </w:r>
    </w:p>
    <w:p>
      <w:pPr>
        <w:pStyle w:val="145"/>
        <w:rPr>
          <w:lang w:eastAsia="zh-CN"/>
        </w:rPr>
      </w:pPr>
    </w:p>
    <w:p>
      <w:pPr>
        <w:pStyle w:val="167"/>
        <w:rPr>
          <w:lang w:eastAsia="zh-CN"/>
        </w:rPr>
      </w:pPr>
      <w:r>
        <w:rPr>
          <w:lang w:eastAsia="zh-CN"/>
        </w:rPr>
        <w:t>麝香酮图</w:t>
      </w:r>
      <w:r>
        <w:rPr>
          <w:rFonts w:hint="eastAsia"/>
          <w:lang w:eastAsia="zh-CN"/>
        </w:rPr>
        <w:t>片</w:t>
      </w:r>
    </w:p>
    <w:p>
      <w:bookmarkStart w:id="13" w:name="_Hlk157500873"/>
      <w:r>
        <w:drawing>
          <wp:inline distT="0" distB="0" distL="0" distR="0">
            <wp:extent cx="2209800" cy="2168525"/>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2212226" cy="2171511"/>
                    </a:xfrm>
                    <a:prstGeom prst="rect">
                      <a:avLst/>
                    </a:prstGeom>
                  </pic:spPr>
                </pic:pic>
              </a:graphicData>
            </a:graphic>
          </wp:inline>
        </w:drawing>
      </w:r>
      <w:r>
        <w:drawing>
          <wp:inline distT="0" distB="0" distL="0" distR="0">
            <wp:extent cx="2362200" cy="2244725"/>
            <wp:effectExtent l="0" t="0" r="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tretch>
                      <a:fillRect/>
                    </a:stretch>
                  </pic:blipFill>
                  <pic:spPr>
                    <a:xfrm>
                      <a:off x="0" y="0"/>
                      <a:ext cx="2366966" cy="2249734"/>
                    </a:xfrm>
                    <a:prstGeom prst="rect">
                      <a:avLst/>
                    </a:prstGeom>
                  </pic:spPr>
                </pic:pic>
              </a:graphicData>
            </a:graphic>
          </wp:inline>
        </w:drawing>
      </w:r>
    </w:p>
    <w:bookmarkEnd w:id="13"/>
    <w:p>
      <w:pPr>
        <w:pStyle w:val="143"/>
        <w:rPr>
          <w:lang w:eastAsia="zh-CN"/>
        </w:rPr>
      </w:pPr>
      <w:r>
        <w:rPr>
          <w:rFonts w:hint="eastAsia"/>
          <w:lang w:eastAsia="zh-CN"/>
        </w:rPr>
        <w:t>如上图表/数据，摘自QYResearch最新报告“全球</w:t>
      </w:r>
      <w:r>
        <w:rPr>
          <w:lang w:eastAsia="zh-CN"/>
        </w:rPr>
        <w:t>麝香酮</w:t>
      </w:r>
      <w:r>
        <w:rPr>
          <w:rFonts w:hint="eastAsia"/>
          <w:lang w:eastAsia="zh-CN"/>
        </w:rPr>
        <w:t>市场研究报告2023-2029</w:t>
      </w:r>
      <w:r>
        <w:rPr>
          <w:lang w:eastAsia="zh-CN"/>
        </w:rPr>
        <w:t>.</w:t>
      </w:r>
    </w:p>
    <w:p>
      <w:pPr>
        <w:pStyle w:val="143"/>
        <w:rPr>
          <w:lang w:eastAsia="zh-CN"/>
        </w:rPr>
      </w:pPr>
    </w:p>
    <w:p>
      <w:pPr>
        <w:pStyle w:val="167"/>
        <w:rPr>
          <w:lang w:eastAsia="zh-CN"/>
        </w:rPr>
      </w:pPr>
      <w:r>
        <w:rPr>
          <w:lang w:eastAsia="zh-CN"/>
        </w:rPr>
        <w:t>麝香酮</w:t>
      </w:r>
      <w:r>
        <w:rPr>
          <w:rFonts w:hint="eastAsia"/>
          <w:lang w:eastAsia="zh-CN"/>
        </w:rPr>
        <w:t>全球市场总体规模</w:t>
      </w:r>
    </w:p>
    <w:p>
      <w:pPr>
        <w:pStyle w:val="145"/>
        <w:rPr>
          <w:lang w:eastAsia="zh-CN"/>
        </w:rPr>
      </w:pPr>
      <w:r>
        <w:rPr>
          <w:lang w:eastAsia="zh-CN"/>
        </w:rPr>
        <w:t>据QYResearch调研团队最新报告“全球麝香酮市场报告2023-2029”显示，预计2029年全球麝香酮市场规模将达到</w:t>
      </w:r>
      <w:r>
        <w:rPr>
          <w:rFonts w:hint="eastAsia"/>
          <w:lang w:eastAsia="zh-CN"/>
        </w:rPr>
        <w:t>一千万</w:t>
      </w:r>
      <w:r>
        <w:rPr>
          <w:lang w:eastAsia="zh-CN"/>
        </w:rPr>
        <w:t>美元，未来几年年复合增长率CAGR为3.4%。</w:t>
      </w:r>
    </w:p>
    <w:p>
      <w:pPr>
        <w:pStyle w:val="145"/>
        <w:rPr>
          <w:lang w:eastAsia="zh-CN"/>
        </w:rPr>
      </w:pPr>
    </w:p>
    <w:p>
      <w:pPr>
        <w:pStyle w:val="148"/>
        <w:rPr>
          <w:lang w:eastAsia="zh-CN"/>
        </w:rPr>
      </w:pPr>
      <w:r>
        <w:rPr>
          <w:lang w:eastAsia="zh-CN"/>
        </w:rPr>
        <w:t>麝香酮</w:t>
      </w:r>
      <w:r>
        <w:rPr>
          <w:rFonts w:hint="eastAsia"/>
          <w:lang w:eastAsia="zh-CN"/>
        </w:rPr>
        <w:t>，全球市场总体规模</w:t>
      </w:r>
    </w:p>
    <w:p>
      <w:pPr>
        <w:pStyle w:val="145"/>
      </w:pPr>
      <w:r>
        <w:drawing>
          <wp:inline distT="0" distB="0" distL="0" distR="0">
            <wp:extent cx="6188710" cy="2935605"/>
            <wp:effectExtent l="0" t="0" r="2540" b="0"/>
            <wp:docPr id="198815228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143"/>
        <w:rPr>
          <w:lang w:eastAsia="zh-CN"/>
        </w:rPr>
      </w:pPr>
      <w:r>
        <w:rPr>
          <w:rFonts w:hint="eastAsia"/>
          <w:lang w:eastAsia="zh-CN"/>
        </w:rPr>
        <w:t>如上图表/数据，摘自QYResearch最新报告“全球</w:t>
      </w:r>
      <w:r>
        <w:rPr>
          <w:lang w:eastAsia="zh-CN"/>
        </w:rPr>
        <w:t>麝香酮</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麝香酮</w:t>
      </w:r>
      <w:r>
        <w:rPr>
          <w:rFonts w:hint="eastAsia"/>
          <w:lang w:eastAsia="zh-CN"/>
        </w:rPr>
        <w:t>市场前</w:t>
      </w:r>
      <w:r>
        <w:rPr>
          <w:lang w:eastAsia="zh-CN"/>
        </w:rPr>
        <w:t>5</w:t>
      </w:r>
      <w:r>
        <w:rPr>
          <w:rFonts w:hint="eastAsia"/>
          <w:lang w:eastAsia="zh-CN"/>
        </w:rPr>
        <w:t>强生产商排名及市场占有率（基于2</w:t>
      </w:r>
      <w:r>
        <w:rPr>
          <w:lang w:eastAsia="zh-CN"/>
        </w:rPr>
        <w:t>022</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drawing>
          <wp:inline distT="0" distB="0" distL="0" distR="0">
            <wp:extent cx="4572000" cy="4399915"/>
            <wp:effectExtent l="0" t="0" r="0" b="635"/>
            <wp:docPr id="195802228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143"/>
        <w:rPr>
          <w:lang w:eastAsia="zh-CN"/>
        </w:rPr>
      </w:pPr>
      <w:r>
        <w:rPr>
          <w:rFonts w:hint="eastAsia"/>
          <w:lang w:eastAsia="zh-CN"/>
        </w:rPr>
        <w:t>如上图表/数据，摘自QYResearch报告“全球</w:t>
      </w:r>
      <w:r>
        <w:rPr>
          <w:lang w:eastAsia="zh-CN"/>
        </w:rPr>
        <w:t>麝香酮</w:t>
      </w:r>
      <w:r>
        <w:rPr>
          <w:rFonts w:hint="eastAsia"/>
          <w:lang w:eastAsia="zh-CN"/>
        </w:rPr>
        <w:t>市场研究报告2023-2029，排名基于2</w:t>
      </w:r>
      <w:r>
        <w:rPr>
          <w:lang w:eastAsia="zh-CN"/>
        </w:rPr>
        <w:t>022</w:t>
      </w:r>
      <w:r>
        <w:rPr>
          <w:rFonts w:hint="eastAsia"/>
          <w:lang w:eastAsia="zh-CN"/>
        </w:rPr>
        <w:t>数据。目前最新数据，以本公司最新调研数据为准。</w:t>
      </w:r>
    </w:p>
    <w:p>
      <w:pPr>
        <w:pStyle w:val="145"/>
        <w:rPr>
          <w:lang w:eastAsia="zh-CN"/>
        </w:rPr>
      </w:pPr>
      <w:r>
        <w:rPr>
          <w:lang w:eastAsia="zh-CN"/>
        </w:rPr>
        <w:t>根据QYResearch头部企业研究中心调研，G90全球范围内麝香酮生产商主要包括欧亚化工、济南千牧精细化工、江西天祥等。2022年，全球前三大厂商占有大约81.0%的市场份额。</w:t>
      </w:r>
    </w:p>
    <w:p>
      <w:pPr>
        <w:pStyle w:val="145"/>
        <w:rPr>
          <w:lang w:eastAsia="zh-CN"/>
        </w:rPr>
      </w:pPr>
    </w:p>
    <w:p>
      <w:pPr>
        <w:pStyle w:val="148"/>
        <w:rPr>
          <w:lang w:eastAsia="zh-CN"/>
        </w:rPr>
      </w:pPr>
      <w:r>
        <w:rPr>
          <w:lang w:eastAsia="zh-CN"/>
        </w:rPr>
        <w:t>麝香酮</w:t>
      </w:r>
      <w:r>
        <w:rPr>
          <w:rFonts w:hint="eastAsia"/>
          <w:lang w:eastAsia="zh-CN"/>
        </w:rPr>
        <w:t>，全球市场规模，按产品类型细分，</w:t>
      </w:r>
      <w:bookmarkStart w:id="14" w:name="_Hlk157503855"/>
      <w:r>
        <w:rPr>
          <w:rFonts w:hint="eastAsia"/>
          <w:lang w:eastAsia="zh-CN"/>
        </w:rPr>
        <w:t>纯度大于等于9</w:t>
      </w:r>
      <w:r>
        <w:rPr>
          <w:lang w:eastAsia="zh-CN"/>
        </w:rPr>
        <w:t>9</w:t>
      </w:r>
      <w:r>
        <w:rPr>
          <w:rFonts w:hint="eastAsia"/>
          <w:lang w:eastAsia="zh-CN"/>
        </w:rPr>
        <w:t>%</w:t>
      </w:r>
      <w:bookmarkEnd w:id="14"/>
      <w:r>
        <w:rPr>
          <w:rFonts w:hint="eastAsia"/>
          <w:lang w:eastAsia="zh-CN"/>
        </w:rPr>
        <w:t>处于主导地位</w:t>
      </w:r>
    </w:p>
    <w:p>
      <w:pPr>
        <w:pStyle w:val="145"/>
        <w:rPr>
          <w:lang w:eastAsia="zh-CN"/>
        </w:rPr>
      </w:pPr>
      <w:r>
        <mc:AlternateContent>
          <mc:Choice Requires="wpg">
            <w:drawing>
              <wp:inline distT="0" distB="0" distL="0" distR="0">
                <wp:extent cx="6638290" cy="3059430"/>
                <wp:effectExtent l="0" t="0" r="0" b="7620"/>
                <wp:docPr id="16" name="组合 15"/>
                <wp:cNvGraphicFramePr/>
                <a:graphic xmlns:a="http://schemas.openxmlformats.org/drawingml/2006/main">
                  <a:graphicData uri="http://schemas.microsoft.com/office/word/2010/wordprocessingGroup">
                    <wpg:wgp>
                      <wpg:cNvGrpSpPr/>
                      <wpg:grpSpPr>
                        <a:xfrm>
                          <a:off x="0" y="0"/>
                          <a:ext cx="6638659" cy="3060001"/>
                          <a:chOff x="0" y="0"/>
                          <a:chExt cx="6089688" cy="3407916"/>
                        </a:xfrm>
                      </wpg:grpSpPr>
                      <wpg:graphicFrame>
                        <wpg:cNvPr id="1579722325" name="图表 1579722325"/>
                        <wpg:cNvFrPr/>
                        <wpg:xfrm>
                          <a:off x="3249706" y="0"/>
                          <a:ext cx="2839982" cy="3385504"/>
                        </wpg:xfrm>
                        <a:graphic>
                          <a:graphicData uri="http://schemas.openxmlformats.org/drawingml/2006/chart">
                            <c:chart xmlns:c="http://schemas.openxmlformats.org/drawingml/2006/chart" xmlns:r="http://schemas.openxmlformats.org/officeDocument/2006/relationships" r:id="rId13"/>
                          </a:graphicData>
                        </a:graphic>
                      </wpg:graphicFrame>
                      <wpg:graphicFrame>
                        <wpg:cNvPr id="211331173" name="图表 211331173"/>
                        <wpg:cNvFrPr/>
                        <wpg:xfrm>
                          <a:off x="0" y="22412"/>
                          <a:ext cx="2839982" cy="3385504"/>
                        </wpg:xfrm>
                        <a:graphic>
                          <a:graphicData uri="http://schemas.openxmlformats.org/drawingml/2006/chart">
                            <c:chart xmlns:c="http://schemas.openxmlformats.org/drawingml/2006/chart" xmlns:r="http://schemas.openxmlformats.org/officeDocument/2006/relationships" r:id="rId14"/>
                          </a:graphicData>
                        </a:graphic>
                      </wpg:graphicFrame>
                      <wps:wsp>
                        <wps:cNvPr id="38996412" name="文本框 18"/>
                        <wps:cNvSpPr txBox="1"/>
                        <wps:spPr>
                          <a:xfrm>
                            <a:off x="1741039" y="208634"/>
                            <a:ext cx="2409263" cy="40341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pPr>
                                <w:jc w:val="center"/>
                                <w:rPr>
                                  <w:rFonts w:ascii="Book Antiqua" w:hAnsi="Book Antiqua" w:eastAsiaTheme="minorEastAsia"/>
                                  <w:color w:val="000000" w:themeColor="dark1"/>
                                  <w:kern w:val="0"/>
                                  <w:sz w:val="22"/>
                                  <w:szCs w:val="22"/>
                                  <w14:textFill>
                                    <w14:solidFill>
                                      <w14:schemeClr w14:val="dk1"/>
                                    </w14:solidFill>
                                  </w14:textFill>
                                </w:rPr>
                              </w:pPr>
                              <w:r>
                                <w:rPr>
                                  <w:rFonts w:ascii="Book Antiqua" w:hAnsi="Book Antiqua" w:eastAsiaTheme="minorEastAsia"/>
                                  <w:color w:val="000000" w:themeColor="dark1"/>
                                  <w:sz w:val="22"/>
                                  <w:szCs w:val="22"/>
                                  <w14:textFill>
                                    <w14:solidFill>
                                      <w14:schemeClr w14:val="dk1"/>
                                    </w14:solidFill>
                                  </w14:textFill>
                                </w:rPr>
                                <w:t>CAGR: 3.4%, 2023-2029</w:t>
                              </w:r>
                            </w:p>
                          </w:txbxContent>
                        </wps:txbx>
                        <wps:bodyPr wrap="square" rtlCol="0" anchor="ctr"/>
                      </wps:wsp>
                    </wpg:wgp>
                  </a:graphicData>
                </a:graphic>
              </wp:inline>
            </w:drawing>
          </mc:Choice>
          <mc:Fallback>
            <w:pict>
              <v:group id="组合 15" o:spid="_x0000_s1026" o:spt="203" style="height:240.9pt;width:522.7pt;" coordsize="6089688,3407916" o:gfxdata="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">
                <o:lock v:ext="edit" aspectratio="f"/>
                <v:rect id="_x0000_s1026" o:spid="_x0000_s1026" o:spt="75" style="position:absolute;left:3249706;top:0;height:3385504;width:2839982;" coordsize="21600,21600" o:gfxdata="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7lZgG/&#10;AAAA4wAAAA8AAAAAAAAAAQAgAAAAIgAAAGRycy9kb3ducmV2LnhtbFBLAQIUABQAAAAIAIdO4kAz&#10;LwWeOwAAADkAAAAQAAAAAAAAAAEAIAAAAA4BAABkcnMvc2hhcGV4bWwueG1sUEsFBgAAAAAGAAYA&#10;WwEAALgDAAAAAA==&#10;">
                  <v:imagedata r:id="rId15" o:title=""/>
                  <o:lock v:ext="edit"/>
                </v:rect>
                <v:rect id="_x0000_s1026" o:spid="_x0000_s1026" o:spt="75" style="position:absolute;left:0;top:22412;height:3385504;width:2839982;" coordsize="21600,21600" o:gfxdata="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k&#10;N0ufwwAAAOIAAAAPAAAAAAAAAAEAIAAAACIAAABkcnMvZG93bnJldi54bWxQSwECFAAUAAAACACH&#10;TuJAMy8FnjsAAAA5AAAAEAAAAAAAAAABACAAAAASAQAAZHJzL3NoYXBleG1sLnhtbFBLBQYAAAAA&#10;BgAGAFsBAAC8AwAAAAA=&#10;">
                  <v:imagedata r:id="rId16" o:title=""/>
                  <o:lock v:ext="edit"/>
                </v:rect>
                <v:shape id="文本框 18" o:spid="_x0000_s1026" o:spt="202" type="#_x0000_t202" style="position:absolute;left:1741039;top:208634;height:403410;width:2409263;v-text-anchor:middle;" filled="f" stroked="f" coordsize="21600,21600" o:gfxdata="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KzL&#10;INHCAAAA4QAAAA8AAAAAAAAAAQAgAAAAIgAAAGRycy9kb3ducmV2LnhtbFBLAQIUABQAAAAIAIdO&#10;4kAzLwWeOwAAADkAAAAQAAAAAAAAAAEAIAAAABEBAABkcnMvc2hhcGV4bWwueG1sUEsFBgAAAAAG&#10;AAYAWwEAALsDAAAAAA==&#10;">
                  <v:fill on="f" focussize="0,0"/>
                  <v:stroke on="f"/>
                  <v:imagedata o:title=""/>
                  <o:lock v:ext="edit" aspectratio="f"/>
                  <v:textbox>
                    <w:txbxContent>
                      <w:p>
                        <w:pPr>
                          <w:jc w:val="center"/>
                          <w:rPr>
                            <w:rFonts w:ascii="Book Antiqua" w:hAnsi="Book Antiqua" w:eastAsiaTheme="minorEastAsia"/>
                            <w:color w:val="000000" w:themeColor="dark1"/>
                            <w:kern w:val="0"/>
                            <w:sz w:val="22"/>
                            <w:szCs w:val="22"/>
                            <w14:textFill>
                              <w14:solidFill>
                                <w14:schemeClr w14:val="dk1"/>
                              </w14:solidFill>
                            </w14:textFill>
                          </w:rPr>
                        </w:pPr>
                        <w:r>
                          <w:rPr>
                            <w:rFonts w:ascii="Book Antiqua" w:hAnsi="Book Antiqua" w:eastAsiaTheme="minorEastAsia"/>
                            <w:color w:val="000000" w:themeColor="dark1"/>
                            <w:sz w:val="22"/>
                            <w:szCs w:val="22"/>
                            <w14:textFill>
                              <w14:solidFill>
                                <w14:schemeClr w14:val="dk1"/>
                              </w14:solidFill>
                            </w14:textFill>
                          </w:rPr>
                          <w:t>CAGR: 3.4%, 2023-2029</w:t>
                        </w:r>
                      </w:p>
                    </w:txbxContent>
                  </v:textbox>
                </v:shape>
                <w10:wrap type="none"/>
                <w10:anchorlock/>
              </v:group>
            </w:pict>
          </mc:Fallback>
        </mc:AlternateContent>
      </w:r>
    </w:p>
    <w:p>
      <w:pPr>
        <w:pStyle w:val="145"/>
        <w:rPr>
          <w:lang w:eastAsia="zh-CN"/>
        </w:rPr>
      </w:pPr>
      <w:r>
        <w:drawing>
          <wp:inline distT="0" distB="0" distL="0" distR="0">
            <wp:extent cx="6188710" cy="2922270"/>
            <wp:effectExtent l="0" t="0" r="2540" b="11430"/>
            <wp:docPr id="102105412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pPr>
        <w:pStyle w:val="143"/>
        <w:rPr>
          <w:lang w:eastAsia="zh-CN"/>
        </w:rPr>
      </w:pPr>
      <w:r>
        <w:rPr>
          <w:rFonts w:hint="eastAsia"/>
          <w:lang w:eastAsia="zh-CN"/>
        </w:rPr>
        <w:t>如上图表/数据，摘自QYResearch最新报告“全球</w:t>
      </w:r>
      <w:r>
        <w:rPr>
          <w:lang w:eastAsia="zh-CN"/>
        </w:rPr>
        <w:t>麝香酮</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就产品类型而言，目前纯度大于等于99%是最主要的细分产品，占据大约78.2%的份额。</w:t>
      </w:r>
    </w:p>
    <w:p>
      <w:pPr>
        <w:pStyle w:val="145"/>
        <w:rPr>
          <w:lang w:eastAsia="zh-CN"/>
        </w:rPr>
      </w:pPr>
    </w:p>
    <w:p>
      <w:pPr>
        <w:pStyle w:val="148"/>
        <w:rPr>
          <w:lang w:eastAsia="zh-CN"/>
        </w:rPr>
      </w:pPr>
      <w:r>
        <w:rPr>
          <w:lang w:eastAsia="zh-CN"/>
        </w:rPr>
        <w:t>麝香酮</w:t>
      </w:r>
      <w:r>
        <w:rPr>
          <w:rFonts w:hint="eastAsia"/>
          <w:lang w:eastAsia="zh-CN"/>
        </w:rPr>
        <w:t>，全球市场规模，按应用细分，</w:t>
      </w:r>
      <w:r>
        <w:rPr>
          <w:rFonts w:ascii="Book Antiqua" w:hAnsi="Book Antiqua" w:cs="宋体"/>
          <w:sz w:val="22"/>
          <w:lang w:eastAsia="zh-CN"/>
        </w:rPr>
        <w:t>化妆香精</w:t>
      </w:r>
      <w:r>
        <w:rPr>
          <w:rFonts w:hint="eastAsia"/>
          <w:lang w:eastAsia="zh-CN"/>
        </w:rPr>
        <w:t>是最大的下游市场，占有</w:t>
      </w:r>
      <w:r>
        <w:rPr>
          <w:rFonts w:ascii="Book Antiqua" w:hAnsi="Book Antiqua" w:cs="宋体"/>
          <w:sz w:val="22"/>
          <w:lang w:eastAsia="zh-CN"/>
        </w:rPr>
        <w:t>61.5%</w:t>
      </w:r>
      <w:r>
        <w:rPr>
          <w:rFonts w:hint="eastAsia"/>
          <w:lang w:eastAsia="zh-CN"/>
        </w:rPr>
        <w:t>份额。</w:t>
      </w:r>
    </w:p>
    <w:p>
      <w:pPr>
        <w:pStyle w:val="145"/>
      </w:pPr>
      <w:r>
        <mc:AlternateContent>
          <mc:Choice Requires="wpg">
            <w:drawing>
              <wp:inline distT="0" distB="0" distL="0" distR="0">
                <wp:extent cx="6638290" cy="3059430"/>
                <wp:effectExtent l="0" t="0" r="0" b="7620"/>
                <wp:docPr id="12" name="组合 11"/>
                <wp:cNvGraphicFramePr/>
                <a:graphic xmlns:a="http://schemas.openxmlformats.org/drawingml/2006/main">
                  <a:graphicData uri="http://schemas.microsoft.com/office/word/2010/wordprocessingGroup">
                    <wpg:wgp>
                      <wpg:cNvGrpSpPr/>
                      <wpg:grpSpPr>
                        <a:xfrm>
                          <a:off x="0" y="0"/>
                          <a:ext cx="6638659" cy="3060001"/>
                          <a:chOff x="0" y="0"/>
                          <a:chExt cx="6089688" cy="3407916"/>
                        </a:xfrm>
                      </wpg:grpSpPr>
                      <wpg:graphicFrame>
                        <wpg:cNvPr id="1512527741" name="图表 1512527741"/>
                        <wpg:cNvFrPr/>
                        <wpg:xfrm>
                          <a:off x="3249706" y="0"/>
                          <a:ext cx="2839982" cy="3385504"/>
                        </wpg:xfrm>
                        <a:graphic>
                          <a:graphicData uri="http://schemas.openxmlformats.org/drawingml/2006/chart">
                            <c:chart xmlns:c="http://schemas.openxmlformats.org/drawingml/2006/chart" xmlns:r="http://schemas.openxmlformats.org/officeDocument/2006/relationships" r:id="rId18"/>
                          </a:graphicData>
                        </a:graphic>
                      </wpg:graphicFrame>
                      <wpg:graphicFrame>
                        <wpg:cNvPr id="344623494" name="图表 344623494"/>
                        <wpg:cNvFrPr/>
                        <wpg:xfrm>
                          <a:off x="0" y="22412"/>
                          <a:ext cx="2839982" cy="3385504"/>
                        </wpg:xfrm>
                        <a:graphic>
                          <a:graphicData uri="http://schemas.openxmlformats.org/drawingml/2006/chart">
                            <c:chart xmlns:c="http://schemas.openxmlformats.org/drawingml/2006/chart" xmlns:r="http://schemas.openxmlformats.org/officeDocument/2006/relationships" r:id="rId19"/>
                          </a:graphicData>
                        </a:graphic>
                      </wpg:graphicFrame>
                      <wps:wsp>
                        <wps:cNvPr id="526029196" name="文本框 14"/>
                        <wps:cNvSpPr txBox="1"/>
                        <wps:spPr>
                          <a:xfrm>
                            <a:off x="1741039" y="208634"/>
                            <a:ext cx="2409263" cy="40341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pPr>
                                <w:jc w:val="center"/>
                                <w:rPr>
                                  <w:rFonts w:ascii="Book Antiqua" w:hAnsi="Book Antiqua" w:eastAsiaTheme="minorEastAsia"/>
                                  <w:color w:val="000000" w:themeColor="dark1"/>
                                  <w:kern w:val="0"/>
                                  <w:sz w:val="22"/>
                                  <w:szCs w:val="22"/>
                                  <w14:textFill>
                                    <w14:solidFill>
                                      <w14:schemeClr w14:val="dk1"/>
                                    </w14:solidFill>
                                  </w14:textFill>
                                </w:rPr>
                              </w:pPr>
                              <w:r>
                                <w:rPr>
                                  <w:rFonts w:ascii="Book Antiqua" w:hAnsi="Book Antiqua" w:eastAsiaTheme="minorEastAsia"/>
                                  <w:color w:val="000000" w:themeColor="dark1"/>
                                  <w:sz w:val="22"/>
                                  <w:szCs w:val="22"/>
                                  <w14:textFill>
                                    <w14:solidFill>
                                      <w14:schemeClr w14:val="dk1"/>
                                    </w14:solidFill>
                                  </w14:textFill>
                                </w:rPr>
                                <w:t>CAGR: 3.4%, 2023-2029</w:t>
                              </w:r>
                            </w:p>
                          </w:txbxContent>
                        </wps:txbx>
                        <wps:bodyPr wrap="square" rtlCol="0" anchor="ctr"/>
                      </wps:wsp>
                    </wpg:wgp>
                  </a:graphicData>
                </a:graphic>
              </wp:inline>
            </w:drawing>
          </mc:Choice>
          <mc:Fallback>
            <w:pict>
              <v:group id="组合 11" o:spid="_x0000_s1026" o:spt="203" style="height:240.9pt;width:522.7pt;" coordsize="6089688,3407916" o:gfxdata="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">
                <o:lock v:ext="edit" aspectratio="f"/>
                <v:rect id="_x0000_s1026" o:spid="_x0000_s1026" o:spt="75" style="position:absolute;left:3249706;top:0;height:3385504;width:2839982;" coordsize="21600,21600" o:gfxdata="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lig3&#10;7MEAAADjAAAADwAAAAAAAAABACAAAAAiAAAAZHJzL2Rvd25yZXYueG1sUEsBAhQAFAAAAAgAh07i&#10;QDMvBZ47AAAAOQAAABAAAAAAAAAAAQAgAAAAEAEAAGRycy9zaGFwZXhtbC54bWxQSwUGAAAAAAYA&#10;BgBbAQAAugMAAAAA&#10;">
                  <v:imagedata r:id="rId20" o:title=""/>
                  <o:lock v:ext="edit"/>
                </v:rect>
                <v:rect id="_x0000_s1026" o:spid="_x0000_s1026" o:spt="75" style="position:absolute;left:0;top:22412;height:3385504;width:2839982;" coordsize="21600,21600" o:gfxdata="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s&#10;7cPWwwAAAOIAAAAPAAAAAAAAAAEAIAAAACIAAABkcnMvZG93bnJldi54bWxQSwECFAAUAAAACACH&#10;TuJAMy8FnjsAAAA5AAAAEAAAAAAAAAABACAAAAASAQAAZHJzL3NoYXBleG1sLnhtbFBLBQYAAAAA&#10;BgAGAFsBAAC8AwAAAAA=&#10;">
                  <v:imagedata r:id="rId21" o:title=""/>
                  <o:lock v:ext="edit"/>
                </v:rect>
                <v:shape id="文本框 14" o:spid="_x0000_s1026" o:spt="202" type="#_x0000_t202" style="position:absolute;left:1741039;top:208634;height:403410;width:2409263;v-text-anchor:middle;" filled="f" stroked="f" coordsize="21600,21600" o:gfxdata="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V&#10;vhPCAAAA4gAAAA8AAAAAAAAAAQAgAAAAIgAAAGRycy9kb3ducmV2LnhtbFBLAQIUABQAAAAIAIdO&#10;4kAzLwWeOwAAADkAAAAQAAAAAAAAAAEAIAAAABEBAABkcnMvc2hhcGV4bWwueG1sUEsFBgAAAAAG&#10;AAYAWwEAALsDAAAAAA==&#10;">
                  <v:fill on="f" focussize="0,0"/>
                  <v:stroke on="f"/>
                  <v:imagedata o:title=""/>
                  <o:lock v:ext="edit" aspectratio="f"/>
                  <v:textbox>
                    <w:txbxContent>
                      <w:p>
                        <w:pPr>
                          <w:jc w:val="center"/>
                          <w:rPr>
                            <w:rFonts w:ascii="Book Antiqua" w:hAnsi="Book Antiqua" w:eastAsiaTheme="minorEastAsia"/>
                            <w:color w:val="000000" w:themeColor="dark1"/>
                            <w:kern w:val="0"/>
                            <w:sz w:val="22"/>
                            <w:szCs w:val="22"/>
                            <w14:textFill>
                              <w14:solidFill>
                                <w14:schemeClr w14:val="dk1"/>
                              </w14:solidFill>
                            </w14:textFill>
                          </w:rPr>
                        </w:pPr>
                        <w:r>
                          <w:rPr>
                            <w:rFonts w:ascii="Book Antiqua" w:hAnsi="Book Antiqua" w:eastAsiaTheme="minorEastAsia"/>
                            <w:color w:val="000000" w:themeColor="dark1"/>
                            <w:sz w:val="22"/>
                            <w:szCs w:val="22"/>
                            <w14:textFill>
                              <w14:solidFill>
                                <w14:schemeClr w14:val="dk1"/>
                              </w14:solidFill>
                            </w14:textFill>
                          </w:rPr>
                          <w:t>CAGR: 3.4%, 2023-2029</w:t>
                        </w:r>
                      </w:p>
                    </w:txbxContent>
                  </v:textbox>
                </v:shape>
                <w10:wrap type="none"/>
                <w10:anchorlock/>
              </v:group>
            </w:pict>
          </mc:Fallback>
        </mc:AlternateContent>
      </w:r>
    </w:p>
    <w:p>
      <w:pPr>
        <w:pStyle w:val="145"/>
      </w:pPr>
      <w:r>
        <w:drawing>
          <wp:inline distT="0" distB="0" distL="0" distR="0">
            <wp:extent cx="6188710" cy="2922270"/>
            <wp:effectExtent l="0" t="0" r="2540" b="11430"/>
            <wp:docPr id="69090880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pPr>
        <w:pStyle w:val="143"/>
        <w:rPr>
          <w:lang w:eastAsia="zh-CN"/>
        </w:rPr>
      </w:pPr>
      <w:r>
        <w:rPr>
          <w:rFonts w:hint="eastAsia"/>
          <w:lang w:eastAsia="zh-CN"/>
        </w:rPr>
        <w:t>如上图表/数据，摘自QYResearch最新报告“全球</w:t>
      </w:r>
      <w:r>
        <w:rPr>
          <w:lang w:eastAsia="zh-CN"/>
        </w:rPr>
        <w:t>麝香酮</w:t>
      </w:r>
      <w:r>
        <w:rPr>
          <w:rFonts w:hint="eastAsia"/>
          <w:lang w:eastAsia="zh-CN"/>
        </w:rPr>
        <w:t>市场研究报告2023-2029</w:t>
      </w:r>
      <w:r>
        <w:rPr>
          <w:lang w:eastAsia="zh-CN"/>
        </w:rPr>
        <w:t>.</w:t>
      </w:r>
    </w:p>
    <w:p>
      <w:pPr>
        <w:pStyle w:val="145"/>
        <w:rPr>
          <w:lang w:eastAsia="zh-CN"/>
        </w:rPr>
      </w:pPr>
      <w:r>
        <w:rPr>
          <w:lang w:eastAsia="zh-CN"/>
        </w:rPr>
        <w:t>就产品应用而言，目前化妆香精是最主要的需求来源，占据大约61.5%的份额。</w:t>
      </w:r>
    </w:p>
    <w:p>
      <w:pPr>
        <w:pStyle w:val="145"/>
        <w:rPr>
          <w:lang w:eastAsia="zh-CN"/>
        </w:rPr>
      </w:pPr>
      <w:r>
        <w:rPr>
          <w:rFonts w:hint="eastAsia"/>
          <w:lang w:eastAsia="zh-CN"/>
        </w:rPr>
        <w:t>主要驱动因素</w:t>
      </w:r>
      <w:r>
        <w:rPr>
          <w:lang w:eastAsia="zh-CN"/>
        </w:rPr>
        <w:t>:</w:t>
      </w:r>
    </w:p>
    <w:p>
      <w:pPr>
        <w:pStyle w:val="145"/>
        <w:rPr>
          <w:lang w:eastAsia="zh-CN"/>
        </w:rPr>
      </w:pPr>
      <w:r>
        <w:rPr>
          <w:rFonts w:hint="eastAsia"/>
          <w:lang w:eastAsia="zh-CN"/>
        </w:rPr>
        <w:t>香料行业需求：麝香酮市场的主要驱动力是香料和香水行业的需求。 麝香酮是一种广泛使用的合成麝香化合物，以其麝香味而闻名，它可用作香水的定香剂，提高其寿命和稳定性。</w:t>
      </w:r>
    </w:p>
    <w:p>
      <w:pPr>
        <w:pStyle w:val="145"/>
        <w:rPr>
          <w:lang w:eastAsia="zh-CN"/>
        </w:rPr>
      </w:pPr>
      <w:r>
        <w:rPr>
          <w:rFonts w:hint="eastAsia"/>
          <w:lang w:eastAsia="zh-CN"/>
        </w:rPr>
        <w:t>消费者偏好：消费者偏好在推动市场方面发挥着至关重要的作用。 麝香酮带来了各种香水和古龙水所青睐的独特麝香香气，只要消费者对此类香料有需求，麝香酮的市场就会保持活跃。</w:t>
      </w:r>
    </w:p>
    <w:p>
      <w:pPr>
        <w:pStyle w:val="145"/>
        <w:rPr>
          <w:lang w:eastAsia="zh-CN"/>
        </w:rPr>
      </w:pPr>
      <w:r>
        <w:rPr>
          <w:rFonts w:hint="eastAsia"/>
          <w:lang w:eastAsia="zh-CN"/>
        </w:rPr>
        <w:t>全球化妆品和个人护理行业：全球化妆品和个人护理行业的增长是麝香酮市场更广泛的驱动力。 麝香酮不仅应用于香水，还应用于各种个人护理和化妆品中，扩大了其市场潜力。</w:t>
      </w:r>
    </w:p>
    <w:p>
      <w:pPr>
        <w:pStyle w:val="145"/>
        <w:rPr>
          <w:lang w:eastAsia="zh-CN"/>
        </w:rPr>
      </w:pPr>
      <w:r>
        <w:rPr>
          <w:rFonts w:hint="eastAsia"/>
          <w:lang w:eastAsia="zh-CN"/>
        </w:rPr>
        <w:t>新兴市场：新兴经济体香料市场的扩张有助于麝香酮市场的增长。 这些地区不断增长的中产阶级人口往往会导致对个人护理和奢侈品的需求增加。</w:t>
      </w:r>
    </w:p>
    <w:p>
      <w:pPr>
        <w:pStyle w:val="145"/>
        <w:rPr>
          <w:lang w:eastAsia="zh-CN"/>
        </w:rPr>
      </w:pPr>
    </w:p>
    <w:p>
      <w:pPr>
        <w:pStyle w:val="145"/>
        <w:rPr>
          <w:lang w:eastAsia="zh-CN"/>
        </w:rPr>
      </w:pPr>
      <w:r>
        <w:rPr>
          <w:rFonts w:hint="eastAsia"/>
          <w:lang w:eastAsia="zh-CN"/>
        </w:rPr>
        <w:t>主要阻碍因素</w:t>
      </w:r>
      <w:r>
        <w:rPr>
          <w:lang w:eastAsia="zh-CN"/>
        </w:rPr>
        <w:t>:</w:t>
      </w:r>
    </w:p>
    <w:p>
      <w:pPr>
        <w:pStyle w:val="145"/>
        <w:rPr>
          <w:lang w:eastAsia="zh-CN"/>
        </w:rPr>
      </w:pPr>
      <w:r>
        <w:rPr>
          <w:rFonts w:hint="eastAsia"/>
          <w:lang w:eastAsia="zh-CN"/>
        </w:rPr>
        <w:t>环境持久性：麝香酮和其他一些麝香化合物被发现在环境中具有持久性，这意味着它们不易分解。 这种持久性引起了人们对其在生态系统和生物体中潜在积累的担忧，这可能会产生长期的环境后果。</w:t>
      </w:r>
    </w:p>
    <w:p>
      <w:pPr>
        <w:pStyle w:val="145"/>
        <w:rPr>
          <w:lang w:eastAsia="zh-CN"/>
        </w:rPr>
      </w:pPr>
      <w:r>
        <w:rPr>
          <w:rFonts w:hint="eastAsia"/>
          <w:lang w:eastAsia="zh-CN"/>
        </w:rPr>
        <w:t>生物蓄积 人们担心某些麝香化合物在活生物体（包括水生生物）中以及可能在人体中的生物蓄积性。 这种生物蓄积可以通过食物链发生，并且随着时间的推移，人们对这些化合物的安全性提出了疑问。</w:t>
      </w:r>
    </w:p>
    <w:p>
      <w:pPr>
        <w:pStyle w:val="145"/>
        <w:rPr>
          <w:lang w:eastAsia="zh-CN"/>
        </w:rPr>
      </w:pPr>
      <w:r>
        <w:rPr>
          <w:rFonts w:hint="eastAsia"/>
          <w:lang w:eastAsia="zh-CN"/>
        </w:rPr>
        <w:t>监管限制：世界各地的政府和监管机构越来越关注化学品对环境和健康的影响。 因此，各个地区对某些麝香化合物实施了监管限制和禁令，影响了其生产、销售和在消费品中的使用。</w:t>
      </w:r>
    </w:p>
    <w:p>
      <w:pPr>
        <w:pStyle w:val="145"/>
        <w:rPr>
          <w:lang w:eastAsia="zh-CN"/>
        </w:rPr>
      </w:pPr>
      <w:r>
        <w:rPr>
          <w:rFonts w:hint="eastAsia"/>
          <w:lang w:eastAsia="zh-CN"/>
        </w:rPr>
        <w:t>消费者意识不断增强：消费者对环境和健康问题的认识导致了对更可持续和环保产品的需求。 消费者越来越多地寻求含有环保且来源可靠的成分的产品，从而导致人们不再使用某些合成麝香，包括麝香酮。</w:t>
      </w:r>
    </w:p>
    <w:p>
      <w:pPr>
        <w:pStyle w:val="145"/>
        <w:rPr>
          <w:lang w:eastAsia="zh-CN"/>
        </w:rPr>
      </w:pPr>
      <w:r>
        <w:rPr>
          <w:rFonts w:hint="eastAsia"/>
          <w:lang w:eastAsia="zh-CN"/>
        </w:rPr>
        <w:t>替代技术：香水行业正在探索和投资替代技术和成分，这些技术和成分可以提供类似麝香的气味，而不会产生与某些传统麝香化合物相关的环境问题。 这种向可持续和天然香料替代品的转变给市场带来了挑战。</w:t>
      </w:r>
    </w:p>
    <w:p>
      <w:pPr>
        <w:pStyle w:val="145"/>
        <w:rPr>
          <w:lang w:eastAsia="zh-CN"/>
        </w:rPr>
      </w:pPr>
    </w:p>
    <w:p>
      <w:pPr>
        <w:pStyle w:val="145"/>
        <w:rPr>
          <w:lang w:eastAsia="zh-CN"/>
        </w:rPr>
      </w:pPr>
      <w:r>
        <w:rPr>
          <w:rFonts w:hint="eastAsia"/>
          <w:lang w:eastAsia="zh-CN"/>
        </w:rPr>
        <w:t>行业发展机遇</w:t>
      </w:r>
      <w:r>
        <w:rPr>
          <w:lang w:eastAsia="zh-CN"/>
        </w:rPr>
        <w:t>:</w:t>
      </w:r>
    </w:p>
    <w:p>
      <w:pPr>
        <w:pStyle w:val="145"/>
        <w:rPr>
          <w:lang w:eastAsia="zh-CN"/>
        </w:rPr>
      </w:pPr>
      <w:r>
        <w:rPr>
          <w:rFonts w:hint="eastAsia"/>
          <w:lang w:eastAsia="zh-CN"/>
        </w:rPr>
        <w:t>全球市场增长受消费者支出增加、新兴市场中产阶级人口扩大以及新型创新香料产品推出等因素的推动，全球香料市场持续增长。</w:t>
      </w:r>
    </w:p>
    <w:p>
      <w:pPr>
        <w:pStyle w:val="145"/>
        <w:rPr>
          <w:lang w:eastAsia="zh-CN"/>
        </w:rPr>
      </w:pPr>
      <w:r>
        <w:rPr>
          <w:rFonts w:hint="eastAsia"/>
          <w:lang w:eastAsia="zh-CN"/>
        </w:rPr>
        <w:t>消费者意识消费者对某些香料成分对环境和健康影响的认识不断增强，这影响了购买决策。 消费者越来越寻求成分、采购实践和环境影响透明的产品。</w:t>
      </w:r>
    </w:p>
    <w:p>
      <w:pPr>
        <w:pStyle w:val="145"/>
        <w:rPr>
          <w:lang w:eastAsia="zh-CN"/>
        </w:rPr>
      </w:pPr>
      <w:r>
        <w:rPr>
          <w:rFonts w:hint="eastAsia"/>
          <w:lang w:eastAsia="zh-CN"/>
        </w:rPr>
        <w:t>技术创新技术和香料科学的进步促进了新方法的开发，无需依赖传统的麝香化合物即可创造出类似麝香的香味。 这包括利用生物技术和合成生物学来生产香料分子。</w:t>
      </w:r>
      <w:bookmarkEnd w:id="0"/>
      <w:bookmarkEnd w:id="1"/>
      <w:bookmarkEnd w:id="2"/>
      <w:bookmarkEnd w:id="3"/>
      <w:bookmarkEnd w:id="4"/>
      <w:bookmarkEnd w:id="5"/>
      <w:bookmarkEnd w:id="6"/>
      <w:bookmarkEnd w:id="7"/>
      <w:bookmarkEnd w:id="8"/>
      <w:bookmarkEnd w:id="9"/>
      <w:bookmarkEnd w:id="10"/>
      <w:bookmarkEnd w:id="11"/>
      <w:bookmarkEnd w:id="12"/>
      <w:bookmarkStart w:id="21" w:name="_GoBack"/>
      <w:bookmarkEnd w:id="21"/>
    </w:p>
    <w:p>
      <w:pPr>
        <w:pStyle w:val="167"/>
        <w:rPr>
          <w:lang w:eastAsia="zh-CN"/>
        </w:rPr>
      </w:pPr>
      <w:r>
        <w:rPr>
          <w:lang w:eastAsia="zh-CN"/>
        </w:rPr>
        <w:t>QYResearch</w:t>
      </w:r>
      <w:r>
        <w:rPr>
          <w:rFonts w:hint="eastAsia"/>
          <w:lang w:eastAsia="zh-CN"/>
        </w:rPr>
        <w:t>企业简介</w:t>
      </w:r>
    </w:p>
    <w:p>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5" w:name="_Hlk149300690"/>
    <w:bookmarkStart w:id="16" w:name="_Hlk149300692"/>
    <w:bookmarkStart w:id="17" w:name="_Hlk149300691"/>
    <w:bookmarkStart w:id="18" w:name="_Hlk149300687"/>
    <w:bookmarkStart w:id="19" w:name="_Hlk149300688"/>
    <w:bookmarkStart w:id="20" w:name="_Hlk149300689"/>
    <w:r>
      <w:t xml:space="preserve">Copyright © QYResearch | market@qyresearch.com | </w:t>
    </w:r>
    <w:bookmarkEnd w:id="15"/>
    <w:bookmarkEnd w:id="16"/>
    <w:bookmarkEnd w:id="17"/>
    <w:bookmarkEnd w:id="18"/>
    <w:bookmarkEnd w:id="19"/>
    <w:bookmarkEnd w:id="20"/>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2336"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3360"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3360;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4A0"/>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02A"/>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1E60"/>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28D"/>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B99"/>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70"/>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4C8"/>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5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4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1A3"/>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4E1"/>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680"/>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2A6"/>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E1F"/>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1"/>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575"/>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68634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qFormat="1"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autoRedefine/>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autoRedefine/>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autoRedefine/>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chart" Target="charts/chart8.xml"/><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chart" Target="charts/chart7.xml"/><Relationship Id="rId18" Type="http://schemas.openxmlformats.org/officeDocument/2006/relationships/chart" Target="charts/chart6.xml"/><Relationship Id="rId17" Type="http://schemas.openxmlformats.org/officeDocument/2006/relationships/chart" Target="charts/chart5.xml"/><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18010\Desktop\&#40605;&#39321;&#37230;&#35266;&#28857;&#25968;&#25454;&#22270;&#34920;&#27169;&#26495;.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18010\Desktop\&#40605;&#39321;&#37230;&#35266;&#28857;&#25968;&#25454;&#22270;&#34920;&#27169;&#26495;.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18010\Desktop\&#40605;&#39321;&#37230;&#35266;&#28857;&#25968;&#25454;&#22270;&#34920;&#27169;&#26495;.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18010\Desktop\&#40605;&#39321;&#37230;&#35266;&#28857;&#25968;&#25454;&#22270;&#34920;&#27169;&#26495;.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18010\Desktop\&#40605;&#39321;&#37230;&#35266;&#28857;&#25968;&#25454;&#22270;&#34920;&#27169;&#26495;.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18010\Desktop\&#40605;&#39321;&#37230;&#35266;&#28857;&#25968;&#25454;&#22270;&#34920;&#27169;&#26495;.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18010\Desktop\&#40605;&#39321;&#37230;&#35266;&#28857;&#25968;&#25454;&#22270;&#34920;&#27169;&#26495;.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18010\Desktop\&#40605;&#39321;&#37230;&#35266;&#28857;&#25968;&#25454;&#22270;&#34920;&#27169;&#2649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101820801093785"/>
          <c:y val="0.0743906508300871"/>
          <c:w val="0.845512387307458"/>
          <c:h val="0.794607567572072"/>
        </c:manualLayout>
      </c:layout>
      <c:barChart>
        <c:barDir val="col"/>
        <c:grouping val="clustered"/>
        <c:varyColors val="0"/>
        <c:ser>
          <c:idx val="0"/>
          <c:order val="0"/>
          <c:tx>
            <c:strRef>
              <c:f>全球总体!$A$12</c:f>
              <c:strCache>
                <c:ptCount val="1"/>
                <c:pt idx="0">
                  <c:v>全球规模（百万美元</c:v>
                </c:pt>
              </c:strCache>
            </c:strRef>
          </c:tx>
          <c:spPr>
            <a:solidFill>
              <a:srgbClr val="002060"/>
            </a:solidFill>
            <a:effectLst>
              <a:outerShdw blurRad="40000" dist="20000" dir="5400000" rotWithShape="0">
                <a:schemeClr val="tx2">
                  <a:lumMod val="60000"/>
                  <a:lumOff val="40000"/>
                  <a:alpha val="38000"/>
                </a:schemeClr>
              </a:outerShdw>
            </a:effectLst>
          </c:spPr>
          <c:invertIfNegative val="0"/>
          <c:dLbls>
            <c:dLbl>
              <c:idx val="0"/>
              <c:delete val="1"/>
            </c:dLbl>
            <c:dLbl>
              <c:idx val="1"/>
              <c:delete val="1"/>
            </c:dLbl>
            <c:dLbl>
              <c:idx val="2"/>
              <c:delete val="1"/>
            </c:dLbl>
            <c:dLbl>
              <c:idx val="3"/>
              <c:delete val="1"/>
            </c:dLbl>
            <c:dLbl>
              <c:idx val="5"/>
              <c:delete val="1"/>
            </c:dLbl>
            <c:dLbl>
              <c:idx val="6"/>
              <c:delete val="1"/>
            </c:dLbl>
            <c:dLbl>
              <c:idx val="7"/>
              <c:delete val="1"/>
            </c:dLbl>
            <c:dLbl>
              <c:idx val="8"/>
              <c:delete val="1"/>
            </c:dLbl>
            <c:dLbl>
              <c:idx val="9"/>
              <c:delete val="1"/>
            </c:dLbl>
            <c:dLbl>
              <c:idx val="10"/>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全球总体!$B$7:$M$7</c:f>
              <c:strCache>
                <c:ptCount val="12"/>
                <c:pt idx="0">
                  <c:v>2018</c:v>
                </c:pt>
                <c:pt idx="1">
                  <c:v>2019</c:v>
                </c:pt>
                <c:pt idx="2">
                  <c:v>2020</c:v>
                </c:pt>
                <c:pt idx="3">
                  <c:v>2021</c:v>
                </c:pt>
                <c:pt idx="4">
                  <c:v>2022</c:v>
                </c:pt>
                <c:pt idx="5">
                  <c:v>2023e</c:v>
                </c:pt>
                <c:pt idx="6">
                  <c:v>2024f</c:v>
                </c:pt>
                <c:pt idx="7">
                  <c:v>2025f</c:v>
                </c:pt>
                <c:pt idx="8">
                  <c:v>2026f</c:v>
                </c:pt>
                <c:pt idx="9">
                  <c:v>2027f</c:v>
                </c:pt>
                <c:pt idx="10">
                  <c:v>2028f</c:v>
                </c:pt>
                <c:pt idx="11">
                  <c:v>2029f</c:v>
                </c:pt>
              </c:strCache>
            </c:strRef>
          </c:cat>
          <c:val>
            <c:numRef>
              <c:f>全球总体!$B$12:$M$12</c:f>
              <c:numCache>
                <c:formatCode>#,##0_ </c:formatCode>
                <c:ptCount val="12"/>
                <c:pt idx="0">
                  <c:v>8.45</c:v>
                </c:pt>
                <c:pt idx="1">
                  <c:v>8.87</c:v>
                </c:pt>
                <c:pt idx="2">
                  <c:v>8.66</c:v>
                </c:pt>
                <c:pt idx="3">
                  <c:v>9.05</c:v>
                </c:pt>
                <c:pt idx="4">
                  <c:v>9.3</c:v>
                </c:pt>
                <c:pt idx="5">
                  <c:v>9.64</c:v>
                </c:pt>
                <c:pt idx="6">
                  <c:v>9.95</c:v>
                </c:pt>
                <c:pt idx="7">
                  <c:v>10.37</c:v>
                </c:pt>
                <c:pt idx="8">
                  <c:v>10.68</c:v>
                </c:pt>
                <c:pt idx="9">
                  <c:v>11.08</c:v>
                </c:pt>
                <c:pt idx="10">
                  <c:v>11.4</c:v>
                </c:pt>
                <c:pt idx="11">
                  <c:v>11.81</c:v>
                </c:pt>
              </c:numCache>
            </c:numRef>
          </c:val>
        </c:ser>
        <c:dLbls>
          <c:showLegendKey val="0"/>
          <c:showVal val="1"/>
          <c:showCatName val="0"/>
          <c:showSerName val="0"/>
          <c:showPercent val="0"/>
          <c:showBubbleSize val="0"/>
        </c:dLbls>
        <c:gapWidth val="25"/>
        <c:axId val="-1322419456"/>
        <c:axId val="-1322431424"/>
      </c:bar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Book Antiqua" panose="02040602050305030304" pitchFamily="1" charset="0"/>
                <a:ea typeface="+mn-ea"/>
                <a:cs typeface="+mn-cs"/>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0_ " sourceLinked="1"/>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Book Antiqua" panose="02040602050305030304" pitchFamily="1" charset="0"/>
                <a:ea typeface="+mn-ea"/>
                <a:cs typeface="+mn-cs"/>
              </a:defRPr>
            </a:pPr>
          </a:p>
        </c:txPr>
        <c:crossAx val="-1322419456"/>
        <c:crosses val="autoZero"/>
        <c:crossBetween val="between"/>
      </c:valAx>
      <c:spPr>
        <a:ln>
          <a:noFill/>
        </a:ln>
      </c:spPr>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Book Antiqua" panose="02040602050305030304" pitchFamily="1" charset="0"/>
              <a:ea typeface="+mn-ea"/>
              <a:cs typeface="+mn-cs"/>
            </a:defRPr>
          </a:pPr>
        </a:p>
      </c:txPr>
    </c:legend>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Lbls>
            <c:delete val="1"/>
          </c:dLbls>
          <c:cat>
            <c:strRef>
              <c:f>企业排序!$F$2:$F$6</c:f>
              <c:strCache>
                <c:ptCount val="5"/>
                <c:pt idx="0">
                  <c:v>欧亚化工</c:v>
                </c:pt>
                <c:pt idx="1">
                  <c:v>济南千牧精细化工</c:v>
                </c:pt>
                <c:pt idx="2">
                  <c:v>江西天祥</c:v>
                </c:pt>
                <c:pt idx="3">
                  <c:v>青岛博新</c:v>
                </c:pt>
                <c:pt idx="4">
                  <c:v>海瑞化工</c:v>
                </c:pt>
              </c:strCache>
            </c:strRef>
          </c:cat>
          <c:val>
            <c:numRef>
              <c:f>企业排序!$G$2:$G$6</c:f>
              <c:numCache>
                <c:formatCode>#,##0.00_ </c:formatCode>
                <c:ptCount val="5"/>
                <c:pt idx="0">
                  <c:v>6.33</c:v>
                </c:pt>
                <c:pt idx="1">
                  <c:v>1.04</c:v>
                </c:pt>
                <c:pt idx="2">
                  <c:v>0.19</c:v>
                </c:pt>
                <c:pt idx="3">
                  <c:v>0.07</c:v>
                </c:pt>
                <c:pt idx="4">
                  <c:v>0.05</c:v>
                </c:pt>
              </c:numCache>
            </c:numRef>
          </c:val>
        </c:ser>
        <c:dLbls>
          <c:showLegendKey val="0"/>
          <c:showVal val="0"/>
          <c:showCatName val="0"/>
          <c:showSerName val="0"/>
          <c:showPercent val="0"/>
          <c:showBubbleSize val="0"/>
        </c:dLbls>
        <c:gapWidth val="7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2029</a:t>
            </a:r>
            <a:endParaRPr lang="en-US" altLang="zh-CN">
              <a:latin typeface="Book Antiqua" panose="02040602050305030304" pitchFamily="1" charset="0"/>
            </a:endParaRPr>
          </a:p>
        </c:rich>
      </c:tx>
      <c:layout>
        <c:manualLayout>
          <c:xMode val="edge"/>
          <c:yMode val="edge"/>
          <c:x val="0.438725452196382"/>
          <c:y val="0.469304340045449"/>
        </c:manualLayout>
      </c:layout>
      <c:overlay val="0"/>
      <c:spPr>
        <a:noFill/>
        <a:ln>
          <a:noFill/>
        </a:ln>
        <a:effectLst/>
      </c:spPr>
    </c:title>
    <c:autoTitleDeleted val="0"/>
    <c:plotArea>
      <c:layout/>
      <c:doughnutChart>
        <c:varyColors val="1"/>
        <c:ser>
          <c:idx val="0"/>
          <c:order val="0"/>
          <c:tx>
            <c:strRef>
              <c:f>分类!$AG$1</c:f>
              <c:strCache>
                <c:ptCount val="1"/>
                <c:pt idx="0">
                  <c:v>2029</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分类!$R$2:$R$5</c:f>
              <c:strCache>
                <c:ptCount val="2"/>
                <c:pt idx="0">
                  <c:v>纯度大于等于99%</c:v>
                </c:pt>
                <c:pt idx="1">
                  <c:v>纯度小于99%</c:v>
                </c:pt>
              </c:strCache>
            </c:strRef>
          </c:cat>
          <c:val>
            <c:numRef>
              <c:f>分类!$AG$2:$AG$5</c:f>
              <c:numCache>
                <c:formatCode>0.0%</c:formatCode>
                <c:ptCount val="2"/>
                <c:pt idx="0">
                  <c:v>0.805249788314987</c:v>
                </c:pt>
                <c:pt idx="1">
                  <c:v>0.194750211685013</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2022</a:t>
            </a:r>
            <a:endParaRPr lang="en-US" altLang="zh-CN">
              <a:latin typeface="Book Antiqua" panose="02040602050305030304" pitchFamily="1" charset="0"/>
            </a:endParaRPr>
          </a:p>
        </c:rich>
      </c:tx>
      <c:layout>
        <c:manualLayout>
          <c:xMode val="edge"/>
          <c:yMode val="edge"/>
          <c:x val="0.431731266149871"/>
          <c:y val="0.481837746013324"/>
        </c:manualLayout>
      </c:layout>
      <c:overlay val="0"/>
      <c:spPr>
        <a:noFill/>
        <a:ln>
          <a:noFill/>
        </a:ln>
        <a:effectLst/>
      </c:spPr>
    </c:title>
    <c:autoTitleDeleted val="0"/>
    <c:plotArea>
      <c:layout/>
      <c:doughnutChart>
        <c:varyColors val="1"/>
        <c:ser>
          <c:idx val="0"/>
          <c:order val="0"/>
          <c:tx>
            <c:strRef>
              <c:f>分类!$AF$1</c:f>
              <c:strCache>
                <c:ptCount val="1"/>
                <c:pt idx="0">
                  <c:v>2022</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分类!$R$2:$R$5</c:f>
              <c:strCache>
                <c:ptCount val="2"/>
                <c:pt idx="0">
                  <c:v>纯度大于等于99%</c:v>
                </c:pt>
                <c:pt idx="1">
                  <c:v>纯度小于99%</c:v>
                </c:pt>
              </c:strCache>
            </c:strRef>
          </c:cat>
          <c:val>
            <c:numRef>
              <c:f>分类!$AF$2:$AF$5</c:f>
              <c:numCache>
                <c:formatCode>0.0%</c:formatCode>
                <c:ptCount val="2"/>
                <c:pt idx="0">
                  <c:v>0.781720430107527</c:v>
                </c:pt>
                <c:pt idx="1">
                  <c:v>0.218279569892473</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299878086419753"/>
          <c:y val="0.0211666666666667"/>
          <c:w val="0.936207098765432"/>
          <c:h val="0.755441666666667"/>
        </c:manualLayout>
      </c:layout>
      <c:barChart>
        <c:barDir val="col"/>
        <c:grouping val="stacked"/>
        <c:varyColors val="0"/>
        <c:ser>
          <c:idx val="0"/>
          <c:order val="0"/>
          <c:tx>
            <c:strRef>
              <c:f>分类!$A$2</c:f>
              <c:strCache>
                <c:ptCount val="1"/>
                <c:pt idx="0">
                  <c:v>纯度大于等于99%</c:v>
                </c:pt>
              </c:strCache>
            </c:strRef>
          </c:tx>
          <c:spPr>
            <a:solidFill>
              <a:schemeClr val="accent1"/>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分类!$B$2:$M$2</c:f>
              <c:numCache>
                <c:formatCode>#,##0_);[Red]\(#,##0\)</c:formatCode>
                <c:ptCount val="12"/>
                <c:pt idx="0">
                  <c:v>6.6</c:v>
                </c:pt>
                <c:pt idx="1">
                  <c:v>6.92</c:v>
                </c:pt>
                <c:pt idx="2">
                  <c:v>6.75</c:v>
                </c:pt>
                <c:pt idx="3">
                  <c:v>7.07</c:v>
                </c:pt>
                <c:pt idx="4">
                  <c:v>7.27</c:v>
                </c:pt>
                <c:pt idx="5">
                  <c:v>7.56</c:v>
                </c:pt>
                <c:pt idx="6">
                  <c:v>7.84</c:v>
                </c:pt>
                <c:pt idx="7">
                  <c:v>8.22</c:v>
                </c:pt>
                <c:pt idx="8">
                  <c:v>8.49</c:v>
                </c:pt>
                <c:pt idx="9">
                  <c:v>8.84</c:v>
                </c:pt>
                <c:pt idx="10">
                  <c:v>9.14</c:v>
                </c:pt>
                <c:pt idx="11">
                  <c:v>9.51</c:v>
                </c:pt>
              </c:numCache>
            </c:numRef>
          </c:val>
        </c:ser>
        <c:ser>
          <c:idx val="1"/>
          <c:order val="1"/>
          <c:tx>
            <c:strRef>
              <c:f>分类!$A$3</c:f>
              <c:strCache>
                <c:ptCount val="1"/>
                <c:pt idx="0">
                  <c:v>纯度小于99%</c:v>
                </c:pt>
              </c:strCache>
            </c:strRef>
          </c:tx>
          <c:spPr>
            <a:solidFill>
              <a:schemeClr val="accent2"/>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分类!$B$3:$M$3</c:f>
              <c:numCache>
                <c:formatCode>#,##0_);[Red]\(#,##0\)</c:formatCode>
                <c:ptCount val="12"/>
                <c:pt idx="0">
                  <c:v>1.85</c:v>
                </c:pt>
                <c:pt idx="1">
                  <c:v>1.95</c:v>
                </c:pt>
                <c:pt idx="2">
                  <c:v>1.91</c:v>
                </c:pt>
                <c:pt idx="3">
                  <c:v>1.98</c:v>
                </c:pt>
                <c:pt idx="4">
                  <c:v>2.03</c:v>
                </c:pt>
                <c:pt idx="5">
                  <c:v>2.08</c:v>
                </c:pt>
                <c:pt idx="6">
                  <c:v>2.11</c:v>
                </c:pt>
                <c:pt idx="7">
                  <c:v>2.15</c:v>
                </c:pt>
                <c:pt idx="8">
                  <c:v>2.19</c:v>
                </c:pt>
                <c:pt idx="9">
                  <c:v>2.24</c:v>
                </c:pt>
                <c:pt idx="10">
                  <c:v>2.26</c:v>
                </c:pt>
                <c:pt idx="11">
                  <c:v>2.3</c:v>
                </c:pt>
              </c:numCache>
            </c:numRef>
          </c:val>
        </c:ser>
        <c:ser>
          <c:idx val="2"/>
          <c:order val="2"/>
          <c:tx>
            <c:strRef>
              <c:f>分类!$A$4</c:f>
              <c:strCache>
                <c:ptCount val="1"/>
                <c:pt idx="0">
                  <c:v/>
                </c:pt>
              </c:strCache>
            </c:strRef>
          </c:tx>
          <c:spPr>
            <a:solidFill>
              <a:schemeClr val="accent3"/>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分类!$B$4:$M$4</c:f>
            </c:numRef>
          </c:val>
        </c:ser>
        <c:ser>
          <c:idx val="3"/>
          <c:order val="3"/>
          <c:tx>
            <c:strRef>
              <c:f>分类!$A$5</c:f>
              <c:strCache>
                <c:ptCount val="1"/>
                <c:pt idx="0">
                  <c:v/>
                </c:pt>
              </c:strCache>
            </c:strRef>
          </c:tx>
          <c:spPr>
            <a:solidFill>
              <a:schemeClr val="accent4"/>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分类!$B$5:$M$5</c:f>
            </c:numRef>
          </c:val>
        </c:ser>
        <c:ser>
          <c:idx val="4"/>
          <c:order val="4"/>
          <c:tx>
            <c:strRef>
              <c:f>分类!$A$6</c:f>
              <c:strCache>
                <c:ptCount val="1"/>
                <c:pt idx="0">
                  <c:v/>
                </c:pt>
              </c:strCache>
            </c:strRef>
          </c:tx>
          <c:spPr>
            <a:solidFill>
              <a:schemeClr val="accent5"/>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分类!$B$6:$M$6</c:f>
            </c:numRef>
          </c:val>
        </c:ser>
        <c:ser>
          <c:idx val="5"/>
          <c:order val="5"/>
          <c:tx>
            <c:strRef>
              <c:f>分类!$A$7</c:f>
              <c:strCache>
                <c:ptCount val="1"/>
                <c:pt idx="0">
                  <c:v/>
                </c:pt>
              </c:strCache>
            </c:strRef>
          </c:tx>
          <c:spPr>
            <a:solidFill>
              <a:schemeClr val="accent6"/>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分类!$B$7:$M$7</c:f>
            </c:numRef>
          </c:val>
        </c:ser>
        <c:ser>
          <c:idx val="6"/>
          <c:order val="6"/>
          <c:tx>
            <c:strRef>
              <c:f>分类!$A$8</c:f>
              <c:strCache>
                <c:ptCount val="1"/>
                <c:pt idx="0">
                  <c:v/>
                </c:pt>
              </c:strCache>
            </c:strRef>
          </c:tx>
          <c:spPr>
            <a:solidFill>
              <a:schemeClr val="accent1">
                <a:lumMod val="6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分类!$B$8:$M$8</c:f>
            </c:numRef>
          </c:val>
        </c:ser>
        <c:ser>
          <c:idx val="7"/>
          <c:order val="7"/>
          <c:tx>
            <c:strRef>
              <c:f>分类!$A$9</c:f>
              <c:strCache>
                <c:ptCount val="1"/>
                <c:pt idx="0">
                  <c:v/>
                </c:pt>
              </c:strCache>
            </c:strRef>
          </c:tx>
          <c:spPr>
            <a:solidFill>
              <a:schemeClr val="accent2">
                <a:lumMod val="6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分类!$B$9:$M$9</c:f>
            </c:numRef>
          </c:val>
        </c:ser>
        <c:ser>
          <c:idx val="8"/>
          <c:order val="8"/>
          <c:tx>
            <c:strRef>
              <c:f>分类!$A$10</c:f>
              <c:strCache>
                <c:ptCount val="1"/>
                <c:pt idx="0">
                  <c:v/>
                </c:pt>
              </c:strCache>
            </c:strRef>
          </c:tx>
          <c:spPr>
            <a:solidFill>
              <a:schemeClr val="accent3">
                <a:lumMod val="6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分类!$A$11</c:f>
              <c:strCache>
                <c:ptCount val="1"/>
                <c:pt idx="0">
                  <c:v>合计</c:v>
                </c:pt>
              </c:strCache>
            </c:strRef>
          </c:tx>
          <c:spPr>
            <a:ln w="28575" cap="rnd">
              <a:solidFill>
                <a:schemeClr val="accent4">
                  <a:lumMod val="60000"/>
                </a:schemeClr>
              </a:solidFill>
              <a:round/>
            </a:ln>
            <a:effectLst/>
          </c:spPr>
          <c:marker>
            <c:symbol val="circle"/>
            <c:size val="5"/>
            <c:spPr>
              <a:solidFill>
                <a:schemeClr val="accent4">
                  <a:lumMod val="60000"/>
                </a:schemeClr>
              </a:solidFill>
              <a:ln w="9525">
                <a:solidFill>
                  <a:schemeClr val="accent4">
                    <a:lumMod val="60000"/>
                  </a:schemeClr>
                </a:solidFill>
              </a:ln>
              <a:effectLst/>
            </c:spPr>
          </c:marker>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分类!$B$11:$M$11</c:f>
              <c:numCache>
                <c:formatCode>#,##0_);[Red]\(#,##0\)</c:formatCode>
                <c:ptCount val="12"/>
                <c:pt idx="0">
                  <c:v>8.45</c:v>
                </c:pt>
                <c:pt idx="1">
                  <c:v>8.87</c:v>
                </c:pt>
                <c:pt idx="2">
                  <c:v>8.66</c:v>
                </c:pt>
                <c:pt idx="3">
                  <c:v>9.05</c:v>
                </c:pt>
                <c:pt idx="4">
                  <c:v>9.3</c:v>
                </c:pt>
                <c:pt idx="5">
                  <c:v>9.64</c:v>
                </c:pt>
                <c:pt idx="6">
                  <c:v>9.95</c:v>
                </c:pt>
                <c:pt idx="7">
                  <c:v>10.37</c:v>
                </c:pt>
                <c:pt idx="8">
                  <c:v>10.68</c:v>
                </c:pt>
                <c:pt idx="9">
                  <c:v>11.08</c:v>
                </c:pt>
                <c:pt idx="10">
                  <c:v>11.4</c:v>
                </c:pt>
                <c:pt idx="11">
                  <c:v>11.81</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solidFill>
                <a:schemeClr val="tx1">
                  <a:lumMod val="15000"/>
                  <a:lumOff val="85000"/>
                </a:schemeClr>
              </a:solidFill>
              <a:round/>
            </a:ln>
            <a:effectLst/>
          </c:spPr>
        </c:majorGridlines>
        <c:numFmt formatCode="#,##0_);[Red]\(#,##0\)" sourceLinked="0"/>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81920"/>
        <c:crosses val="autoZero"/>
        <c:crossBetween val="between"/>
      </c:valAx>
      <c:catAx>
        <c:axId val="2101602720"/>
        <c:scaling>
          <c:orientation val="minMax"/>
        </c:scaling>
        <c:delete val="1"/>
        <c:axPos val="t"/>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max"/>
        <c:auto val="1"/>
        <c:lblAlgn val="ctr"/>
        <c:lblOffset val="100"/>
        <c:noMultiLvlLbl val="0"/>
      </c:catAx>
      <c:valAx>
        <c:axId val="2101608960"/>
        <c:scaling>
          <c:orientation val="minMax"/>
        </c:scaling>
        <c:delete val="1"/>
        <c:axPos val="r"/>
        <c:numFmt formatCode="0.0%" sourceLinked="0"/>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2720"/>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2029</a:t>
            </a:r>
            <a:endParaRPr lang="en-US" altLang="zh-CN">
              <a:latin typeface="Book Antiqua" panose="02040602050305030304" pitchFamily="1" charset="0"/>
            </a:endParaRPr>
          </a:p>
        </c:rich>
      </c:tx>
      <c:layout>
        <c:manualLayout>
          <c:xMode val="edge"/>
          <c:yMode val="edge"/>
          <c:x val="0.438725452196382"/>
          <c:y val="0.385748300259616"/>
        </c:manualLayout>
      </c:layout>
      <c:overlay val="0"/>
      <c:spPr>
        <a:noFill/>
        <a:ln>
          <a:noFill/>
        </a:ln>
        <a:effectLst/>
      </c:spPr>
    </c:title>
    <c:autoTitleDeleted val="0"/>
    <c:plotArea>
      <c:layout/>
      <c:doughnutChart>
        <c:varyColors val="1"/>
        <c:ser>
          <c:idx val="0"/>
          <c:order val="0"/>
          <c:tx>
            <c:strRef>
              <c:f>应用!$AG$1</c:f>
              <c:strCache>
                <c:ptCount val="1"/>
                <c:pt idx="0">
                  <c:v>2029</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应用!$R$2:$R$4</c:f>
              <c:strCache>
                <c:ptCount val="2"/>
                <c:pt idx="0">
                  <c:v>化妆香精</c:v>
                </c:pt>
                <c:pt idx="1">
                  <c:v>皂用香精</c:v>
                </c:pt>
              </c:strCache>
            </c:strRef>
          </c:cat>
          <c:val>
            <c:numRef>
              <c:f>应用!$AG$2:$AG$4</c:f>
              <c:numCache>
                <c:formatCode>0.0%</c:formatCode>
                <c:ptCount val="2"/>
                <c:pt idx="0">
                  <c:v>0.639288738357324</c:v>
                </c:pt>
                <c:pt idx="1">
                  <c:v>0.360711261642676</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2022</a:t>
            </a:r>
            <a:endParaRPr lang="en-US" altLang="zh-CN">
              <a:latin typeface="Book Antiqua" panose="02040602050305030304" pitchFamily="1" charset="0"/>
            </a:endParaRPr>
          </a:p>
        </c:rich>
      </c:tx>
      <c:layout>
        <c:manualLayout>
          <c:xMode val="edge"/>
          <c:yMode val="edge"/>
          <c:x val="0.435833333333333"/>
          <c:y val="0.389926102248908"/>
        </c:manualLayout>
      </c:layout>
      <c:overlay val="0"/>
      <c:spPr>
        <a:noFill/>
        <a:ln>
          <a:noFill/>
        </a:ln>
        <a:effectLst/>
      </c:spPr>
    </c:title>
    <c:autoTitleDeleted val="0"/>
    <c:plotArea>
      <c:layout/>
      <c:doughnutChart>
        <c:varyColors val="1"/>
        <c:ser>
          <c:idx val="0"/>
          <c:order val="0"/>
          <c:tx>
            <c:strRef>
              <c:f>应用!$AF$1</c:f>
              <c:strCache>
                <c:ptCount val="1"/>
                <c:pt idx="0">
                  <c:v>2022</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应用!$R$2:$R$4</c:f>
              <c:strCache>
                <c:ptCount val="2"/>
                <c:pt idx="0">
                  <c:v>化妆香精</c:v>
                </c:pt>
                <c:pt idx="1">
                  <c:v>皂用香精</c:v>
                </c:pt>
              </c:strCache>
            </c:strRef>
          </c:cat>
          <c:val>
            <c:numRef>
              <c:f>应用!$AF$2:$AF$4</c:f>
              <c:numCache>
                <c:formatCode>0.0%</c:formatCode>
                <c:ptCount val="2"/>
                <c:pt idx="0">
                  <c:v>0.61505376344086</c:v>
                </c:pt>
                <c:pt idx="1">
                  <c:v>0.38494623655914</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299878086419753"/>
          <c:y val="0.0211666666666667"/>
          <c:w val="0.936207098765432"/>
          <c:h val="0.755441666666667"/>
        </c:manualLayout>
      </c:layout>
      <c:barChart>
        <c:barDir val="col"/>
        <c:grouping val="stacked"/>
        <c:varyColors val="0"/>
        <c:ser>
          <c:idx val="0"/>
          <c:order val="0"/>
          <c:tx>
            <c:strRef>
              <c:f>应用!$A$2</c:f>
              <c:strCache>
                <c:ptCount val="1"/>
                <c:pt idx="0">
                  <c:v>化妆香精</c:v>
                </c:pt>
              </c:strCache>
            </c:strRef>
          </c:tx>
          <c:spPr>
            <a:solidFill>
              <a:schemeClr val="accent1"/>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应用!$B$2:$M$2</c:f>
              <c:numCache>
                <c:formatCode>#,##0_);[Red]\(#,##0\)</c:formatCode>
                <c:ptCount val="12"/>
                <c:pt idx="0">
                  <c:v>5.24</c:v>
                </c:pt>
                <c:pt idx="1">
                  <c:v>5.49</c:v>
                </c:pt>
                <c:pt idx="2">
                  <c:v>5.35</c:v>
                </c:pt>
                <c:pt idx="3">
                  <c:v>5.58</c:v>
                </c:pt>
                <c:pt idx="4">
                  <c:v>5.72</c:v>
                </c:pt>
                <c:pt idx="5">
                  <c:v>5.95</c:v>
                </c:pt>
                <c:pt idx="6">
                  <c:v>6.17</c:v>
                </c:pt>
                <c:pt idx="7">
                  <c:v>6.48</c:v>
                </c:pt>
                <c:pt idx="8">
                  <c:v>6.71</c:v>
                </c:pt>
                <c:pt idx="9">
                  <c:v>7.01</c:v>
                </c:pt>
                <c:pt idx="10">
                  <c:v>7.25</c:v>
                </c:pt>
                <c:pt idx="11">
                  <c:v>7.55</c:v>
                </c:pt>
              </c:numCache>
            </c:numRef>
          </c:val>
        </c:ser>
        <c:ser>
          <c:idx val="1"/>
          <c:order val="1"/>
          <c:tx>
            <c:strRef>
              <c:f>应用!$A$3</c:f>
              <c:strCache>
                <c:ptCount val="1"/>
                <c:pt idx="0">
                  <c:v>皂用香精</c:v>
                </c:pt>
              </c:strCache>
            </c:strRef>
          </c:tx>
          <c:spPr>
            <a:solidFill>
              <a:schemeClr val="accent2"/>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应用!$B$3:$M$3</c:f>
              <c:numCache>
                <c:formatCode>#,##0_);[Red]\(#,##0\)</c:formatCode>
                <c:ptCount val="12"/>
                <c:pt idx="0">
                  <c:v>3.21</c:v>
                </c:pt>
                <c:pt idx="1">
                  <c:v>3.38</c:v>
                </c:pt>
                <c:pt idx="2">
                  <c:v>3.31</c:v>
                </c:pt>
                <c:pt idx="3">
                  <c:v>3.47</c:v>
                </c:pt>
                <c:pt idx="4">
                  <c:v>3.58</c:v>
                </c:pt>
                <c:pt idx="5">
                  <c:v>3.69</c:v>
                </c:pt>
                <c:pt idx="6">
                  <c:v>3.78</c:v>
                </c:pt>
                <c:pt idx="7">
                  <c:v>3.89</c:v>
                </c:pt>
                <c:pt idx="8">
                  <c:v>3.97</c:v>
                </c:pt>
                <c:pt idx="9">
                  <c:v>4.07</c:v>
                </c:pt>
                <c:pt idx="10">
                  <c:v>4.15</c:v>
                </c:pt>
                <c:pt idx="11">
                  <c:v>4.26</c:v>
                </c:pt>
              </c:numCache>
            </c:numRef>
          </c:val>
        </c:ser>
        <c:ser>
          <c:idx val="2"/>
          <c:order val="2"/>
          <c:tx>
            <c:strRef>
              <c:f>应用!$A$4</c:f>
              <c:strCache>
                <c:ptCount val="1"/>
                <c:pt idx="0">
                  <c:v/>
                </c:pt>
              </c:strCache>
            </c:strRef>
          </c:tx>
          <c:spPr>
            <a:solidFill>
              <a:schemeClr val="accent3"/>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应用!$B$4:$M$4</c:f>
            </c:numRef>
          </c:val>
        </c:ser>
        <c:ser>
          <c:idx val="3"/>
          <c:order val="3"/>
          <c:tx>
            <c:strRef>
              <c:f>应用!$A$5</c:f>
              <c:strCache>
                <c:ptCount val="1"/>
                <c:pt idx="0">
                  <c:v/>
                </c:pt>
              </c:strCache>
            </c:strRef>
          </c:tx>
          <c:spPr>
            <a:solidFill>
              <a:schemeClr val="accent4"/>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应用!$B$5:$M$5</c:f>
            </c:numRef>
          </c:val>
        </c:ser>
        <c:ser>
          <c:idx val="4"/>
          <c:order val="4"/>
          <c:tx>
            <c:strRef>
              <c:f>应用!$A$6</c:f>
              <c:strCache>
                <c:ptCount val="1"/>
                <c:pt idx="0">
                  <c:v/>
                </c:pt>
              </c:strCache>
            </c:strRef>
          </c:tx>
          <c:spPr>
            <a:solidFill>
              <a:schemeClr val="accent5"/>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应用!$B$6:$M$6</c:f>
            </c:numRef>
          </c:val>
        </c:ser>
        <c:ser>
          <c:idx val="5"/>
          <c:order val="5"/>
          <c:tx>
            <c:strRef>
              <c:f>应用!$A$7</c:f>
              <c:strCache>
                <c:ptCount val="1"/>
                <c:pt idx="0">
                  <c:v/>
                </c:pt>
              </c:strCache>
            </c:strRef>
          </c:tx>
          <c:spPr>
            <a:solidFill>
              <a:schemeClr val="accent6"/>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应用!$B$7:$M$7</c:f>
            </c:numRef>
          </c:val>
        </c:ser>
        <c:ser>
          <c:idx val="6"/>
          <c:order val="6"/>
          <c:tx>
            <c:strRef>
              <c:f>应用!$A$8</c:f>
              <c:strCache>
                <c:ptCount val="1"/>
                <c:pt idx="0">
                  <c:v/>
                </c:pt>
              </c:strCache>
            </c:strRef>
          </c:tx>
          <c:spPr>
            <a:solidFill>
              <a:schemeClr val="accent1">
                <a:lumMod val="6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应用!$B$8:$M$8</c:f>
            </c:numRef>
          </c:val>
        </c:ser>
        <c:ser>
          <c:idx val="7"/>
          <c:order val="7"/>
          <c:tx>
            <c:strRef>
              <c:f>应用!$A$9</c:f>
              <c:strCache>
                <c:ptCount val="1"/>
                <c:pt idx="0">
                  <c:v/>
                </c:pt>
              </c:strCache>
            </c:strRef>
          </c:tx>
          <c:spPr>
            <a:solidFill>
              <a:schemeClr val="accent2">
                <a:lumMod val="6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应用!$B$9:$M$9</c:f>
            </c:numRef>
          </c:val>
        </c:ser>
        <c:ser>
          <c:idx val="8"/>
          <c:order val="8"/>
          <c:tx>
            <c:strRef>
              <c:f>应用!$A$10</c:f>
              <c:strCache>
                <c:ptCount val="1"/>
                <c:pt idx="0">
                  <c:v/>
                </c:pt>
              </c:strCache>
            </c:strRef>
          </c:tx>
          <c:spPr>
            <a:solidFill>
              <a:schemeClr val="accent3">
                <a:lumMod val="6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应用!$A$11</c:f>
              <c:strCache>
                <c:ptCount val="1"/>
                <c:pt idx="0">
                  <c:v>合计</c:v>
                </c:pt>
              </c:strCache>
            </c:strRef>
          </c:tx>
          <c:spPr>
            <a:ln w="28575" cap="rnd">
              <a:solidFill>
                <a:schemeClr val="accent4">
                  <a:lumMod val="60000"/>
                </a:schemeClr>
              </a:solidFill>
              <a:round/>
            </a:ln>
            <a:effectLst/>
          </c:spPr>
          <c:marker>
            <c:symbol val="circle"/>
            <c:size val="5"/>
            <c:spPr>
              <a:solidFill>
                <a:schemeClr val="accent4">
                  <a:lumMod val="60000"/>
                </a:schemeClr>
              </a:solidFill>
              <a:ln w="9525">
                <a:solidFill>
                  <a:schemeClr val="accent4">
                    <a:lumMod val="60000"/>
                  </a:schemeClr>
                </a:solidFill>
              </a:ln>
              <a:effectLst/>
            </c:spPr>
          </c:marker>
          <c:dLbls>
            <c:delete val="1"/>
          </c:dLbls>
          <c:val>
            <c:numRef>
              <c:f>应用!$B$11:$M$11</c:f>
              <c:numCache>
                <c:formatCode>#,##0_);[Red]\(#,##0\)</c:formatCode>
                <c:ptCount val="12"/>
                <c:pt idx="0">
                  <c:v>8.45</c:v>
                </c:pt>
                <c:pt idx="1">
                  <c:v>8.87</c:v>
                </c:pt>
                <c:pt idx="2">
                  <c:v>8.66</c:v>
                </c:pt>
                <c:pt idx="3">
                  <c:v>9.05</c:v>
                </c:pt>
                <c:pt idx="4">
                  <c:v>9.3</c:v>
                </c:pt>
                <c:pt idx="5">
                  <c:v>9.64</c:v>
                </c:pt>
                <c:pt idx="6">
                  <c:v>9.95</c:v>
                </c:pt>
                <c:pt idx="7">
                  <c:v>10.37</c:v>
                </c:pt>
                <c:pt idx="8">
                  <c:v>10.68</c:v>
                </c:pt>
                <c:pt idx="9">
                  <c:v>11.08</c:v>
                </c:pt>
                <c:pt idx="10">
                  <c:v>11.4</c:v>
                </c:pt>
                <c:pt idx="11">
                  <c:v>11.81</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solidFill>
                <a:schemeClr val="tx1">
                  <a:lumMod val="15000"/>
                  <a:lumOff val="85000"/>
                </a:schemeClr>
              </a:solidFill>
              <a:round/>
            </a:ln>
            <a:effectLst/>
          </c:spPr>
        </c:majorGridlines>
        <c:numFmt formatCode="#,##0_);[Red]\(#,##0\)" sourceLinked="0"/>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81920"/>
        <c:crosses val="autoZero"/>
        <c:crossBetween val="between"/>
      </c:valAx>
      <c:catAx>
        <c:axId val="2101602720"/>
        <c:scaling>
          <c:orientation val="minMax"/>
        </c:scaling>
        <c:delete val="1"/>
        <c:axPos val="t"/>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max"/>
        <c:auto val="1"/>
        <c:lblAlgn val="ctr"/>
        <c:lblOffset val="100"/>
        <c:noMultiLvlLbl val="0"/>
      </c:catAx>
      <c:valAx>
        <c:axId val="2101608960"/>
        <c:scaling>
          <c:orientation val="minMax"/>
        </c:scaling>
        <c:delete val="1"/>
        <c:axPos val="r"/>
        <c:numFmt formatCode="0.0%" sourceLinked="0"/>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2720"/>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2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32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8</Pages>
  <Words>372</Words>
  <Characters>2124</Characters>
  <Lines>17</Lines>
  <Paragraphs>4</Paragraphs>
  <TotalTime>42</TotalTime>
  <ScaleCrop>false</ScaleCrop>
  <LinksUpToDate>false</LinksUpToDate>
  <CharactersWithSpaces>2492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2024-01-30T01:51:00Z</dcterms:created>
  <dc:creator>yangj</dc:creator>
  <cp:lastModifiedBy>*星*空夜@话</cp:lastModifiedBy>
  <dcterms:modified xsi:type="dcterms:W3CDTF">2024-02-04T07:28:43Z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A25295639E044DEB9D4F9ECFB243220E_12</vt:lpwstr>
  </property>
</Properties>
</file>