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B15" w:rsidRDefault="00C06B15" w:rsidP="00C06B15">
      <w:pPr>
        <w:shd w:val="clear" w:color="auto" w:fill="FFFFFF"/>
        <w:rPr>
          <w:rFonts w:ascii="Calibri" w:hAnsi="Calibri"/>
          <w:color w:val="333333"/>
          <w:sz w:val="18"/>
          <w:szCs w:val="18"/>
        </w:rPr>
      </w:pPr>
      <w:r>
        <w:rPr>
          <w:rFonts w:hint="eastAsia"/>
          <w:b/>
          <w:bCs/>
          <w:color w:val="333333"/>
          <w:sz w:val="18"/>
          <w:szCs w:val="18"/>
        </w:rPr>
        <w:t>【重点】研究全球与中国</w:t>
      </w:r>
      <w:r w:rsidR="001706D8">
        <w:rPr>
          <w:rFonts w:hint="eastAsia"/>
          <w:b/>
          <w:bCs/>
          <w:color w:val="333333"/>
          <w:sz w:val="18"/>
          <w:szCs w:val="18"/>
        </w:rPr>
        <w:t>半导体</w:t>
      </w:r>
      <w:r w:rsidR="001706D8">
        <w:rPr>
          <w:rFonts w:hint="eastAsia"/>
          <w:b/>
          <w:bCs/>
          <w:color w:val="333333"/>
          <w:sz w:val="18"/>
          <w:szCs w:val="18"/>
        </w:rPr>
        <w:t>HBM</w:t>
      </w:r>
      <w:r w:rsidR="001706D8">
        <w:rPr>
          <w:rFonts w:hint="eastAsia"/>
          <w:b/>
          <w:bCs/>
          <w:color w:val="333333"/>
          <w:sz w:val="18"/>
          <w:szCs w:val="18"/>
        </w:rPr>
        <w:t>用非导电薄膜</w:t>
      </w:r>
      <w:r>
        <w:rPr>
          <w:rFonts w:hint="eastAsia"/>
          <w:b/>
          <w:bCs/>
          <w:color w:val="333333"/>
          <w:sz w:val="18"/>
          <w:szCs w:val="18"/>
        </w:rPr>
        <w:t>市场主要厂商产品规格、价格、销量销售收入，市场份额，行业政策，产业链，生产模式，销售模式及未来趋势。</w:t>
      </w:r>
    </w:p>
    <w:p w:rsidR="00C06B15" w:rsidRDefault="00C06B15" w:rsidP="008544C7">
      <w:pPr>
        <w:shd w:val="clear" w:color="auto" w:fill="FFFFFF"/>
        <w:rPr>
          <w:rFonts w:ascii="Calibri" w:hAnsi="Calibri" w:hint="eastAsia"/>
          <w:b/>
          <w:bCs/>
          <w:color w:val="333333"/>
          <w:sz w:val="18"/>
          <w:szCs w:val="18"/>
        </w:rPr>
      </w:pPr>
    </w:p>
    <w:p w:rsidR="008544C7" w:rsidRDefault="001706D8" w:rsidP="008544C7">
      <w:pPr>
        <w:shd w:val="clear" w:color="auto" w:fill="FFFFFF"/>
        <w:rPr>
          <w:rFonts w:ascii="Calibri" w:hAnsi="Calibri"/>
          <w:color w:val="333333"/>
          <w:sz w:val="18"/>
          <w:szCs w:val="18"/>
        </w:rPr>
      </w:pPr>
      <w:r>
        <w:rPr>
          <w:rFonts w:ascii="Calibri" w:hAnsi="Calibri"/>
          <w:b/>
          <w:bCs/>
          <w:color w:val="333333"/>
          <w:sz w:val="18"/>
          <w:szCs w:val="18"/>
        </w:rPr>
        <w:t>半导体</w:t>
      </w:r>
      <w:r>
        <w:rPr>
          <w:rFonts w:ascii="Calibri" w:hAnsi="Calibri"/>
          <w:b/>
          <w:bCs/>
          <w:color w:val="333333"/>
          <w:sz w:val="18"/>
          <w:szCs w:val="18"/>
        </w:rPr>
        <w:t>HBM</w:t>
      </w:r>
      <w:r>
        <w:rPr>
          <w:rFonts w:ascii="Calibri" w:hAnsi="Calibri"/>
          <w:b/>
          <w:bCs/>
          <w:color w:val="333333"/>
          <w:sz w:val="18"/>
          <w:szCs w:val="18"/>
        </w:rPr>
        <w:t>用非导电薄膜</w:t>
      </w:r>
      <w:r w:rsidR="008544C7">
        <w:rPr>
          <w:rFonts w:ascii="Calibri" w:hAnsi="Calibri"/>
          <w:b/>
          <w:bCs/>
          <w:color w:val="333333"/>
          <w:sz w:val="18"/>
          <w:szCs w:val="18"/>
        </w:rPr>
        <w:t>市场</w:t>
      </w:r>
      <w:r w:rsidR="008544C7">
        <w:rPr>
          <w:rFonts w:hint="eastAsia"/>
          <w:b/>
          <w:bCs/>
          <w:color w:val="333333"/>
          <w:sz w:val="18"/>
          <w:szCs w:val="18"/>
        </w:rPr>
        <w:t>报告主要研究：</w:t>
      </w:r>
    </w:p>
    <w:p w:rsidR="008544C7" w:rsidRDefault="001706D8" w:rsidP="008544C7">
      <w:pPr>
        <w:shd w:val="clear" w:color="auto" w:fill="FFFFFF"/>
        <w:rPr>
          <w:rFonts w:ascii="Calibri" w:hAnsi="Calibri"/>
          <w:color w:val="333333"/>
          <w:sz w:val="18"/>
          <w:szCs w:val="18"/>
        </w:rPr>
      </w:pPr>
      <w:r>
        <w:rPr>
          <w:rFonts w:ascii="Calibri" w:hAnsi="Calibri"/>
          <w:color w:val="333333"/>
          <w:sz w:val="18"/>
          <w:szCs w:val="18"/>
        </w:rPr>
        <w:t>半导体</w:t>
      </w:r>
      <w:r>
        <w:rPr>
          <w:rFonts w:ascii="Calibri" w:hAnsi="Calibri"/>
          <w:color w:val="333333"/>
          <w:sz w:val="18"/>
          <w:szCs w:val="18"/>
        </w:rPr>
        <w:t>HBM</w:t>
      </w:r>
      <w:r>
        <w:rPr>
          <w:rFonts w:ascii="Calibri" w:hAnsi="Calibri"/>
          <w:color w:val="333333"/>
          <w:sz w:val="18"/>
          <w:szCs w:val="18"/>
        </w:rPr>
        <w:t>用非导电薄膜</w:t>
      </w:r>
      <w:r w:rsidR="008544C7">
        <w:rPr>
          <w:rFonts w:ascii="Calibri" w:hAnsi="Calibri"/>
          <w:color w:val="333333"/>
          <w:sz w:val="18"/>
          <w:szCs w:val="18"/>
        </w:rPr>
        <w:t>市场规模：</w:t>
      </w:r>
      <w:r w:rsidR="008544C7">
        <w:rPr>
          <w:rFonts w:ascii="Calibri" w:hAnsi="Calibri"/>
          <w:color w:val="333333"/>
          <w:sz w:val="18"/>
          <w:szCs w:val="18"/>
        </w:rPr>
        <w:t xml:space="preserve"> </w:t>
      </w:r>
      <w:r w:rsidR="008544C7">
        <w:rPr>
          <w:rFonts w:ascii="Calibri" w:hAnsi="Calibri"/>
          <w:color w:val="333333"/>
          <w:sz w:val="18"/>
          <w:szCs w:val="18"/>
        </w:rPr>
        <w:t>产能、产量、销售、产值、价格、成本、利润等</w:t>
      </w:r>
    </w:p>
    <w:p w:rsidR="00C06B15" w:rsidRDefault="001706D8" w:rsidP="00C06B15">
      <w:pPr>
        <w:shd w:val="clear" w:color="auto" w:fill="FFFFFF"/>
        <w:rPr>
          <w:rFonts w:ascii="Calibri" w:hAnsi="Calibri" w:hint="eastAsia"/>
          <w:color w:val="333333"/>
          <w:sz w:val="18"/>
          <w:szCs w:val="18"/>
        </w:rPr>
      </w:pPr>
      <w:r>
        <w:rPr>
          <w:rFonts w:ascii="Calibri" w:hAnsi="Calibri"/>
          <w:color w:val="333333"/>
          <w:sz w:val="18"/>
          <w:szCs w:val="18"/>
        </w:rPr>
        <w:t>半导体</w:t>
      </w:r>
      <w:r>
        <w:rPr>
          <w:rFonts w:ascii="Calibri" w:hAnsi="Calibri"/>
          <w:color w:val="333333"/>
          <w:sz w:val="18"/>
          <w:szCs w:val="18"/>
        </w:rPr>
        <w:t>HBM</w:t>
      </w:r>
      <w:r>
        <w:rPr>
          <w:rFonts w:ascii="Calibri" w:hAnsi="Calibri"/>
          <w:color w:val="333333"/>
          <w:sz w:val="18"/>
          <w:szCs w:val="18"/>
        </w:rPr>
        <w:t>用非导电薄膜</w:t>
      </w:r>
      <w:r w:rsidR="008544C7">
        <w:rPr>
          <w:rFonts w:ascii="Calibri" w:hAnsi="Calibri"/>
          <w:color w:val="333333"/>
          <w:sz w:val="18"/>
          <w:szCs w:val="18"/>
        </w:rPr>
        <w:t>行业竞争分析：原材料、市场应用、产品种类、市场需求、市场供给，下游市场分析、供应链分析、主要企业情况、市场份额、并购、扩张等</w:t>
      </w:r>
    </w:p>
    <w:p w:rsidR="00C06B15" w:rsidRDefault="00C06B15" w:rsidP="00C06B15">
      <w:pPr>
        <w:shd w:val="clear" w:color="auto" w:fill="FFFFFF"/>
        <w:rPr>
          <w:rFonts w:ascii="Calibri" w:hAnsi="Calibri" w:hint="eastAsia"/>
          <w:color w:val="333333"/>
          <w:sz w:val="18"/>
          <w:szCs w:val="18"/>
        </w:rPr>
      </w:pPr>
    </w:p>
    <w:p w:rsidR="001706D8" w:rsidRPr="001706D8" w:rsidRDefault="001706D8" w:rsidP="001706D8">
      <w:pPr>
        <w:shd w:val="clear" w:color="auto" w:fill="FFFFFF"/>
        <w:rPr>
          <w:rFonts w:ascii="Calibri" w:hAnsi="Calibri"/>
          <w:color w:val="333333"/>
          <w:sz w:val="18"/>
          <w:szCs w:val="18"/>
        </w:rPr>
      </w:pPr>
      <w:r w:rsidRPr="001706D8">
        <w:rPr>
          <w:rFonts w:ascii="Calibri" w:hAnsi="Calibri" w:hint="eastAsia"/>
          <w:color w:val="333333"/>
          <w:sz w:val="18"/>
          <w:szCs w:val="18"/>
        </w:rPr>
        <w:t>非导电薄膜，作为半导体产业的关键材料，广泛应用于倒装芯片和</w:t>
      </w:r>
      <w:r w:rsidRPr="001706D8">
        <w:rPr>
          <w:rFonts w:ascii="Calibri" w:hAnsi="Calibri" w:hint="eastAsia"/>
          <w:color w:val="333333"/>
          <w:sz w:val="18"/>
          <w:szCs w:val="18"/>
        </w:rPr>
        <w:t>TSV</w:t>
      </w:r>
      <w:r w:rsidRPr="001706D8">
        <w:rPr>
          <w:rFonts w:ascii="Calibri" w:hAnsi="Calibri" w:hint="eastAsia"/>
          <w:color w:val="333333"/>
          <w:sz w:val="18"/>
          <w:szCs w:val="18"/>
        </w:rPr>
        <w:t>堆芯中。在</w:t>
      </w:r>
      <w:r w:rsidRPr="001706D8">
        <w:rPr>
          <w:rFonts w:ascii="Calibri" w:hAnsi="Calibri" w:hint="eastAsia"/>
          <w:color w:val="333333"/>
          <w:sz w:val="18"/>
          <w:szCs w:val="18"/>
        </w:rPr>
        <w:t>HBM</w:t>
      </w:r>
      <w:r w:rsidRPr="001706D8">
        <w:rPr>
          <w:rFonts w:ascii="Calibri" w:hAnsi="Calibri" w:hint="eastAsia"/>
          <w:color w:val="333333"/>
          <w:sz w:val="18"/>
          <w:szCs w:val="18"/>
        </w:rPr>
        <w:t>技术中，非导电薄膜更是决定热性能和半导体高度的核心要素。该产品的供应链结构错综复杂，涵盖了从原材料供应到最终用户的多个环节，每一环节都紧密相连，共同构成了完整的产业生态链。</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b/>
          <w:bCs/>
          <w:color w:val="333333"/>
          <w:sz w:val="18"/>
          <w:szCs w:val="18"/>
        </w:rPr>
        <w:t>市场现状与未来机遇</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当前，全球半导体用非导电薄膜市场正处于快速发展阶段。随着半导体产业的不断进步和新兴领域的崛起，非导电薄膜的需求持续增长。特别是在</w:t>
      </w:r>
      <w:r w:rsidRPr="001706D8">
        <w:rPr>
          <w:rFonts w:ascii="Calibri" w:hAnsi="Calibri" w:hint="eastAsia"/>
          <w:color w:val="333333"/>
          <w:sz w:val="18"/>
          <w:szCs w:val="18"/>
        </w:rPr>
        <w:t>5G</w:t>
      </w:r>
      <w:r w:rsidRPr="001706D8">
        <w:rPr>
          <w:rFonts w:ascii="Calibri" w:hAnsi="Calibri" w:hint="eastAsia"/>
          <w:color w:val="333333"/>
          <w:sz w:val="18"/>
          <w:szCs w:val="18"/>
        </w:rPr>
        <w:t>、人工智能、物联网等技术的推动下，非导电薄膜的应用场景更加广泛，市场规模有望进一步扩大。</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此外，随着技术的不断进步，非导电薄膜的性能也在不断提升。更高的热稳定性、更低的电阻率等特性使得非导电薄膜在半导体制造中发挥着越来越重要的作用。这为市场的未来发展提供了广阔的空间和机遇。</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b/>
          <w:bCs/>
          <w:color w:val="333333"/>
          <w:sz w:val="18"/>
          <w:szCs w:val="18"/>
        </w:rPr>
        <w:t>政策与趋势分析</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在政策方面，各国政府纷纷出台政策支持半导体产业的发展，为非导电薄膜市场的壮大提供了有力保障。税收优惠、资金支持等措施的实施，降低了企业的运营成本，提高了市场竞争力。</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在趋势方面，未来半导体用非导电薄膜市场将呈现产品差异化、市场竞争激烈和国际市场扩大等趋势。各企业将更加注重产品的研发和创新，以满足市场的多样化需求。同时，随着国际市场的进一步开放和拓展，企业需要积极拓展海外市场，提高国际竞争力。</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b/>
          <w:bCs/>
          <w:color w:val="333333"/>
          <w:sz w:val="18"/>
          <w:szCs w:val="18"/>
        </w:rPr>
        <w:t>未来市场预测</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展望未来，全球半导体用非导电薄膜市场将继续保持快速增长的态势。随着技术的不断进步和市场的不断拓展，非导电薄膜的应用领域将更加广泛，市场规模也将进一步扩大。特别是在新能源汽车、智能家居、医疗电子等新兴领域的应用中，非导电薄膜将发挥更加重要的作用。</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2023</w:t>
      </w:r>
      <w:r w:rsidRPr="001706D8">
        <w:rPr>
          <w:rFonts w:ascii="Calibri" w:hAnsi="Calibri" w:hint="eastAsia"/>
          <w:color w:val="333333"/>
          <w:sz w:val="18"/>
          <w:szCs w:val="18"/>
        </w:rPr>
        <w:t>年全球半导体</w:t>
      </w:r>
      <w:r w:rsidRPr="001706D8">
        <w:rPr>
          <w:rFonts w:ascii="Calibri" w:hAnsi="Calibri" w:hint="eastAsia"/>
          <w:color w:val="333333"/>
          <w:sz w:val="18"/>
          <w:szCs w:val="18"/>
        </w:rPr>
        <w:t>HBM</w:t>
      </w:r>
      <w:r w:rsidRPr="001706D8">
        <w:rPr>
          <w:rFonts w:ascii="Calibri" w:hAnsi="Calibri" w:hint="eastAsia"/>
          <w:color w:val="333333"/>
          <w:sz w:val="18"/>
          <w:szCs w:val="18"/>
        </w:rPr>
        <w:t>用非导电薄膜市场规模大约为</w:t>
      </w:r>
      <w:r w:rsidRPr="001706D8">
        <w:rPr>
          <w:rFonts w:ascii="Calibri" w:hAnsi="Calibri" w:hint="eastAsia"/>
          <w:color w:val="333333"/>
          <w:sz w:val="18"/>
          <w:szCs w:val="18"/>
        </w:rPr>
        <w:t>0.07</w:t>
      </w:r>
      <w:r w:rsidRPr="001706D8">
        <w:rPr>
          <w:rFonts w:ascii="Calibri" w:hAnsi="Calibri" w:hint="eastAsia"/>
          <w:color w:val="333333"/>
          <w:sz w:val="18"/>
          <w:szCs w:val="18"/>
        </w:rPr>
        <w:t>亿美元，预计</w:t>
      </w:r>
      <w:r w:rsidRPr="001706D8">
        <w:rPr>
          <w:rFonts w:ascii="Calibri" w:hAnsi="Calibri" w:hint="eastAsia"/>
          <w:color w:val="333333"/>
          <w:sz w:val="18"/>
          <w:szCs w:val="18"/>
        </w:rPr>
        <w:t>2030</w:t>
      </w:r>
      <w:r w:rsidRPr="001706D8">
        <w:rPr>
          <w:rFonts w:ascii="Calibri" w:hAnsi="Calibri" w:hint="eastAsia"/>
          <w:color w:val="333333"/>
          <w:sz w:val="18"/>
          <w:szCs w:val="18"/>
        </w:rPr>
        <w:t>年将达到</w:t>
      </w:r>
      <w:r w:rsidRPr="001706D8">
        <w:rPr>
          <w:rFonts w:ascii="Calibri" w:hAnsi="Calibri" w:hint="eastAsia"/>
          <w:color w:val="333333"/>
          <w:sz w:val="18"/>
          <w:szCs w:val="18"/>
        </w:rPr>
        <w:t>0.34</w:t>
      </w:r>
      <w:r w:rsidRPr="001706D8">
        <w:rPr>
          <w:rFonts w:ascii="Calibri" w:hAnsi="Calibri" w:hint="eastAsia"/>
          <w:color w:val="333333"/>
          <w:sz w:val="18"/>
          <w:szCs w:val="18"/>
        </w:rPr>
        <w:t>亿美元，</w:t>
      </w:r>
      <w:r w:rsidRPr="001706D8">
        <w:rPr>
          <w:rFonts w:ascii="Calibri" w:hAnsi="Calibri" w:hint="eastAsia"/>
          <w:color w:val="333333"/>
          <w:sz w:val="18"/>
          <w:szCs w:val="18"/>
        </w:rPr>
        <w:t>2024-2030</w:t>
      </w:r>
      <w:r w:rsidRPr="001706D8">
        <w:rPr>
          <w:rFonts w:ascii="Calibri" w:hAnsi="Calibri" w:hint="eastAsia"/>
          <w:color w:val="333333"/>
          <w:sz w:val="18"/>
          <w:szCs w:val="18"/>
        </w:rPr>
        <w:t>期间年复合增长率（</w:t>
      </w:r>
      <w:r w:rsidRPr="001706D8">
        <w:rPr>
          <w:rFonts w:ascii="Calibri" w:hAnsi="Calibri" w:hint="eastAsia"/>
          <w:color w:val="333333"/>
          <w:sz w:val="18"/>
          <w:szCs w:val="18"/>
        </w:rPr>
        <w:t>CAGR</w:t>
      </w:r>
      <w:r w:rsidRPr="001706D8">
        <w:rPr>
          <w:rFonts w:ascii="Calibri" w:hAnsi="Calibri" w:hint="eastAsia"/>
          <w:color w:val="333333"/>
          <w:sz w:val="18"/>
          <w:szCs w:val="18"/>
        </w:rPr>
        <w:t>）为</w:t>
      </w:r>
      <w:r w:rsidRPr="001706D8">
        <w:rPr>
          <w:rFonts w:ascii="Calibri" w:hAnsi="Calibri" w:hint="eastAsia"/>
          <w:color w:val="333333"/>
          <w:sz w:val="18"/>
          <w:szCs w:val="18"/>
        </w:rPr>
        <w:t>25.0%</w:t>
      </w:r>
    </w:p>
    <w:p w:rsidR="001706D8" w:rsidRPr="001706D8" w:rsidRDefault="001706D8" w:rsidP="001706D8">
      <w:pPr>
        <w:shd w:val="clear" w:color="auto" w:fill="FFFFFF"/>
        <w:rPr>
          <w:rFonts w:ascii="Calibri" w:hAnsi="Calibri" w:hint="eastAsia"/>
          <w:color w:val="333333"/>
          <w:sz w:val="18"/>
          <w:szCs w:val="18"/>
        </w:rPr>
      </w:pPr>
      <w:r w:rsidRPr="001706D8">
        <w:rPr>
          <w:rFonts w:ascii="Calibri" w:hAnsi="Calibri" w:hint="eastAsia"/>
          <w:color w:val="333333"/>
          <w:sz w:val="18"/>
          <w:szCs w:val="18"/>
        </w:rPr>
        <w:t>全球半导体</w:t>
      </w:r>
      <w:r w:rsidRPr="001706D8">
        <w:rPr>
          <w:rFonts w:ascii="Calibri" w:hAnsi="Calibri" w:hint="eastAsia"/>
          <w:color w:val="333333"/>
          <w:sz w:val="18"/>
          <w:szCs w:val="18"/>
        </w:rPr>
        <w:t>HBM</w:t>
      </w:r>
      <w:r w:rsidRPr="001706D8">
        <w:rPr>
          <w:rFonts w:ascii="Calibri" w:hAnsi="Calibri" w:hint="eastAsia"/>
          <w:color w:val="333333"/>
          <w:sz w:val="18"/>
          <w:szCs w:val="18"/>
        </w:rPr>
        <w:t>用非导电薄膜（</w:t>
      </w:r>
      <w:r w:rsidRPr="001706D8">
        <w:rPr>
          <w:rFonts w:ascii="Calibri" w:hAnsi="Calibri" w:hint="eastAsia"/>
          <w:color w:val="333333"/>
          <w:sz w:val="18"/>
          <w:szCs w:val="18"/>
        </w:rPr>
        <w:t>Non-Conductive Film for Semiconductor (HBM)</w:t>
      </w:r>
      <w:r w:rsidRPr="001706D8">
        <w:rPr>
          <w:rFonts w:ascii="Calibri" w:hAnsi="Calibri" w:hint="eastAsia"/>
          <w:color w:val="333333"/>
          <w:sz w:val="18"/>
          <w:szCs w:val="18"/>
        </w:rPr>
        <w:t>）核心厂商有</w:t>
      </w:r>
      <w:r w:rsidRPr="001706D8">
        <w:rPr>
          <w:rFonts w:ascii="Calibri" w:hAnsi="Calibri" w:hint="eastAsia"/>
          <w:color w:val="333333"/>
          <w:sz w:val="18"/>
          <w:szCs w:val="18"/>
        </w:rPr>
        <w:t>Resonac</w:t>
      </w:r>
      <w:r w:rsidRPr="001706D8">
        <w:rPr>
          <w:rFonts w:ascii="Calibri" w:hAnsi="Calibri" w:hint="eastAsia"/>
          <w:color w:val="333333"/>
          <w:sz w:val="18"/>
          <w:szCs w:val="18"/>
        </w:rPr>
        <w:t>、</w:t>
      </w:r>
      <w:r w:rsidRPr="001706D8">
        <w:rPr>
          <w:rFonts w:ascii="Calibri" w:hAnsi="Calibri" w:hint="eastAsia"/>
          <w:color w:val="333333"/>
          <w:sz w:val="18"/>
          <w:szCs w:val="18"/>
        </w:rPr>
        <w:t>Henkel</w:t>
      </w:r>
      <w:r w:rsidRPr="001706D8">
        <w:rPr>
          <w:rFonts w:ascii="Calibri" w:hAnsi="Calibri" w:hint="eastAsia"/>
          <w:color w:val="333333"/>
          <w:sz w:val="18"/>
          <w:szCs w:val="18"/>
        </w:rPr>
        <w:t>和</w:t>
      </w:r>
      <w:r w:rsidRPr="001706D8">
        <w:rPr>
          <w:rFonts w:ascii="Calibri" w:hAnsi="Calibri" w:hint="eastAsia"/>
          <w:color w:val="333333"/>
          <w:sz w:val="18"/>
          <w:szCs w:val="18"/>
        </w:rPr>
        <w:t>NAMICS</w:t>
      </w:r>
      <w:r w:rsidRPr="001706D8">
        <w:rPr>
          <w:rFonts w:ascii="Calibri" w:hAnsi="Calibri" w:hint="eastAsia"/>
          <w:color w:val="333333"/>
          <w:sz w:val="18"/>
          <w:szCs w:val="18"/>
        </w:rPr>
        <w:t>等，前三大厂商占有全球大约</w:t>
      </w:r>
      <w:r w:rsidRPr="001706D8">
        <w:rPr>
          <w:rFonts w:ascii="Calibri" w:hAnsi="Calibri" w:hint="eastAsia"/>
          <w:color w:val="333333"/>
          <w:sz w:val="18"/>
          <w:szCs w:val="18"/>
        </w:rPr>
        <w:t>99%</w:t>
      </w:r>
      <w:r w:rsidRPr="001706D8">
        <w:rPr>
          <w:rFonts w:ascii="Calibri" w:hAnsi="Calibri" w:hint="eastAsia"/>
          <w:color w:val="333333"/>
          <w:sz w:val="18"/>
          <w:szCs w:val="18"/>
        </w:rPr>
        <w:t>的份额。亚太地区是最大的市场，占有大约</w:t>
      </w:r>
      <w:r w:rsidRPr="001706D8">
        <w:rPr>
          <w:rFonts w:ascii="Calibri" w:hAnsi="Calibri" w:hint="eastAsia"/>
          <w:color w:val="333333"/>
          <w:sz w:val="18"/>
          <w:szCs w:val="18"/>
        </w:rPr>
        <w:t>100%</w:t>
      </w:r>
      <w:r w:rsidRPr="001706D8">
        <w:rPr>
          <w:rFonts w:ascii="Calibri" w:hAnsi="Calibri" w:hint="eastAsia"/>
          <w:color w:val="333333"/>
          <w:sz w:val="18"/>
          <w:szCs w:val="18"/>
        </w:rPr>
        <w:t>份额。产品类型而言，</w:t>
      </w:r>
      <w:r w:rsidRPr="001706D8">
        <w:rPr>
          <w:rFonts w:ascii="Calibri" w:hAnsi="Calibri" w:hint="eastAsia"/>
          <w:color w:val="333333"/>
          <w:sz w:val="18"/>
          <w:szCs w:val="18"/>
        </w:rPr>
        <w:t>10-25</w:t>
      </w:r>
      <w:r w:rsidRPr="001706D8">
        <w:rPr>
          <w:rFonts w:ascii="Calibri" w:hAnsi="Calibri" w:hint="eastAsia"/>
          <w:color w:val="333333"/>
          <w:sz w:val="18"/>
          <w:szCs w:val="18"/>
        </w:rPr>
        <w:t>μ</w:t>
      </w:r>
      <w:r w:rsidRPr="001706D8">
        <w:rPr>
          <w:rFonts w:ascii="Calibri" w:hAnsi="Calibri" w:hint="eastAsia"/>
          <w:color w:val="333333"/>
          <w:sz w:val="18"/>
          <w:szCs w:val="18"/>
        </w:rPr>
        <w:t>m</w:t>
      </w:r>
      <w:r w:rsidRPr="001706D8">
        <w:rPr>
          <w:rFonts w:ascii="Calibri" w:hAnsi="Calibri" w:hint="eastAsia"/>
          <w:color w:val="333333"/>
          <w:sz w:val="18"/>
          <w:szCs w:val="18"/>
        </w:rPr>
        <w:t>是最大的细分，占有大约</w:t>
      </w:r>
      <w:r w:rsidRPr="001706D8">
        <w:rPr>
          <w:rFonts w:ascii="Calibri" w:hAnsi="Calibri" w:hint="eastAsia"/>
          <w:color w:val="333333"/>
          <w:sz w:val="18"/>
          <w:szCs w:val="18"/>
        </w:rPr>
        <w:t>46%</w:t>
      </w:r>
      <w:r w:rsidRPr="001706D8">
        <w:rPr>
          <w:rFonts w:ascii="Calibri" w:hAnsi="Calibri" w:hint="eastAsia"/>
          <w:color w:val="333333"/>
          <w:sz w:val="18"/>
          <w:szCs w:val="18"/>
        </w:rPr>
        <w:t>的份额，同时就下游来说，</w:t>
      </w:r>
      <w:r w:rsidRPr="001706D8">
        <w:rPr>
          <w:rFonts w:ascii="Calibri" w:hAnsi="Calibri" w:hint="eastAsia"/>
          <w:color w:val="333333"/>
          <w:sz w:val="18"/>
          <w:szCs w:val="18"/>
        </w:rPr>
        <w:t>HBM2</w:t>
      </w:r>
      <w:r w:rsidRPr="001706D8">
        <w:rPr>
          <w:rFonts w:ascii="Calibri" w:hAnsi="Calibri" w:hint="eastAsia"/>
          <w:color w:val="333333"/>
          <w:sz w:val="18"/>
          <w:szCs w:val="18"/>
        </w:rPr>
        <w:t>是最大的下游领域，占有</w:t>
      </w:r>
      <w:r w:rsidRPr="001706D8">
        <w:rPr>
          <w:rFonts w:ascii="Calibri" w:hAnsi="Calibri" w:hint="eastAsia"/>
          <w:color w:val="333333"/>
          <w:sz w:val="18"/>
          <w:szCs w:val="18"/>
        </w:rPr>
        <w:t>98%</w:t>
      </w:r>
      <w:r w:rsidRPr="001706D8">
        <w:rPr>
          <w:rFonts w:ascii="Calibri" w:hAnsi="Calibri" w:hint="eastAsia"/>
          <w:color w:val="333333"/>
          <w:sz w:val="18"/>
          <w:szCs w:val="18"/>
        </w:rPr>
        <w:t>份额。</w:t>
      </w:r>
    </w:p>
    <w:p w:rsidR="00C06B15" w:rsidRDefault="00C06B15" w:rsidP="00C06B15">
      <w:pPr>
        <w:shd w:val="clear" w:color="auto" w:fill="FFFFFF"/>
        <w:rPr>
          <w:rFonts w:ascii="Calibri" w:hAnsi="Calibri" w:hint="eastAsia"/>
          <w:color w:val="333333"/>
          <w:sz w:val="18"/>
          <w:szCs w:val="18"/>
        </w:rPr>
      </w:pPr>
      <w:r w:rsidRPr="00C06B15">
        <w:rPr>
          <w:rFonts w:ascii="Calibri" w:hAnsi="Calibri" w:hint="eastAsia"/>
          <w:color w:val="333333"/>
          <w:sz w:val="18"/>
          <w:szCs w:val="18"/>
        </w:rPr>
        <w:t>（</w:t>
      </w:r>
      <w:r w:rsidRPr="00C06B15">
        <w:rPr>
          <w:rFonts w:ascii="Calibri" w:hAnsi="Calibri" w:hint="eastAsia"/>
          <w:color w:val="333333"/>
          <w:sz w:val="18"/>
          <w:szCs w:val="18"/>
        </w:rPr>
        <w:t>Win Market Research</w:t>
      </w:r>
      <w:r w:rsidRPr="00C06B15">
        <w:rPr>
          <w:rFonts w:ascii="Calibri" w:hAnsi="Calibri" w:hint="eastAsia"/>
          <w:color w:val="333333"/>
          <w:sz w:val="18"/>
          <w:szCs w:val="18"/>
        </w:rPr>
        <w:t>）辰宇信息</w:t>
      </w:r>
    </w:p>
    <w:p w:rsidR="000B429F" w:rsidRDefault="00C06B15" w:rsidP="00C06B15">
      <w:pPr>
        <w:shd w:val="clear" w:color="auto" w:fill="FFFFFF"/>
      </w:pPr>
      <w:r>
        <w:rPr>
          <w:rFonts w:hint="eastAsia"/>
        </w:rPr>
        <w:t>报告</w:t>
      </w:r>
      <w:r w:rsidR="005141CD">
        <w:t>分析</w:t>
      </w:r>
      <w:r w:rsidR="001706D8">
        <w:rPr>
          <w:rFonts w:hint="eastAsia"/>
        </w:rPr>
        <w:t>半导体</w:t>
      </w:r>
      <w:r w:rsidR="001706D8">
        <w:rPr>
          <w:rFonts w:hint="eastAsia"/>
        </w:rPr>
        <w:t>HBM</w:t>
      </w:r>
      <w:r w:rsidR="001706D8">
        <w:rPr>
          <w:rFonts w:hint="eastAsia"/>
        </w:rPr>
        <w:t>用非导电薄膜</w:t>
      </w:r>
      <w:r w:rsidR="005141CD">
        <w:t>行业竞争格局，包括全球市场主要厂商竞争格局和中国本土市场主要厂商竞争格局，重点分析全球主要厂商</w:t>
      </w:r>
      <w:r w:rsidR="001706D8">
        <w:rPr>
          <w:rFonts w:hint="eastAsia"/>
        </w:rPr>
        <w:t>半导体</w:t>
      </w:r>
      <w:r w:rsidR="001706D8">
        <w:rPr>
          <w:rFonts w:hint="eastAsia"/>
        </w:rPr>
        <w:t>HBM</w:t>
      </w:r>
      <w:r w:rsidR="001706D8">
        <w:rPr>
          <w:rFonts w:hint="eastAsia"/>
        </w:rPr>
        <w:t>用非导电薄膜</w:t>
      </w:r>
      <w:r w:rsidR="005141CD">
        <w:t>产能、销量、收入、价格和市场份额，全球</w:t>
      </w:r>
      <w:r w:rsidR="001706D8">
        <w:rPr>
          <w:rFonts w:hint="eastAsia"/>
        </w:rPr>
        <w:t>半导体</w:t>
      </w:r>
      <w:r w:rsidR="001706D8">
        <w:rPr>
          <w:rFonts w:hint="eastAsia"/>
        </w:rPr>
        <w:t>HBM</w:t>
      </w:r>
      <w:r w:rsidR="001706D8">
        <w:rPr>
          <w:rFonts w:hint="eastAsia"/>
        </w:rPr>
        <w:t>用非导电薄膜</w:t>
      </w:r>
      <w:r w:rsidR="005141CD">
        <w:t>产地分布情况、中国</w:t>
      </w:r>
      <w:r w:rsidR="001706D8">
        <w:rPr>
          <w:rFonts w:hint="eastAsia"/>
        </w:rPr>
        <w:t>半导体</w:t>
      </w:r>
      <w:r w:rsidR="001706D8">
        <w:rPr>
          <w:rFonts w:hint="eastAsia"/>
        </w:rPr>
        <w:t>HBM</w:t>
      </w:r>
      <w:r w:rsidR="001706D8">
        <w:rPr>
          <w:rFonts w:hint="eastAsia"/>
        </w:rPr>
        <w:t>用非导电薄膜</w:t>
      </w:r>
      <w:r w:rsidR="005141CD">
        <w:t>进出口情况以及行业并购情况等。</w:t>
      </w:r>
      <w:r w:rsidRPr="008D6564">
        <w:rPr>
          <w:rFonts w:hint="eastAsia"/>
        </w:rPr>
        <w:t>如果您有兴趣了解详情，薇</w:t>
      </w:r>
      <w:r>
        <w:rPr>
          <w:rFonts w:hint="eastAsia"/>
        </w:rPr>
        <w:t xml:space="preserve"> </w:t>
      </w:r>
      <w:r w:rsidRPr="008D6564">
        <w:rPr>
          <w:rFonts w:hint="eastAsia"/>
        </w:rPr>
        <w:t xml:space="preserve">joie  </w:t>
      </w:r>
      <w:r w:rsidRPr="008D6564">
        <w:rPr>
          <w:rFonts w:hint="eastAsia"/>
        </w:rPr>
        <w:t>：</w:t>
      </w:r>
      <w:r>
        <w:rPr>
          <w:rFonts w:hint="eastAsia"/>
        </w:rPr>
        <w:t xml:space="preserve"> </w:t>
      </w:r>
      <w:r w:rsidRPr="008D6564">
        <w:rPr>
          <w:rFonts w:hint="eastAsia"/>
        </w:rPr>
        <w:t xml:space="preserve">chenyu-joie   </w:t>
      </w:r>
      <w:r w:rsidRPr="008D6564">
        <w:rPr>
          <w:rFonts w:hint="eastAsia"/>
        </w:rPr>
        <w:t>同时了解更多前沿报告及报价。</w:t>
      </w:r>
      <w:r w:rsidR="005141CD">
        <w:rPr>
          <w:rFonts w:hint="eastAsia"/>
        </w:rPr>
        <w:t>针对</w:t>
      </w:r>
      <w:r w:rsidR="001706D8">
        <w:rPr>
          <w:rFonts w:hint="eastAsia"/>
        </w:rPr>
        <w:t>半导体</w:t>
      </w:r>
      <w:r w:rsidR="001706D8">
        <w:rPr>
          <w:rFonts w:hint="eastAsia"/>
        </w:rPr>
        <w:t>HBM</w:t>
      </w:r>
      <w:r w:rsidR="001706D8">
        <w:rPr>
          <w:rFonts w:hint="eastAsia"/>
        </w:rPr>
        <w:t>用非导电薄膜</w:t>
      </w:r>
      <w:r w:rsidR="005141CD">
        <w:rPr>
          <w:rFonts w:hint="eastAsia"/>
        </w:rPr>
        <w:t>行业产品分类、应用、行业政策、产业链、生产模式、销售模式、行业发展有利因素、不利因素和进入壁垒也做了详细分析。</w:t>
      </w:r>
    </w:p>
    <w:p w:rsidR="000B429F" w:rsidRDefault="005141CD">
      <w:pPr>
        <w:pStyle w:val="a5"/>
        <w:widowControl/>
        <w:spacing w:before="240" w:beforeAutospacing="0" w:after="240" w:afterAutospacing="0" w:line="420" w:lineRule="atLeast"/>
        <w:jc w:val="both"/>
        <w:rPr>
          <w:b/>
          <w:szCs w:val="24"/>
        </w:rPr>
      </w:pPr>
      <w:r>
        <w:rPr>
          <w:rFonts w:hint="eastAsia"/>
          <w:b/>
          <w:szCs w:val="24"/>
        </w:rPr>
        <w:t>全球及中国主要厂商包括：</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lastRenderedPageBreak/>
        <w:t xml:space="preserve">    Resonac</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Henkel</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NAMICS</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晶化科技</w:t>
      </w:r>
    </w:p>
    <w:p w:rsidR="001706D8" w:rsidRPr="001706D8" w:rsidRDefault="001706D8" w:rsidP="001706D8">
      <w:pPr>
        <w:pStyle w:val="a5"/>
        <w:spacing w:before="240" w:after="240" w:line="420" w:lineRule="atLeast"/>
        <w:rPr>
          <w:rFonts w:ascii="Helvetica" w:eastAsia="Helvetica" w:hAnsi="Helvetica" w:cs="Helvetica"/>
          <w:b/>
          <w:color w:val="333333"/>
          <w:sz w:val="19"/>
          <w:szCs w:val="19"/>
        </w:rPr>
      </w:pPr>
      <w:r w:rsidRPr="001706D8">
        <w:rPr>
          <w:rFonts w:ascii="Helvetica" w:eastAsia="Helvetica" w:hAnsi="Helvetica" w:cs="Helvetica"/>
          <w:b/>
          <w:color w:val="333333"/>
          <w:sz w:val="19"/>
          <w:szCs w:val="19"/>
        </w:rPr>
        <w:t>按照不同产品类型，包括如下几个类别：</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10-25μm</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25-50μm</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其他</w:t>
      </w:r>
    </w:p>
    <w:p w:rsidR="001706D8" w:rsidRPr="001706D8" w:rsidRDefault="001706D8" w:rsidP="001706D8">
      <w:pPr>
        <w:pStyle w:val="a5"/>
        <w:spacing w:before="240" w:after="240" w:line="420" w:lineRule="atLeast"/>
        <w:rPr>
          <w:rFonts w:ascii="Helvetica" w:eastAsia="Helvetica" w:hAnsi="Helvetica" w:cs="Helvetica"/>
          <w:b/>
          <w:color w:val="333333"/>
          <w:sz w:val="19"/>
          <w:szCs w:val="19"/>
        </w:rPr>
      </w:pPr>
      <w:r w:rsidRPr="001706D8">
        <w:rPr>
          <w:rFonts w:ascii="Helvetica" w:eastAsia="Helvetica" w:hAnsi="Helvetica" w:cs="Helvetica"/>
          <w:b/>
          <w:color w:val="333333"/>
          <w:sz w:val="19"/>
          <w:szCs w:val="19"/>
        </w:rPr>
        <w:t>按照不同应用，主要包括如下几个方面：</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HBM2</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HBM2E</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HBM3</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HBM3E</w:t>
      </w:r>
    </w:p>
    <w:p w:rsidR="001706D8" w:rsidRPr="001706D8" w:rsidRDefault="001706D8" w:rsidP="001706D8">
      <w:pPr>
        <w:pStyle w:val="a5"/>
        <w:spacing w:before="240" w:after="240" w:line="420" w:lineRule="atLeast"/>
        <w:rPr>
          <w:rFonts w:ascii="Helvetica" w:eastAsia="Helvetica" w:hAnsi="Helvetica" w:cs="Helvetica"/>
          <w:color w:val="333333"/>
          <w:sz w:val="19"/>
          <w:szCs w:val="19"/>
        </w:rPr>
      </w:pPr>
      <w:r w:rsidRPr="001706D8">
        <w:rPr>
          <w:rFonts w:ascii="Helvetica" w:eastAsia="Helvetica" w:hAnsi="Helvetica" w:cs="Helvetica"/>
          <w:color w:val="333333"/>
          <w:sz w:val="19"/>
          <w:szCs w:val="19"/>
        </w:rPr>
        <w:t xml:space="preserve">    其他</w:t>
      </w:r>
    </w:p>
    <w:p w:rsidR="000B429F" w:rsidRDefault="005141CD" w:rsidP="00915849">
      <w:pPr>
        <w:pStyle w:val="a5"/>
        <w:widowControl/>
        <w:spacing w:before="240" w:after="240" w:line="420" w:lineRule="atLeast"/>
        <w:rPr>
          <w:b/>
          <w:szCs w:val="24"/>
        </w:rPr>
      </w:pPr>
      <w:r>
        <w:rPr>
          <w:b/>
          <w:szCs w:val="24"/>
        </w:rPr>
        <w:t>报告包含的主要地区和国家：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0B429F" w:rsidRDefault="005141CD">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报告正文共</w:t>
      </w:r>
      <w:r>
        <w:rPr>
          <w:rFonts w:hint="eastAsia"/>
          <w:b/>
          <w:szCs w:val="24"/>
        </w:rPr>
        <w:t>11</w:t>
      </w:r>
      <w:r>
        <w:rPr>
          <w:rFonts w:hint="eastAsia"/>
          <w:b/>
          <w:szCs w:val="24"/>
        </w:rPr>
        <w:t>章，各章节主要内容如下：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第1章：报告统计范围、产品细分、下游应用领域，以及行业发展总体概况、有利和不利因素、进入壁垒等；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第2章：全球市场供需情况、中国地区供需情况，包括主要地区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产量、销量、收入、价格及市场份额等；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第3章：全球主要地区和国家，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销量和销售收入，</w:t>
      </w:r>
      <w:r w:rsidR="00743420">
        <w:rPr>
          <w:rFonts w:ascii="Helvetica" w:eastAsia="Helvetica" w:hAnsi="Helvetica" w:cs="Helvetica"/>
          <w:color w:val="333333"/>
          <w:sz w:val="19"/>
          <w:szCs w:val="19"/>
        </w:rPr>
        <w:t>2019-2023</w:t>
      </w:r>
      <w:r w:rsidR="00743420">
        <w:rPr>
          <w:rFonts w:ascii="宋体" w:eastAsia="宋体" w:hAnsi="宋体" w:cs="宋体" w:hint="eastAsia"/>
          <w:color w:val="333333"/>
          <w:sz w:val="19"/>
          <w:szCs w:val="19"/>
        </w:rPr>
        <w:t>，及预测</w:t>
      </w:r>
      <w:r w:rsidR="00743420">
        <w:rPr>
          <w:rFonts w:ascii="Helvetica" w:eastAsia="Helvetica" w:hAnsi="Helvetica" w:cs="Helvetica"/>
          <w:color w:val="333333"/>
          <w:sz w:val="19"/>
          <w:szCs w:val="19"/>
        </w:rPr>
        <w:t>2024</w:t>
      </w:r>
      <w:r w:rsidR="00743420">
        <w:rPr>
          <w:rFonts w:ascii="宋体" w:eastAsia="宋体" w:hAnsi="宋体" w:cs="宋体" w:hint="eastAsia"/>
          <w:color w:val="333333"/>
          <w:sz w:val="19"/>
          <w:szCs w:val="19"/>
        </w:rPr>
        <w:t>到</w:t>
      </w:r>
      <w:r w:rsidR="00743420">
        <w:rPr>
          <w:rFonts w:ascii="Helvetica" w:eastAsia="Helvetica" w:hAnsi="Helvetica" w:cs="Helvetica"/>
          <w:color w:val="333333"/>
          <w:sz w:val="19"/>
          <w:szCs w:val="19"/>
        </w:rPr>
        <w:t>2030</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第4章：行业竞争格局分析，包括全球市场企业排名及市场份额、中国市场企业排名和份额、主要厂商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销量、收入、价格和市场份额等；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第5章：全球市场不同类型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第6章：全球市场不同应用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销量、收入、价格及份额等；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第7章：行业发展环境分析，包括政策、增长驱动因素、技术趋势、营销等；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第8章：行业供应链分析，包括产业链、主要原料供应情况、下游应用情况、行业采购模式、生产模式、销售模式及销售渠道等；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第9章：全球市场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主要厂商基本情况介绍，包括公司简介、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产品规格型号、销量、价格、收入及公司最新动态等；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第10章：中国市场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进出口情况分析；</w:t>
      </w:r>
    </w:p>
    <w:p w:rsidR="000B429F" w:rsidRDefault="005141CD">
      <w:pPr>
        <w:pStyle w:val="a5"/>
        <w:widowControl/>
        <w:spacing w:before="240" w:beforeAutospacing="0" w:after="240" w:afterAutospacing="0" w:line="420" w:lineRule="atLeast"/>
        <w:jc w:val="both"/>
        <w:rPr>
          <w:rFonts w:ascii="Helvetica" w:eastAsia="宋体" w:hAnsi="Helvetica" w:cs="Helvetica"/>
          <w:color w:val="333333"/>
          <w:sz w:val="19"/>
          <w:szCs w:val="19"/>
        </w:rPr>
      </w:pPr>
      <w:r>
        <w:rPr>
          <w:rFonts w:ascii="Helvetica" w:eastAsia="Helvetica" w:hAnsi="Helvetica" w:cs="Helvetica"/>
          <w:color w:val="333333"/>
          <w:sz w:val="19"/>
          <w:szCs w:val="19"/>
        </w:rPr>
        <w:t>第11章：中国市场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主要生产和消费地区分布</w:t>
      </w:r>
      <w:r>
        <w:rPr>
          <w:rFonts w:ascii="Helvetica" w:eastAsia="宋体" w:hAnsi="Helvetica" w:cs="Helvetica" w:hint="eastAsia"/>
          <w:color w:val="333333"/>
          <w:sz w:val="19"/>
          <w:szCs w:val="19"/>
        </w:rPr>
        <w:t>。</w:t>
      </w:r>
    </w:p>
    <w:p w:rsidR="00B15258" w:rsidRPr="00C725DF" w:rsidRDefault="00B15258" w:rsidP="00B15258">
      <w:pPr>
        <w:rPr>
          <w:b/>
        </w:rPr>
      </w:pPr>
      <w:r w:rsidRPr="00C725DF">
        <w:rPr>
          <w:rFonts w:hint="eastAsia"/>
          <w:b/>
        </w:rPr>
        <w:t>《辰宇信息咨询</w:t>
      </w:r>
      <w:r w:rsidRPr="00C725DF">
        <w:rPr>
          <w:rFonts w:hint="eastAsia"/>
          <w:b/>
        </w:rPr>
        <w:t xml:space="preserve"> /</w:t>
      </w:r>
      <w:r w:rsidRPr="00C725DF">
        <w:rPr>
          <w:rFonts w:hint="eastAsia"/>
          <w:b/>
        </w:rPr>
        <w:t>全球及中国</w:t>
      </w:r>
      <w:r w:rsidR="001706D8">
        <w:rPr>
          <w:rFonts w:hint="eastAsia"/>
          <w:b/>
          <w:bCs/>
        </w:rPr>
        <w:t>半导体</w:t>
      </w:r>
      <w:r w:rsidR="001706D8">
        <w:rPr>
          <w:rFonts w:hint="eastAsia"/>
          <w:b/>
          <w:bCs/>
        </w:rPr>
        <w:t>HBM</w:t>
      </w:r>
      <w:r w:rsidR="001706D8">
        <w:rPr>
          <w:rFonts w:hint="eastAsia"/>
          <w:b/>
          <w:bCs/>
        </w:rPr>
        <w:t>用非导电薄膜</w:t>
      </w:r>
      <w:r w:rsidRPr="00C725DF">
        <w:rPr>
          <w:rFonts w:hint="eastAsia"/>
          <w:b/>
        </w:rPr>
        <w:t>行业研究及十</w:t>
      </w:r>
      <w:r w:rsidR="004857F7">
        <w:rPr>
          <w:rFonts w:hint="eastAsia"/>
          <w:b/>
        </w:rPr>
        <w:t>五</w:t>
      </w:r>
      <w:r w:rsidRPr="00C725DF">
        <w:rPr>
          <w:rFonts w:hint="eastAsia"/>
          <w:b/>
        </w:rPr>
        <w:t>五规划分析报告》</w:t>
      </w:r>
    </w:p>
    <w:p w:rsidR="000B429F" w:rsidRDefault="005141CD">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0B429F" w:rsidRDefault="005141CD">
      <w:pPr>
        <w:pStyle w:val="a5"/>
        <w:widowControl/>
        <w:spacing w:before="240" w:beforeAutospacing="0" w:after="240" w:afterAutospacing="0" w:line="420" w:lineRule="atLeast"/>
        <w:jc w:val="both"/>
        <w:rPr>
          <w:b/>
          <w:szCs w:val="24"/>
        </w:rPr>
      </w:pPr>
      <w:r>
        <w:rPr>
          <w:rFonts w:hint="eastAsia"/>
          <w:b/>
          <w:szCs w:val="24"/>
        </w:rPr>
        <w:t xml:space="preserve">1 </w:t>
      </w:r>
      <w:r w:rsidR="001706D8">
        <w:rPr>
          <w:rFonts w:hint="eastAsia"/>
          <w:b/>
          <w:szCs w:val="24"/>
        </w:rPr>
        <w:t>半导体</w:t>
      </w:r>
      <w:r w:rsidR="001706D8">
        <w:rPr>
          <w:rFonts w:hint="eastAsia"/>
          <w:b/>
          <w:szCs w:val="24"/>
        </w:rPr>
        <w:t>HBM</w:t>
      </w:r>
      <w:r w:rsidR="001706D8">
        <w:rPr>
          <w:rFonts w:hint="eastAsia"/>
          <w:b/>
          <w:szCs w:val="24"/>
        </w:rPr>
        <w:t>用非导电薄膜</w:t>
      </w:r>
      <w:r>
        <w:rPr>
          <w:rFonts w:hint="eastAsia"/>
          <w:b/>
          <w:szCs w:val="24"/>
        </w:rPr>
        <w:t>市场概述</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1.1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行业概述及统计范围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 按照不同类型，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主要可以分为如下几个类别</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1.2.1 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 从不同</w:t>
      </w:r>
      <w:r>
        <w:rPr>
          <w:rFonts w:ascii="Helvetica" w:eastAsia="宋体" w:hAnsi="Helvetica" w:cs="Helvetica" w:hint="eastAsia"/>
          <w:color w:val="333333"/>
          <w:sz w:val="19"/>
          <w:szCs w:val="19"/>
        </w:rPr>
        <w:t>尺寸或应用</w:t>
      </w:r>
      <w:r>
        <w:rPr>
          <w:rFonts w:ascii="Helvetica" w:eastAsia="Helvetica" w:hAnsi="Helvetica" w:cs="Helvetica"/>
          <w:color w:val="333333"/>
          <w:sz w:val="19"/>
          <w:szCs w:val="19"/>
        </w:rPr>
        <w:t>，</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主要包括如下几个方面</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1.3.1 不同</w:t>
      </w:r>
      <w:r>
        <w:rPr>
          <w:rFonts w:ascii="Helvetica" w:eastAsia="宋体" w:hAnsi="Helvetica" w:cs="Helvetica" w:hint="eastAsia"/>
          <w:color w:val="333333"/>
          <w:sz w:val="19"/>
          <w:szCs w:val="19"/>
        </w:rPr>
        <w:t>尺寸或应用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增长趋势</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 行业发展现状分析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1.4.1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行业发展总体概况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1.4.2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行业发展主要特点</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1.4.3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行业发展影响因素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1.4.4 进入行业壁垒</w:t>
      </w:r>
    </w:p>
    <w:p w:rsidR="000B429F" w:rsidRDefault="005141CD">
      <w:pPr>
        <w:pStyle w:val="a5"/>
        <w:widowControl/>
        <w:spacing w:before="240" w:beforeAutospacing="0" w:after="240" w:afterAutospacing="0" w:line="420" w:lineRule="atLeast"/>
        <w:jc w:val="both"/>
        <w:rPr>
          <w:b/>
          <w:szCs w:val="24"/>
        </w:rPr>
      </w:pPr>
      <w:r>
        <w:rPr>
          <w:b/>
          <w:szCs w:val="24"/>
        </w:rPr>
        <w:t xml:space="preserve">2 </w:t>
      </w:r>
      <w:r>
        <w:rPr>
          <w:b/>
          <w:szCs w:val="24"/>
        </w:rPr>
        <w:t>行业发展现状及</w:t>
      </w:r>
      <w:r>
        <w:rPr>
          <w:b/>
          <w:szCs w:val="24"/>
        </w:rPr>
        <w:t>“</w:t>
      </w:r>
      <w:r>
        <w:rPr>
          <w:b/>
          <w:szCs w:val="24"/>
        </w:rPr>
        <w:t>十四五</w:t>
      </w:r>
      <w:r>
        <w:rPr>
          <w:b/>
          <w:szCs w:val="24"/>
        </w:rPr>
        <w:t>”</w:t>
      </w:r>
      <w:r>
        <w:rPr>
          <w:b/>
          <w:szCs w:val="24"/>
        </w:rPr>
        <w:t>前景预测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 全球</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2.1.1 全球</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2.1.2 全球</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产量、需求量及发展趋势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2.1.3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供需现状及预测</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2.2.1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产能、产量、产能利用率及发展趋势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2.2.2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产量、市场需求量及发展趋势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2.2.3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产能和产量占全球的比重</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 全球</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2.3.1 全球市场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2.3.2 全球市场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2.3.3 全球市场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价格趋势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2.4.1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2.4.2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2.4.3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销量和收入占全球的比重</w:t>
      </w:r>
    </w:p>
    <w:p w:rsidR="000B429F" w:rsidRDefault="005141CD">
      <w:pPr>
        <w:pStyle w:val="a5"/>
        <w:widowControl/>
        <w:spacing w:before="240" w:beforeAutospacing="0" w:after="240" w:afterAutospacing="0" w:line="420" w:lineRule="atLeast"/>
        <w:jc w:val="both"/>
        <w:rPr>
          <w:b/>
          <w:szCs w:val="24"/>
        </w:rPr>
      </w:pPr>
      <w:r>
        <w:rPr>
          <w:b/>
          <w:szCs w:val="24"/>
        </w:rPr>
        <w:t xml:space="preserve">3 </w:t>
      </w:r>
      <w:r>
        <w:rPr>
          <w:b/>
          <w:szCs w:val="24"/>
        </w:rPr>
        <w:t>全球</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主要地区分析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市场规模分析：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3.1.1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3.1.2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销量分析：</w:t>
      </w:r>
      <w:r w:rsidR="00743420">
        <w:rPr>
          <w:rFonts w:ascii="Helvetica" w:eastAsia="Helvetica" w:hAnsi="Helvetica" w:cs="Helvetica"/>
          <w:color w:val="333333"/>
          <w:sz w:val="19"/>
          <w:szCs w:val="19"/>
        </w:rPr>
        <w:t>2019 VS 2023 VS 2030</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3.2.1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年）</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3.2.2 全球主要地区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 北美（美国和加拿大）</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3.3.1 北美（美国和加拿大）</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3.3.2 北美（美国和加拿大）</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 欧洲（德国、英国、法国和意大利等国家）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3.4.1 欧洲（德国、英国、法国和意大利等国家）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3.4.2 欧洲（德国、英国、法国和意大利等国家）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 亚太地区（中国、日本、韩国、中国台湾、印度和东南亚等）</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3.5.1 亚太（中国、日本、韩国、中国台湾、印度和东南亚等）</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3.5.2 亚太（中国、日本、韩国、中国台湾、印度和东南亚等）</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 拉美地区（墨西哥、巴西等国家）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3.6.1 拉美地区（墨西哥、巴西等国家）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3.6.2 拉美地区（墨西哥、巴西等国家）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 中东及非洲</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3.7.1 中东及非洲（土耳其、沙特等国家）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3.7.2 中东及非洲（土耳其、沙特等国家）</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4 </w:t>
      </w:r>
      <w:r>
        <w:rPr>
          <w:b/>
          <w:szCs w:val="24"/>
        </w:rPr>
        <w:t>行业竞争格局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 全球市场竞争格局分析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4.1.1 全球市场主要厂商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产能市场份额</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4.1.2 全球市场主要厂商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4.1.3 全球市场主要厂商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4.1.4 全球市场主要厂商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4.1.5 2021年全球主要生产商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 中国市场竞争格局</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4.2.1 中国市场主要厂商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4.2.2 中国市场主要厂商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4.2.3 中国市场主要厂商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销售价格</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4.2.4 2021年中国主要生产商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收入排名</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4.3 全球主要厂商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产地分布及商业化日期</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4.4 全球主要厂商</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产品类型列表</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行业集中度、竞争程度分析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4.5.1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行业集中度分析：全球头部厂商份额（Top 5）</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4.5.2 全球</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第一梯队、第二梯队和第三梯队生产商（品牌）及市场份额</w:t>
      </w:r>
    </w:p>
    <w:p w:rsidR="000B429F" w:rsidRDefault="005141CD">
      <w:pPr>
        <w:pStyle w:val="a5"/>
        <w:widowControl/>
        <w:spacing w:before="240" w:beforeAutospacing="0" w:after="240" w:afterAutospacing="0" w:line="420" w:lineRule="atLeast"/>
        <w:jc w:val="both"/>
        <w:rPr>
          <w:b/>
          <w:szCs w:val="24"/>
        </w:rPr>
      </w:pPr>
      <w:r>
        <w:rPr>
          <w:b/>
          <w:szCs w:val="24"/>
        </w:rPr>
        <w:t xml:space="preserve">5 </w:t>
      </w:r>
      <w:r>
        <w:rPr>
          <w:b/>
          <w:szCs w:val="24"/>
        </w:rPr>
        <w:t>不同类型</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5.1.1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5.1.2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5.2.1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5.2.2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5.3 全球市场不同类型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5.4.1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5.4.2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5.5.1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5.5.2 中国市场不同类型</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6 </w:t>
      </w:r>
      <w:r>
        <w:rPr>
          <w:b/>
          <w:szCs w:val="24"/>
        </w:rPr>
        <w:t>不同</w:t>
      </w:r>
      <w:r>
        <w:rPr>
          <w:rFonts w:hint="eastAsia"/>
          <w:b/>
          <w:szCs w:val="24"/>
        </w:rPr>
        <w:t>应用</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6.1.1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6.1.2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6.2.1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6.2.2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6.3 全球市场不同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价格走势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6.4.1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6.4.2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销量预测（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6.5.1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收入及市场份额</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2019-2024</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6.5.2 中国市场不同</w:t>
      </w:r>
      <w:r>
        <w:rPr>
          <w:rFonts w:ascii="Helvetica" w:eastAsia="宋体" w:hAnsi="Helvetica" w:cs="Helvetica" w:hint="eastAsia"/>
          <w:color w:val="333333"/>
          <w:sz w:val="19"/>
          <w:szCs w:val="19"/>
        </w:rPr>
        <w:t>应用</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收入预测（</w:t>
      </w:r>
      <w:r w:rsidR="00316DFB">
        <w:rPr>
          <w:rFonts w:ascii="Helvetica" w:eastAsia="Helvetica" w:hAnsi="Helvetica" w:cs="Helvetica"/>
          <w:color w:val="333333"/>
          <w:sz w:val="19"/>
          <w:szCs w:val="19"/>
        </w:rPr>
        <w:t>2024-2029</w:t>
      </w:r>
      <w:r>
        <w:rPr>
          <w:rFonts w:ascii="Helvetica" w:eastAsia="Helvetica" w:hAnsi="Helvetica" w:cs="Helvetica"/>
          <w:color w:val="333333"/>
          <w:sz w:val="19"/>
          <w:szCs w:val="19"/>
        </w:rPr>
        <w:t>）</w:t>
      </w:r>
    </w:p>
    <w:p w:rsidR="000B429F" w:rsidRDefault="005141CD">
      <w:pPr>
        <w:pStyle w:val="a5"/>
        <w:widowControl/>
        <w:spacing w:before="240" w:beforeAutospacing="0" w:after="240" w:afterAutospacing="0" w:line="420" w:lineRule="atLeast"/>
        <w:jc w:val="both"/>
        <w:rPr>
          <w:b/>
          <w:szCs w:val="24"/>
        </w:rPr>
      </w:pPr>
      <w:r>
        <w:rPr>
          <w:b/>
          <w:szCs w:val="24"/>
        </w:rPr>
        <w:t xml:space="preserve">7 </w:t>
      </w:r>
      <w:r>
        <w:rPr>
          <w:b/>
          <w:szCs w:val="24"/>
        </w:rPr>
        <w:t>行业发展环境分析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7.1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行业发展趋势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7.2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行业主要驱动因素</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7.3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中国企业SWOT分析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行业政策环境分析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7.4.1 行业主管部门及监管体制</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7.4.2 行业相关政策动向</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7.4.3 行业相关规划</w:t>
      </w:r>
    </w:p>
    <w:p w:rsidR="000B429F" w:rsidRDefault="005141CD">
      <w:pPr>
        <w:pStyle w:val="a5"/>
        <w:widowControl/>
        <w:spacing w:before="240" w:beforeAutospacing="0" w:after="240" w:afterAutospacing="0" w:line="420" w:lineRule="atLeast"/>
        <w:jc w:val="both"/>
        <w:rPr>
          <w:b/>
          <w:szCs w:val="24"/>
        </w:rPr>
      </w:pPr>
      <w:r>
        <w:rPr>
          <w:b/>
          <w:szCs w:val="24"/>
        </w:rPr>
        <w:t xml:space="preserve">8 </w:t>
      </w:r>
      <w:r>
        <w:rPr>
          <w:b/>
          <w:szCs w:val="24"/>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8.1 全球产业链趋势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行业产业链简介</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8.2.1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行业供应链分析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8.2.2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主要原料及供应情况</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8.2.3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行业主要下游客户</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8.3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行业采购模式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8.4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行业生产模式</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xml:space="preserve">    8.5 </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行业销售模式及销售渠道</w:t>
      </w:r>
    </w:p>
    <w:p w:rsidR="000B429F" w:rsidRDefault="005141CD">
      <w:pPr>
        <w:pStyle w:val="a5"/>
        <w:widowControl/>
        <w:spacing w:before="240" w:beforeAutospacing="0" w:after="240" w:afterAutospacing="0" w:line="420" w:lineRule="atLeast"/>
        <w:jc w:val="both"/>
        <w:rPr>
          <w:b/>
          <w:szCs w:val="24"/>
        </w:rPr>
      </w:pPr>
      <w:r>
        <w:rPr>
          <w:b/>
          <w:szCs w:val="24"/>
        </w:rPr>
        <w:t xml:space="preserve">9 </w:t>
      </w:r>
      <w:r>
        <w:rPr>
          <w:b/>
          <w:szCs w:val="24"/>
        </w:rPr>
        <w:t>全球市场主要</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厂商简介</w:t>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Pr="00743420">
        <w:rPr>
          <w:rFonts w:ascii="Helvetica" w:hAnsi="Helvetica" w:cs="Helvetic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企业一公司信息、</w:t>
      </w:r>
      <w:r w:rsidR="001706D8">
        <w:rPr>
          <w:rFonts w:ascii="Helvetica" w:hAnsi="Helvetica" w:cs="Helvetica" w:hint="eastAsia"/>
          <w:color w:val="333333"/>
          <w:sz w:val="19"/>
          <w:szCs w:val="19"/>
        </w:rPr>
        <w:t>半导体</w:t>
      </w:r>
      <w:r w:rsidR="001706D8">
        <w:rPr>
          <w:rFonts w:ascii="Helvetica" w:hAnsi="Helvetica" w:cs="Helvetica" w:hint="eastAsia"/>
          <w:color w:val="333333"/>
          <w:sz w:val="19"/>
          <w:szCs w:val="19"/>
        </w:rPr>
        <w:t>HBM</w:t>
      </w:r>
      <w:r w:rsidR="001706D8">
        <w:rPr>
          <w:rFonts w:ascii="Helvetica" w:hAnsi="Helvetica" w:cs="Helvetica" w:hint="eastAsia"/>
          <w:color w:val="333333"/>
          <w:sz w:val="19"/>
          <w:szCs w:val="19"/>
        </w:rPr>
        <w:t>用非导电薄膜</w:t>
      </w:r>
      <w:r w:rsidRPr="00743420">
        <w:rPr>
          <w:rFonts w:ascii="Helvetica" w:hAnsi="Helvetica" w:cs="Helvetica" w:hint="eastAsia"/>
          <w:color w:val="333333"/>
          <w:sz w:val="19"/>
          <w:szCs w:val="19"/>
        </w:rPr>
        <w:t>生产基地、销售区域、竞争对手及市场地位</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1706D8">
        <w:rPr>
          <w:rFonts w:ascii="Helvetica" w:hAnsi="Helvetica" w:cs="Helvetica" w:hint="eastAsia"/>
          <w:color w:val="333333"/>
          <w:sz w:val="19"/>
          <w:szCs w:val="19"/>
        </w:rPr>
        <w:t>半导体</w:t>
      </w:r>
      <w:r w:rsidR="001706D8">
        <w:rPr>
          <w:rFonts w:ascii="Helvetica" w:hAnsi="Helvetica" w:cs="Helvetica" w:hint="eastAsia"/>
          <w:color w:val="333333"/>
          <w:sz w:val="19"/>
          <w:szCs w:val="19"/>
        </w:rPr>
        <w:t>HBM</w:t>
      </w:r>
      <w:r w:rsidR="001706D8">
        <w:rPr>
          <w:rFonts w:ascii="Helvetica" w:hAnsi="Helvetica" w:cs="Helvetica" w:hint="eastAsia"/>
          <w:color w:val="333333"/>
          <w:sz w:val="19"/>
          <w:szCs w:val="19"/>
        </w:rPr>
        <w:t>用非导电薄膜</w:t>
      </w:r>
      <w:r w:rsidRPr="00743420">
        <w:rPr>
          <w:rFonts w:ascii="Helvetica" w:hAnsi="Helvetica" w:cs="Helvetica" w:hint="eastAsia"/>
          <w:color w:val="333333"/>
          <w:sz w:val="19"/>
          <w:szCs w:val="19"/>
        </w:rPr>
        <w:t>产品规格、参数及市场应用</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w:t>
      </w:r>
      <w:r w:rsidR="001706D8">
        <w:rPr>
          <w:rFonts w:ascii="Helvetica" w:hAnsi="Helvetica" w:cs="Helvetica" w:hint="eastAsia"/>
          <w:color w:val="333333"/>
          <w:sz w:val="19"/>
          <w:szCs w:val="19"/>
        </w:rPr>
        <w:t>半导体</w:t>
      </w:r>
      <w:r w:rsidR="001706D8">
        <w:rPr>
          <w:rFonts w:ascii="Helvetica" w:hAnsi="Helvetica" w:cs="Helvetica" w:hint="eastAsia"/>
          <w:color w:val="333333"/>
          <w:sz w:val="19"/>
          <w:szCs w:val="19"/>
        </w:rPr>
        <w:t>HBM</w:t>
      </w:r>
      <w:r w:rsidR="001706D8">
        <w:rPr>
          <w:rFonts w:ascii="Helvetica" w:hAnsi="Helvetica" w:cs="Helvetica" w:hint="eastAsia"/>
          <w:color w:val="333333"/>
          <w:sz w:val="19"/>
          <w:szCs w:val="19"/>
        </w:rPr>
        <w:t>用非导电薄膜</w:t>
      </w:r>
      <w:r w:rsidRPr="00743420">
        <w:rPr>
          <w:rFonts w:ascii="Helvetica" w:hAnsi="Helvetica" w:cs="Helvetica" w:hint="eastAsia"/>
          <w:color w:val="333333"/>
          <w:sz w:val="19"/>
          <w:szCs w:val="19"/>
        </w:rPr>
        <w:t>销量、收入、价格及毛利率（</w:t>
      </w:r>
      <w:r w:rsidRPr="00743420">
        <w:rPr>
          <w:rFonts w:ascii="Helvetica" w:hAnsi="Helvetica" w:cs="Helvetica" w:hint="eastAsia"/>
          <w:color w:val="333333"/>
          <w:sz w:val="19"/>
          <w:szCs w:val="19"/>
        </w:rPr>
        <w:t>2019-2024</w:t>
      </w:r>
      <w:r w:rsidRPr="00743420">
        <w:rPr>
          <w:rFonts w:ascii="Helvetica" w:hAnsi="Helvetica" w:cs="Helvetica" w:hint="eastAsia"/>
          <w:color w:val="333333"/>
          <w:sz w:val="19"/>
          <w:szCs w:val="19"/>
        </w:rPr>
        <w:t>）</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企业一公司简介及主要业务</w:t>
      </w:r>
      <w:r w:rsidRPr="00743420">
        <w:rPr>
          <w:rFonts w:ascii="Helvetica" w:hAnsi="Helvetica" w:cs="Helvetica" w:hint="eastAsia"/>
          <w:color w:val="333333"/>
          <w:sz w:val="19"/>
          <w:szCs w:val="19"/>
        </w:rPr>
        <w:tab/>
      </w:r>
    </w:p>
    <w:p w:rsidR="00743420" w:rsidRPr="00743420" w:rsidRDefault="00743420" w:rsidP="00743420">
      <w:pPr>
        <w:pStyle w:val="a5"/>
        <w:spacing w:beforeAutospacing="0" w:afterAutospacing="0"/>
        <w:jc w:val="both"/>
        <w:rPr>
          <w:rFonts w:ascii="Helvetica" w:hAnsi="Helvetica" w:cs="Helvetica"/>
          <w:color w:val="333333"/>
          <w:sz w:val="19"/>
          <w:szCs w:val="19"/>
        </w:rPr>
      </w:pPr>
      <w:r w:rsidRPr="00743420">
        <w:rPr>
          <w:rFonts w:ascii="Helvetica" w:hAnsi="Helvetica" w:cs="Helvetica" w:hint="eastAsia"/>
          <w:color w:val="333333"/>
          <w:sz w:val="19"/>
          <w:szCs w:val="19"/>
        </w:rPr>
        <w:t>企业一企业最新动态</w:t>
      </w:r>
      <w:r w:rsidRPr="00743420">
        <w:rPr>
          <w:rFonts w:ascii="Helvetica" w:hAnsi="Helvetica" w:cs="Helvetica" w:hint="eastAsia"/>
          <w:color w:val="333333"/>
          <w:sz w:val="19"/>
          <w:szCs w:val="19"/>
        </w:rPr>
        <w:tab/>
      </w:r>
    </w:p>
    <w:p w:rsidR="000B429F" w:rsidRDefault="005141CD">
      <w:pPr>
        <w:pStyle w:val="a5"/>
        <w:widowControl/>
        <w:spacing w:before="240" w:beforeAutospacing="0" w:after="240" w:afterAutospacing="0" w:line="420" w:lineRule="atLeast"/>
        <w:jc w:val="both"/>
        <w:rPr>
          <w:b/>
          <w:szCs w:val="24"/>
        </w:rPr>
      </w:pPr>
      <w:r>
        <w:rPr>
          <w:b/>
          <w:szCs w:val="24"/>
        </w:rPr>
        <w:t xml:space="preserve">10 </w:t>
      </w:r>
      <w:r>
        <w:rPr>
          <w:b/>
          <w:szCs w:val="24"/>
        </w:rPr>
        <w:t>中国市场</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产量、销量、进出口分析及未来趋势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10.1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产量、销量、进出口分析及未来趋势</w:t>
      </w:r>
      <w:r w:rsidR="00743420">
        <w:rPr>
          <w:rFonts w:ascii="宋体" w:eastAsia="宋体" w:hAnsi="宋体" w:cs="宋体" w:hint="eastAsia"/>
          <w:color w:val="333333"/>
          <w:sz w:val="19"/>
          <w:szCs w:val="19"/>
        </w:rPr>
        <w:t>（</w:t>
      </w:r>
      <w:r w:rsidR="00743420">
        <w:rPr>
          <w:rFonts w:ascii="Helvetica" w:eastAsia="Helvetica" w:hAnsi="Helvetica" w:cs="Helvetica"/>
          <w:color w:val="333333"/>
          <w:sz w:val="19"/>
          <w:szCs w:val="19"/>
        </w:rPr>
        <w:t>2019-2030</w:t>
      </w:r>
      <w:r w:rsidR="00743420">
        <w:rPr>
          <w:rFonts w:ascii="宋体" w:eastAsia="宋体" w:hAnsi="宋体" w:cs="宋体" w:hint="eastAsia"/>
          <w:color w:val="333333"/>
          <w:sz w:val="19"/>
          <w:szCs w:val="19"/>
        </w:rPr>
        <w:t>）</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10.2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进出口贸易趋势</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10.3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主要进口来源</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10.4 中国市场</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主要出口目的地</w:t>
      </w:r>
    </w:p>
    <w:p w:rsidR="000B429F" w:rsidRDefault="005141CD">
      <w:pPr>
        <w:pStyle w:val="a5"/>
        <w:widowControl/>
        <w:spacing w:before="240" w:beforeAutospacing="0" w:after="240" w:afterAutospacing="0" w:line="420" w:lineRule="atLeast"/>
        <w:jc w:val="both"/>
        <w:rPr>
          <w:b/>
          <w:szCs w:val="24"/>
        </w:rPr>
      </w:pPr>
      <w:r>
        <w:rPr>
          <w:b/>
          <w:szCs w:val="24"/>
        </w:rPr>
        <w:t xml:space="preserve">11 </w:t>
      </w:r>
      <w:r>
        <w:rPr>
          <w:b/>
          <w:szCs w:val="24"/>
        </w:rPr>
        <w:t>中国市场</w:t>
      </w:r>
      <w:r w:rsidR="001706D8">
        <w:rPr>
          <w:rFonts w:hint="eastAsia"/>
          <w:b/>
          <w:szCs w:val="24"/>
        </w:rPr>
        <w:t>半导体</w:t>
      </w:r>
      <w:r w:rsidR="001706D8">
        <w:rPr>
          <w:rFonts w:hint="eastAsia"/>
          <w:b/>
          <w:szCs w:val="24"/>
        </w:rPr>
        <w:t>HBM</w:t>
      </w:r>
      <w:r w:rsidR="001706D8">
        <w:rPr>
          <w:rFonts w:hint="eastAsia"/>
          <w:b/>
          <w:szCs w:val="24"/>
        </w:rPr>
        <w:t>用非导电薄膜</w:t>
      </w:r>
      <w:r>
        <w:rPr>
          <w:b/>
          <w:szCs w:val="24"/>
        </w:rPr>
        <w:t>主要地区分布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11.1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生产地区分布</w:t>
      </w:r>
    </w:p>
    <w:p w:rsidR="000B429F" w:rsidRDefault="005141CD">
      <w:pPr>
        <w:pStyle w:val="a5"/>
        <w:widowControl/>
        <w:spacing w:before="240" w:beforeAutospacing="0" w:after="240" w:afterAutospacing="0" w:line="420" w:lineRule="atLeast"/>
        <w:jc w:val="both"/>
        <w:rPr>
          <w:rFonts w:ascii="Microsoft YaHei UI" w:eastAsia="Microsoft YaHei UI" w:hAnsi="Microsoft YaHei UI" w:cs="Microsoft YaHei UI"/>
          <w:color w:val="333333"/>
          <w:sz w:val="20"/>
          <w:szCs w:val="20"/>
        </w:rPr>
      </w:pPr>
      <w:r>
        <w:rPr>
          <w:rFonts w:ascii="Helvetica" w:eastAsia="Helvetica" w:hAnsi="Helvetica" w:cs="Helvetica"/>
          <w:color w:val="333333"/>
          <w:sz w:val="19"/>
          <w:szCs w:val="19"/>
        </w:rPr>
        <w:t>    11.2 中国</w:t>
      </w:r>
      <w:r w:rsidR="001706D8">
        <w:rPr>
          <w:rFonts w:ascii="Helvetica" w:eastAsia="宋体" w:hAnsi="Helvetica" w:cs="Helvetica" w:hint="eastAsia"/>
          <w:color w:val="333333"/>
          <w:sz w:val="19"/>
          <w:szCs w:val="19"/>
        </w:rPr>
        <w:t>半导体</w:t>
      </w:r>
      <w:r w:rsidR="001706D8">
        <w:rPr>
          <w:rFonts w:ascii="Helvetica" w:eastAsia="宋体" w:hAnsi="Helvetica" w:cs="Helvetica" w:hint="eastAsia"/>
          <w:color w:val="333333"/>
          <w:sz w:val="19"/>
          <w:szCs w:val="19"/>
        </w:rPr>
        <w:t>HBM</w:t>
      </w:r>
      <w:r w:rsidR="001706D8">
        <w:rPr>
          <w:rFonts w:ascii="Helvetica" w:eastAsia="宋体" w:hAnsi="Helvetica" w:cs="Helvetica" w:hint="eastAsia"/>
          <w:color w:val="333333"/>
          <w:sz w:val="19"/>
          <w:szCs w:val="19"/>
        </w:rPr>
        <w:t>用非导电薄膜</w:t>
      </w:r>
      <w:r>
        <w:rPr>
          <w:rFonts w:ascii="Helvetica" w:eastAsia="Helvetica" w:hAnsi="Helvetica" w:cs="Helvetica"/>
          <w:color w:val="333333"/>
          <w:sz w:val="19"/>
          <w:szCs w:val="19"/>
        </w:rPr>
        <w:t>消费地区分布</w:t>
      </w:r>
    </w:p>
    <w:p w:rsidR="000B429F" w:rsidRDefault="005141CD">
      <w:pPr>
        <w:rPr>
          <w:b/>
        </w:rPr>
      </w:pPr>
      <w:r>
        <w:rPr>
          <w:rFonts w:hint="eastAsia"/>
          <w:b/>
        </w:rPr>
        <w:t>▲资料来源：更多资料请参考发布的《全球及中国</w:t>
      </w:r>
      <w:r w:rsidR="001706D8">
        <w:rPr>
          <w:rFonts w:hint="eastAsia"/>
          <w:b/>
          <w:bCs/>
        </w:rPr>
        <w:t>半导体</w:t>
      </w:r>
      <w:r w:rsidR="001706D8">
        <w:rPr>
          <w:rFonts w:hint="eastAsia"/>
          <w:b/>
          <w:bCs/>
        </w:rPr>
        <w:t>HBM</w:t>
      </w:r>
      <w:r w:rsidR="001706D8">
        <w:rPr>
          <w:rFonts w:hint="eastAsia"/>
          <w:b/>
          <w:bCs/>
        </w:rPr>
        <w:t>用非导电薄膜</w:t>
      </w:r>
      <w:r>
        <w:rPr>
          <w:rFonts w:hint="eastAsia"/>
          <w:b/>
        </w:rPr>
        <w:t>行业研究及十</w:t>
      </w:r>
      <w:r w:rsidR="004857F7">
        <w:rPr>
          <w:rFonts w:hint="eastAsia"/>
          <w:b/>
        </w:rPr>
        <w:t>五</w:t>
      </w:r>
      <w:r>
        <w:rPr>
          <w:rFonts w:hint="eastAsia"/>
          <w:b/>
        </w:rPr>
        <w:t>五规划分析报告》</w:t>
      </w:r>
    </w:p>
    <w:p w:rsidR="000B429F" w:rsidRDefault="005141CD">
      <w:r>
        <w:rPr>
          <w:rFonts w:hint="eastAsia"/>
        </w:rPr>
        <w:t>同时，</w:t>
      </w:r>
      <w:r w:rsidR="00B1478A" w:rsidRPr="00B1478A">
        <w:rPr>
          <w:rFonts w:hint="eastAsia"/>
          <w:b/>
        </w:rPr>
        <w:t>辰宇信息咨询</w:t>
      </w:r>
      <w:r w:rsidR="00B1478A" w:rsidRPr="00B1478A">
        <w:rPr>
          <w:rFonts w:hint="eastAsia"/>
        </w:rPr>
        <w:t>提供专业市场研究报告、定制研究、管理咨询、</w:t>
      </w:r>
      <w:r w:rsidR="00B1478A" w:rsidRPr="00B1478A">
        <w:rPr>
          <w:rFonts w:hint="eastAsia"/>
        </w:rPr>
        <w:t>IPO</w:t>
      </w:r>
      <w:r w:rsidR="00B1478A" w:rsidRPr="00B1478A">
        <w:rPr>
          <w:rFonts w:hint="eastAsia"/>
        </w:rPr>
        <w:t>咨询、产业链等分析报告，涵盖化工材料、机械设备、医疗设备及耗材、电子半导体、软件、包装、网络及通信、汽车交通、医疗护理、原料药品及保健品等</w:t>
      </w:r>
      <w:r w:rsidR="00B1478A" w:rsidRPr="00B1478A">
        <w:rPr>
          <w:rFonts w:hint="eastAsia"/>
        </w:rPr>
        <w:t>30</w:t>
      </w:r>
      <w:r w:rsidR="00B1478A" w:rsidRPr="00B1478A">
        <w:rPr>
          <w:rFonts w:hint="eastAsia"/>
        </w:rPr>
        <w:t>多个行业。</w:t>
      </w:r>
      <w:r w:rsidR="00B1478A">
        <w:rPr>
          <w:rFonts w:hint="eastAsia"/>
        </w:rPr>
        <w:t>（</w:t>
      </w:r>
      <w:r w:rsidR="00B1478A" w:rsidRPr="00B1478A">
        <w:rPr>
          <w:rFonts w:hint="eastAsia"/>
        </w:rPr>
        <w:t>制造业单项冠军申请和专精特新“小巨人”</w:t>
      </w:r>
      <w:r w:rsidR="00B1478A">
        <w:rPr>
          <w:rFonts w:hint="eastAsia"/>
        </w:rPr>
        <w:t>等</w:t>
      </w:r>
      <w:r w:rsidR="00B1478A" w:rsidRPr="00B1478A">
        <w:rPr>
          <w:rFonts w:hint="eastAsia"/>
        </w:rPr>
        <w:t>项目申请的企业市占率服务。</w:t>
      </w:r>
      <w:r w:rsidR="00B1478A">
        <w:rPr>
          <w:rFonts w:hint="eastAsia"/>
        </w:rPr>
        <w:t>）</w:t>
      </w:r>
    </w:p>
    <w:sectPr w:rsidR="000B429F" w:rsidSect="000B4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7FED" w:rsidRDefault="00447FED" w:rsidP="00316DFB">
      <w:r>
        <w:separator/>
      </w:r>
    </w:p>
  </w:endnote>
  <w:endnote w:type="continuationSeparator" w:id="0">
    <w:p w:rsidR="00447FED" w:rsidRDefault="00447FED" w:rsidP="00316D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icrosoft YaHei UI">
    <w:altName w:val="微软雅黑"/>
    <w:charset w:val="86"/>
    <w:family w:val="swiss"/>
    <w:pitch w:val="default"/>
    <w:sig w:usb0="00000000"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7FED" w:rsidRDefault="00447FED" w:rsidP="00316DFB">
      <w:r>
        <w:separator/>
      </w:r>
    </w:p>
  </w:footnote>
  <w:footnote w:type="continuationSeparator" w:id="0">
    <w:p w:rsidR="00447FED" w:rsidRDefault="00447FED" w:rsidP="00316DF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noPunctuationKerning/>
  <w:characterSpacingControl w:val="compressPunctuation"/>
  <w:savePreviewPicture/>
  <w:hdrShapeDefaults>
    <o:shapedefaults v:ext="edit" spidmax="542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E76"/>
    <w:rsid w:val="00013678"/>
    <w:rsid w:val="00036AFB"/>
    <w:rsid w:val="000714FC"/>
    <w:rsid w:val="00077E4A"/>
    <w:rsid w:val="00090EF7"/>
    <w:rsid w:val="000B429F"/>
    <w:rsid w:val="000B7EC1"/>
    <w:rsid w:val="000D0E8B"/>
    <w:rsid w:val="000E00F4"/>
    <w:rsid w:val="000F5347"/>
    <w:rsid w:val="001162CA"/>
    <w:rsid w:val="00160D57"/>
    <w:rsid w:val="0016528F"/>
    <w:rsid w:val="001706D8"/>
    <w:rsid w:val="00174AFE"/>
    <w:rsid w:val="00177BC6"/>
    <w:rsid w:val="001830D9"/>
    <w:rsid w:val="00191133"/>
    <w:rsid w:val="00194515"/>
    <w:rsid w:val="001A1682"/>
    <w:rsid w:val="002C4FB4"/>
    <w:rsid w:val="002D1BF8"/>
    <w:rsid w:val="002D3366"/>
    <w:rsid w:val="002E60F0"/>
    <w:rsid w:val="002F2AAF"/>
    <w:rsid w:val="00316DFB"/>
    <w:rsid w:val="00362568"/>
    <w:rsid w:val="0037039B"/>
    <w:rsid w:val="00387ABE"/>
    <w:rsid w:val="003C713C"/>
    <w:rsid w:val="003D1808"/>
    <w:rsid w:val="003D4BE0"/>
    <w:rsid w:val="003D7A20"/>
    <w:rsid w:val="003E5578"/>
    <w:rsid w:val="003F1699"/>
    <w:rsid w:val="003F2E19"/>
    <w:rsid w:val="003F6501"/>
    <w:rsid w:val="004225AE"/>
    <w:rsid w:val="00430D2E"/>
    <w:rsid w:val="00445880"/>
    <w:rsid w:val="00447FED"/>
    <w:rsid w:val="00480A5B"/>
    <w:rsid w:val="00483C79"/>
    <w:rsid w:val="004857F7"/>
    <w:rsid w:val="004A1559"/>
    <w:rsid w:val="004A331F"/>
    <w:rsid w:val="004B3FBE"/>
    <w:rsid w:val="004C323A"/>
    <w:rsid w:val="004C4E46"/>
    <w:rsid w:val="004E13CA"/>
    <w:rsid w:val="0051395F"/>
    <w:rsid w:val="005141CD"/>
    <w:rsid w:val="0052551C"/>
    <w:rsid w:val="00534C26"/>
    <w:rsid w:val="005355E8"/>
    <w:rsid w:val="00541E28"/>
    <w:rsid w:val="00545B2D"/>
    <w:rsid w:val="00552B35"/>
    <w:rsid w:val="0056202C"/>
    <w:rsid w:val="00575CFD"/>
    <w:rsid w:val="00587118"/>
    <w:rsid w:val="005922F6"/>
    <w:rsid w:val="005B38CC"/>
    <w:rsid w:val="005C0C1E"/>
    <w:rsid w:val="006056B3"/>
    <w:rsid w:val="0061565F"/>
    <w:rsid w:val="0062774F"/>
    <w:rsid w:val="00630A86"/>
    <w:rsid w:val="00633577"/>
    <w:rsid w:val="00634D87"/>
    <w:rsid w:val="00651252"/>
    <w:rsid w:val="006B3636"/>
    <w:rsid w:val="006D2C50"/>
    <w:rsid w:val="00717E52"/>
    <w:rsid w:val="007344C5"/>
    <w:rsid w:val="00740748"/>
    <w:rsid w:val="00743420"/>
    <w:rsid w:val="00744ADC"/>
    <w:rsid w:val="00786892"/>
    <w:rsid w:val="007C0E2C"/>
    <w:rsid w:val="007D56AB"/>
    <w:rsid w:val="008027E1"/>
    <w:rsid w:val="00812D7C"/>
    <w:rsid w:val="00837CF8"/>
    <w:rsid w:val="00840EBE"/>
    <w:rsid w:val="008544C7"/>
    <w:rsid w:val="00873620"/>
    <w:rsid w:val="008B1449"/>
    <w:rsid w:val="008C0F49"/>
    <w:rsid w:val="008D0545"/>
    <w:rsid w:val="008D317A"/>
    <w:rsid w:val="008D5FAC"/>
    <w:rsid w:val="008D6564"/>
    <w:rsid w:val="00900DF9"/>
    <w:rsid w:val="0091483E"/>
    <w:rsid w:val="00915849"/>
    <w:rsid w:val="00923974"/>
    <w:rsid w:val="00931034"/>
    <w:rsid w:val="00953A1F"/>
    <w:rsid w:val="00963D43"/>
    <w:rsid w:val="009E2232"/>
    <w:rsid w:val="009F136B"/>
    <w:rsid w:val="00A05304"/>
    <w:rsid w:val="00A10920"/>
    <w:rsid w:val="00A11CE2"/>
    <w:rsid w:val="00A13F17"/>
    <w:rsid w:val="00A478C6"/>
    <w:rsid w:val="00A5074D"/>
    <w:rsid w:val="00A95EBA"/>
    <w:rsid w:val="00AA0C9F"/>
    <w:rsid w:val="00AB2C53"/>
    <w:rsid w:val="00AD0261"/>
    <w:rsid w:val="00AD1F63"/>
    <w:rsid w:val="00AE0C5E"/>
    <w:rsid w:val="00AE6C7E"/>
    <w:rsid w:val="00AE6CB4"/>
    <w:rsid w:val="00B1478A"/>
    <w:rsid w:val="00B15258"/>
    <w:rsid w:val="00B15518"/>
    <w:rsid w:val="00B4219C"/>
    <w:rsid w:val="00B455B6"/>
    <w:rsid w:val="00B54BBD"/>
    <w:rsid w:val="00B65DB9"/>
    <w:rsid w:val="00C00D08"/>
    <w:rsid w:val="00C06B15"/>
    <w:rsid w:val="00C1049B"/>
    <w:rsid w:val="00C22187"/>
    <w:rsid w:val="00C72CCF"/>
    <w:rsid w:val="00C90B8B"/>
    <w:rsid w:val="00C9275B"/>
    <w:rsid w:val="00CC5F77"/>
    <w:rsid w:val="00CE23FD"/>
    <w:rsid w:val="00CF0C62"/>
    <w:rsid w:val="00CF6406"/>
    <w:rsid w:val="00D01E35"/>
    <w:rsid w:val="00D10A06"/>
    <w:rsid w:val="00D47BB5"/>
    <w:rsid w:val="00D64AF2"/>
    <w:rsid w:val="00DA4F05"/>
    <w:rsid w:val="00DB23D4"/>
    <w:rsid w:val="00DD0D9D"/>
    <w:rsid w:val="00DD5376"/>
    <w:rsid w:val="00DD73E8"/>
    <w:rsid w:val="00DD77D9"/>
    <w:rsid w:val="00E00EA2"/>
    <w:rsid w:val="00E208EA"/>
    <w:rsid w:val="00E47E30"/>
    <w:rsid w:val="00E775C0"/>
    <w:rsid w:val="00ED4A22"/>
    <w:rsid w:val="00EE1515"/>
    <w:rsid w:val="00F31D3E"/>
    <w:rsid w:val="00F56791"/>
    <w:rsid w:val="00F631A3"/>
    <w:rsid w:val="00F64054"/>
    <w:rsid w:val="00F82B62"/>
    <w:rsid w:val="00F87090"/>
    <w:rsid w:val="00FD4CD2"/>
    <w:rsid w:val="00FF1B4D"/>
    <w:rsid w:val="00FF201B"/>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29F"/>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0B429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316D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0B429F"/>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B429F"/>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0B429F"/>
    <w:pPr>
      <w:spacing w:beforeAutospacing="1" w:afterAutospacing="1"/>
      <w:jc w:val="left"/>
    </w:pPr>
    <w:rPr>
      <w:rFonts w:cs="Times New Roman"/>
      <w:kern w:val="0"/>
      <w:sz w:val="24"/>
    </w:rPr>
  </w:style>
  <w:style w:type="character" w:styleId="a6">
    <w:name w:val="Hyperlink"/>
    <w:basedOn w:val="a0"/>
    <w:uiPriority w:val="99"/>
    <w:unhideWhenUsed/>
    <w:qFormat/>
    <w:rsid w:val="000B429F"/>
    <w:rPr>
      <w:color w:val="0000FF" w:themeColor="hyperlink"/>
      <w:u w:val="single"/>
    </w:rPr>
  </w:style>
  <w:style w:type="character" w:customStyle="1" w:styleId="Char0">
    <w:name w:val="页眉 Char"/>
    <w:basedOn w:val="a0"/>
    <w:link w:val="a4"/>
    <w:uiPriority w:val="99"/>
    <w:semiHidden/>
    <w:qFormat/>
    <w:rsid w:val="000B429F"/>
    <w:rPr>
      <w:sz w:val="18"/>
      <w:szCs w:val="18"/>
    </w:rPr>
  </w:style>
  <w:style w:type="character" w:customStyle="1" w:styleId="Char">
    <w:name w:val="页脚 Char"/>
    <w:basedOn w:val="a0"/>
    <w:link w:val="a3"/>
    <w:uiPriority w:val="99"/>
    <w:semiHidden/>
    <w:qFormat/>
    <w:rsid w:val="000B429F"/>
    <w:rPr>
      <w:sz w:val="18"/>
      <w:szCs w:val="18"/>
    </w:rPr>
  </w:style>
  <w:style w:type="character" w:customStyle="1" w:styleId="2Char">
    <w:name w:val="标题 2 Char"/>
    <w:basedOn w:val="a0"/>
    <w:link w:val="2"/>
    <w:uiPriority w:val="9"/>
    <w:semiHidden/>
    <w:rsid w:val="00316DFB"/>
    <w:rPr>
      <w:rFonts w:asciiTheme="majorHAnsi" w:eastAsiaTheme="majorEastAsia" w:hAnsiTheme="majorHAnsi" w:cstheme="majorBidi"/>
      <w:b/>
      <w:bCs/>
      <w:kern w:val="2"/>
      <w:sz w:val="32"/>
      <w:szCs w:val="32"/>
    </w:rPr>
  </w:style>
  <w:style w:type="paragraph" w:styleId="HTML">
    <w:name w:val="HTML Preformatted"/>
    <w:basedOn w:val="a"/>
    <w:link w:val="HTMLChar"/>
    <w:uiPriority w:val="99"/>
    <w:semiHidden/>
    <w:unhideWhenUsed/>
    <w:rsid w:val="00915849"/>
    <w:rPr>
      <w:rFonts w:ascii="Courier New" w:hAnsi="Courier New" w:cs="Courier New"/>
      <w:sz w:val="20"/>
      <w:szCs w:val="20"/>
    </w:rPr>
  </w:style>
  <w:style w:type="character" w:customStyle="1" w:styleId="HTMLChar">
    <w:name w:val="HTML 预设格式 Char"/>
    <w:basedOn w:val="a0"/>
    <w:link w:val="HTML"/>
    <w:uiPriority w:val="99"/>
    <w:semiHidden/>
    <w:rsid w:val="00915849"/>
    <w:rPr>
      <w:rFonts w:ascii="Courier New" w:eastAsiaTheme="minorEastAsia" w:hAnsi="Courier New" w:cs="Courier New"/>
      <w:kern w:val="2"/>
    </w:rPr>
  </w:style>
</w:styles>
</file>

<file path=word/webSettings.xml><?xml version="1.0" encoding="utf-8"?>
<w:webSettings xmlns:r="http://schemas.openxmlformats.org/officeDocument/2006/relationships" xmlns:w="http://schemas.openxmlformats.org/wordprocessingml/2006/main">
  <w:divs>
    <w:div w:id="13385049">
      <w:bodyDiv w:val="1"/>
      <w:marLeft w:val="0"/>
      <w:marRight w:val="0"/>
      <w:marTop w:val="0"/>
      <w:marBottom w:val="0"/>
      <w:divBdr>
        <w:top w:val="none" w:sz="0" w:space="0" w:color="auto"/>
        <w:left w:val="none" w:sz="0" w:space="0" w:color="auto"/>
        <w:bottom w:val="none" w:sz="0" w:space="0" w:color="auto"/>
        <w:right w:val="none" w:sz="0" w:space="0" w:color="auto"/>
      </w:divBdr>
    </w:div>
    <w:div w:id="28721483">
      <w:bodyDiv w:val="1"/>
      <w:marLeft w:val="0"/>
      <w:marRight w:val="0"/>
      <w:marTop w:val="0"/>
      <w:marBottom w:val="0"/>
      <w:divBdr>
        <w:top w:val="none" w:sz="0" w:space="0" w:color="auto"/>
        <w:left w:val="none" w:sz="0" w:space="0" w:color="auto"/>
        <w:bottom w:val="none" w:sz="0" w:space="0" w:color="auto"/>
        <w:right w:val="none" w:sz="0" w:space="0" w:color="auto"/>
      </w:divBdr>
    </w:div>
    <w:div w:id="81684152">
      <w:bodyDiv w:val="1"/>
      <w:marLeft w:val="0"/>
      <w:marRight w:val="0"/>
      <w:marTop w:val="0"/>
      <w:marBottom w:val="0"/>
      <w:divBdr>
        <w:top w:val="none" w:sz="0" w:space="0" w:color="auto"/>
        <w:left w:val="none" w:sz="0" w:space="0" w:color="auto"/>
        <w:bottom w:val="none" w:sz="0" w:space="0" w:color="auto"/>
        <w:right w:val="none" w:sz="0" w:space="0" w:color="auto"/>
      </w:divBdr>
    </w:div>
    <w:div w:id="112287259">
      <w:bodyDiv w:val="1"/>
      <w:marLeft w:val="0"/>
      <w:marRight w:val="0"/>
      <w:marTop w:val="0"/>
      <w:marBottom w:val="0"/>
      <w:divBdr>
        <w:top w:val="none" w:sz="0" w:space="0" w:color="auto"/>
        <w:left w:val="none" w:sz="0" w:space="0" w:color="auto"/>
        <w:bottom w:val="none" w:sz="0" w:space="0" w:color="auto"/>
        <w:right w:val="none" w:sz="0" w:space="0" w:color="auto"/>
      </w:divBdr>
    </w:div>
    <w:div w:id="133300804">
      <w:bodyDiv w:val="1"/>
      <w:marLeft w:val="0"/>
      <w:marRight w:val="0"/>
      <w:marTop w:val="0"/>
      <w:marBottom w:val="0"/>
      <w:divBdr>
        <w:top w:val="none" w:sz="0" w:space="0" w:color="auto"/>
        <w:left w:val="none" w:sz="0" w:space="0" w:color="auto"/>
        <w:bottom w:val="none" w:sz="0" w:space="0" w:color="auto"/>
        <w:right w:val="none" w:sz="0" w:space="0" w:color="auto"/>
      </w:divBdr>
    </w:div>
    <w:div w:id="138158529">
      <w:bodyDiv w:val="1"/>
      <w:marLeft w:val="0"/>
      <w:marRight w:val="0"/>
      <w:marTop w:val="0"/>
      <w:marBottom w:val="0"/>
      <w:divBdr>
        <w:top w:val="none" w:sz="0" w:space="0" w:color="auto"/>
        <w:left w:val="none" w:sz="0" w:space="0" w:color="auto"/>
        <w:bottom w:val="none" w:sz="0" w:space="0" w:color="auto"/>
        <w:right w:val="none" w:sz="0" w:space="0" w:color="auto"/>
      </w:divBdr>
    </w:div>
    <w:div w:id="226501817">
      <w:bodyDiv w:val="1"/>
      <w:marLeft w:val="0"/>
      <w:marRight w:val="0"/>
      <w:marTop w:val="0"/>
      <w:marBottom w:val="0"/>
      <w:divBdr>
        <w:top w:val="none" w:sz="0" w:space="0" w:color="auto"/>
        <w:left w:val="none" w:sz="0" w:space="0" w:color="auto"/>
        <w:bottom w:val="none" w:sz="0" w:space="0" w:color="auto"/>
        <w:right w:val="none" w:sz="0" w:space="0" w:color="auto"/>
      </w:divBdr>
    </w:div>
    <w:div w:id="292635730">
      <w:bodyDiv w:val="1"/>
      <w:marLeft w:val="0"/>
      <w:marRight w:val="0"/>
      <w:marTop w:val="0"/>
      <w:marBottom w:val="0"/>
      <w:divBdr>
        <w:top w:val="none" w:sz="0" w:space="0" w:color="auto"/>
        <w:left w:val="none" w:sz="0" w:space="0" w:color="auto"/>
        <w:bottom w:val="none" w:sz="0" w:space="0" w:color="auto"/>
        <w:right w:val="none" w:sz="0" w:space="0" w:color="auto"/>
      </w:divBdr>
    </w:div>
    <w:div w:id="324630549">
      <w:bodyDiv w:val="1"/>
      <w:marLeft w:val="0"/>
      <w:marRight w:val="0"/>
      <w:marTop w:val="0"/>
      <w:marBottom w:val="0"/>
      <w:divBdr>
        <w:top w:val="none" w:sz="0" w:space="0" w:color="auto"/>
        <w:left w:val="none" w:sz="0" w:space="0" w:color="auto"/>
        <w:bottom w:val="none" w:sz="0" w:space="0" w:color="auto"/>
        <w:right w:val="none" w:sz="0" w:space="0" w:color="auto"/>
      </w:divBdr>
    </w:div>
    <w:div w:id="387538028">
      <w:bodyDiv w:val="1"/>
      <w:marLeft w:val="0"/>
      <w:marRight w:val="0"/>
      <w:marTop w:val="0"/>
      <w:marBottom w:val="0"/>
      <w:divBdr>
        <w:top w:val="none" w:sz="0" w:space="0" w:color="auto"/>
        <w:left w:val="none" w:sz="0" w:space="0" w:color="auto"/>
        <w:bottom w:val="none" w:sz="0" w:space="0" w:color="auto"/>
        <w:right w:val="none" w:sz="0" w:space="0" w:color="auto"/>
      </w:divBdr>
    </w:div>
    <w:div w:id="452284804">
      <w:bodyDiv w:val="1"/>
      <w:marLeft w:val="0"/>
      <w:marRight w:val="0"/>
      <w:marTop w:val="0"/>
      <w:marBottom w:val="0"/>
      <w:divBdr>
        <w:top w:val="none" w:sz="0" w:space="0" w:color="auto"/>
        <w:left w:val="none" w:sz="0" w:space="0" w:color="auto"/>
        <w:bottom w:val="none" w:sz="0" w:space="0" w:color="auto"/>
        <w:right w:val="none" w:sz="0" w:space="0" w:color="auto"/>
      </w:divBdr>
    </w:div>
    <w:div w:id="511065509">
      <w:bodyDiv w:val="1"/>
      <w:marLeft w:val="0"/>
      <w:marRight w:val="0"/>
      <w:marTop w:val="0"/>
      <w:marBottom w:val="0"/>
      <w:divBdr>
        <w:top w:val="none" w:sz="0" w:space="0" w:color="auto"/>
        <w:left w:val="none" w:sz="0" w:space="0" w:color="auto"/>
        <w:bottom w:val="none" w:sz="0" w:space="0" w:color="auto"/>
        <w:right w:val="none" w:sz="0" w:space="0" w:color="auto"/>
      </w:divBdr>
    </w:div>
    <w:div w:id="553007597">
      <w:bodyDiv w:val="1"/>
      <w:marLeft w:val="0"/>
      <w:marRight w:val="0"/>
      <w:marTop w:val="0"/>
      <w:marBottom w:val="0"/>
      <w:divBdr>
        <w:top w:val="none" w:sz="0" w:space="0" w:color="auto"/>
        <w:left w:val="none" w:sz="0" w:space="0" w:color="auto"/>
        <w:bottom w:val="none" w:sz="0" w:space="0" w:color="auto"/>
        <w:right w:val="none" w:sz="0" w:space="0" w:color="auto"/>
      </w:divBdr>
    </w:div>
    <w:div w:id="555943676">
      <w:bodyDiv w:val="1"/>
      <w:marLeft w:val="0"/>
      <w:marRight w:val="0"/>
      <w:marTop w:val="0"/>
      <w:marBottom w:val="0"/>
      <w:divBdr>
        <w:top w:val="none" w:sz="0" w:space="0" w:color="auto"/>
        <w:left w:val="none" w:sz="0" w:space="0" w:color="auto"/>
        <w:bottom w:val="none" w:sz="0" w:space="0" w:color="auto"/>
        <w:right w:val="none" w:sz="0" w:space="0" w:color="auto"/>
      </w:divBdr>
    </w:div>
    <w:div w:id="568465200">
      <w:bodyDiv w:val="1"/>
      <w:marLeft w:val="0"/>
      <w:marRight w:val="0"/>
      <w:marTop w:val="0"/>
      <w:marBottom w:val="0"/>
      <w:divBdr>
        <w:top w:val="none" w:sz="0" w:space="0" w:color="auto"/>
        <w:left w:val="none" w:sz="0" w:space="0" w:color="auto"/>
        <w:bottom w:val="none" w:sz="0" w:space="0" w:color="auto"/>
        <w:right w:val="none" w:sz="0" w:space="0" w:color="auto"/>
      </w:divBdr>
    </w:div>
    <w:div w:id="590091405">
      <w:bodyDiv w:val="1"/>
      <w:marLeft w:val="0"/>
      <w:marRight w:val="0"/>
      <w:marTop w:val="0"/>
      <w:marBottom w:val="0"/>
      <w:divBdr>
        <w:top w:val="none" w:sz="0" w:space="0" w:color="auto"/>
        <w:left w:val="none" w:sz="0" w:space="0" w:color="auto"/>
        <w:bottom w:val="none" w:sz="0" w:space="0" w:color="auto"/>
        <w:right w:val="none" w:sz="0" w:space="0" w:color="auto"/>
      </w:divBdr>
    </w:div>
    <w:div w:id="595787820">
      <w:bodyDiv w:val="1"/>
      <w:marLeft w:val="0"/>
      <w:marRight w:val="0"/>
      <w:marTop w:val="0"/>
      <w:marBottom w:val="0"/>
      <w:divBdr>
        <w:top w:val="none" w:sz="0" w:space="0" w:color="auto"/>
        <w:left w:val="none" w:sz="0" w:space="0" w:color="auto"/>
        <w:bottom w:val="none" w:sz="0" w:space="0" w:color="auto"/>
        <w:right w:val="none" w:sz="0" w:space="0" w:color="auto"/>
      </w:divBdr>
    </w:div>
    <w:div w:id="596406569">
      <w:bodyDiv w:val="1"/>
      <w:marLeft w:val="0"/>
      <w:marRight w:val="0"/>
      <w:marTop w:val="0"/>
      <w:marBottom w:val="0"/>
      <w:divBdr>
        <w:top w:val="none" w:sz="0" w:space="0" w:color="auto"/>
        <w:left w:val="none" w:sz="0" w:space="0" w:color="auto"/>
        <w:bottom w:val="none" w:sz="0" w:space="0" w:color="auto"/>
        <w:right w:val="none" w:sz="0" w:space="0" w:color="auto"/>
      </w:divBdr>
    </w:div>
    <w:div w:id="603345021">
      <w:bodyDiv w:val="1"/>
      <w:marLeft w:val="0"/>
      <w:marRight w:val="0"/>
      <w:marTop w:val="0"/>
      <w:marBottom w:val="0"/>
      <w:divBdr>
        <w:top w:val="none" w:sz="0" w:space="0" w:color="auto"/>
        <w:left w:val="none" w:sz="0" w:space="0" w:color="auto"/>
        <w:bottom w:val="none" w:sz="0" w:space="0" w:color="auto"/>
        <w:right w:val="none" w:sz="0" w:space="0" w:color="auto"/>
      </w:divBdr>
    </w:div>
    <w:div w:id="609700426">
      <w:bodyDiv w:val="1"/>
      <w:marLeft w:val="0"/>
      <w:marRight w:val="0"/>
      <w:marTop w:val="0"/>
      <w:marBottom w:val="0"/>
      <w:divBdr>
        <w:top w:val="none" w:sz="0" w:space="0" w:color="auto"/>
        <w:left w:val="none" w:sz="0" w:space="0" w:color="auto"/>
        <w:bottom w:val="none" w:sz="0" w:space="0" w:color="auto"/>
        <w:right w:val="none" w:sz="0" w:space="0" w:color="auto"/>
      </w:divBdr>
    </w:div>
    <w:div w:id="611743550">
      <w:bodyDiv w:val="1"/>
      <w:marLeft w:val="0"/>
      <w:marRight w:val="0"/>
      <w:marTop w:val="0"/>
      <w:marBottom w:val="0"/>
      <w:divBdr>
        <w:top w:val="none" w:sz="0" w:space="0" w:color="auto"/>
        <w:left w:val="none" w:sz="0" w:space="0" w:color="auto"/>
        <w:bottom w:val="none" w:sz="0" w:space="0" w:color="auto"/>
        <w:right w:val="none" w:sz="0" w:space="0" w:color="auto"/>
      </w:divBdr>
    </w:div>
    <w:div w:id="628054763">
      <w:bodyDiv w:val="1"/>
      <w:marLeft w:val="0"/>
      <w:marRight w:val="0"/>
      <w:marTop w:val="0"/>
      <w:marBottom w:val="0"/>
      <w:divBdr>
        <w:top w:val="none" w:sz="0" w:space="0" w:color="auto"/>
        <w:left w:val="none" w:sz="0" w:space="0" w:color="auto"/>
        <w:bottom w:val="none" w:sz="0" w:space="0" w:color="auto"/>
        <w:right w:val="none" w:sz="0" w:space="0" w:color="auto"/>
      </w:divBdr>
    </w:div>
    <w:div w:id="657227206">
      <w:bodyDiv w:val="1"/>
      <w:marLeft w:val="0"/>
      <w:marRight w:val="0"/>
      <w:marTop w:val="0"/>
      <w:marBottom w:val="0"/>
      <w:divBdr>
        <w:top w:val="none" w:sz="0" w:space="0" w:color="auto"/>
        <w:left w:val="none" w:sz="0" w:space="0" w:color="auto"/>
        <w:bottom w:val="none" w:sz="0" w:space="0" w:color="auto"/>
        <w:right w:val="none" w:sz="0" w:space="0" w:color="auto"/>
      </w:divBdr>
    </w:div>
    <w:div w:id="683171857">
      <w:bodyDiv w:val="1"/>
      <w:marLeft w:val="0"/>
      <w:marRight w:val="0"/>
      <w:marTop w:val="0"/>
      <w:marBottom w:val="0"/>
      <w:divBdr>
        <w:top w:val="none" w:sz="0" w:space="0" w:color="auto"/>
        <w:left w:val="none" w:sz="0" w:space="0" w:color="auto"/>
        <w:bottom w:val="none" w:sz="0" w:space="0" w:color="auto"/>
        <w:right w:val="none" w:sz="0" w:space="0" w:color="auto"/>
      </w:divBdr>
    </w:div>
    <w:div w:id="710695239">
      <w:bodyDiv w:val="1"/>
      <w:marLeft w:val="0"/>
      <w:marRight w:val="0"/>
      <w:marTop w:val="0"/>
      <w:marBottom w:val="0"/>
      <w:divBdr>
        <w:top w:val="none" w:sz="0" w:space="0" w:color="auto"/>
        <w:left w:val="none" w:sz="0" w:space="0" w:color="auto"/>
        <w:bottom w:val="none" w:sz="0" w:space="0" w:color="auto"/>
        <w:right w:val="none" w:sz="0" w:space="0" w:color="auto"/>
      </w:divBdr>
    </w:div>
    <w:div w:id="742602589">
      <w:bodyDiv w:val="1"/>
      <w:marLeft w:val="0"/>
      <w:marRight w:val="0"/>
      <w:marTop w:val="0"/>
      <w:marBottom w:val="0"/>
      <w:divBdr>
        <w:top w:val="none" w:sz="0" w:space="0" w:color="auto"/>
        <w:left w:val="none" w:sz="0" w:space="0" w:color="auto"/>
        <w:bottom w:val="none" w:sz="0" w:space="0" w:color="auto"/>
        <w:right w:val="none" w:sz="0" w:space="0" w:color="auto"/>
      </w:divBdr>
    </w:div>
    <w:div w:id="743526652">
      <w:bodyDiv w:val="1"/>
      <w:marLeft w:val="0"/>
      <w:marRight w:val="0"/>
      <w:marTop w:val="0"/>
      <w:marBottom w:val="0"/>
      <w:divBdr>
        <w:top w:val="none" w:sz="0" w:space="0" w:color="auto"/>
        <w:left w:val="none" w:sz="0" w:space="0" w:color="auto"/>
        <w:bottom w:val="none" w:sz="0" w:space="0" w:color="auto"/>
        <w:right w:val="none" w:sz="0" w:space="0" w:color="auto"/>
      </w:divBdr>
    </w:div>
    <w:div w:id="826942501">
      <w:bodyDiv w:val="1"/>
      <w:marLeft w:val="0"/>
      <w:marRight w:val="0"/>
      <w:marTop w:val="0"/>
      <w:marBottom w:val="0"/>
      <w:divBdr>
        <w:top w:val="none" w:sz="0" w:space="0" w:color="auto"/>
        <w:left w:val="none" w:sz="0" w:space="0" w:color="auto"/>
        <w:bottom w:val="none" w:sz="0" w:space="0" w:color="auto"/>
        <w:right w:val="none" w:sz="0" w:space="0" w:color="auto"/>
      </w:divBdr>
    </w:div>
    <w:div w:id="856820073">
      <w:bodyDiv w:val="1"/>
      <w:marLeft w:val="0"/>
      <w:marRight w:val="0"/>
      <w:marTop w:val="0"/>
      <w:marBottom w:val="0"/>
      <w:divBdr>
        <w:top w:val="none" w:sz="0" w:space="0" w:color="auto"/>
        <w:left w:val="none" w:sz="0" w:space="0" w:color="auto"/>
        <w:bottom w:val="none" w:sz="0" w:space="0" w:color="auto"/>
        <w:right w:val="none" w:sz="0" w:space="0" w:color="auto"/>
      </w:divBdr>
    </w:div>
    <w:div w:id="877469487">
      <w:bodyDiv w:val="1"/>
      <w:marLeft w:val="0"/>
      <w:marRight w:val="0"/>
      <w:marTop w:val="0"/>
      <w:marBottom w:val="0"/>
      <w:divBdr>
        <w:top w:val="none" w:sz="0" w:space="0" w:color="auto"/>
        <w:left w:val="none" w:sz="0" w:space="0" w:color="auto"/>
        <w:bottom w:val="none" w:sz="0" w:space="0" w:color="auto"/>
        <w:right w:val="none" w:sz="0" w:space="0" w:color="auto"/>
      </w:divBdr>
    </w:div>
    <w:div w:id="887454761">
      <w:bodyDiv w:val="1"/>
      <w:marLeft w:val="0"/>
      <w:marRight w:val="0"/>
      <w:marTop w:val="0"/>
      <w:marBottom w:val="0"/>
      <w:divBdr>
        <w:top w:val="none" w:sz="0" w:space="0" w:color="auto"/>
        <w:left w:val="none" w:sz="0" w:space="0" w:color="auto"/>
        <w:bottom w:val="none" w:sz="0" w:space="0" w:color="auto"/>
        <w:right w:val="none" w:sz="0" w:space="0" w:color="auto"/>
      </w:divBdr>
    </w:div>
    <w:div w:id="904223616">
      <w:bodyDiv w:val="1"/>
      <w:marLeft w:val="0"/>
      <w:marRight w:val="0"/>
      <w:marTop w:val="0"/>
      <w:marBottom w:val="0"/>
      <w:divBdr>
        <w:top w:val="none" w:sz="0" w:space="0" w:color="auto"/>
        <w:left w:val="none" w:sz="0" w:space="0" w:color="auto"/>
        <w:bottom w:val="none" w:sz="0" w:space="0" w:color="auto"/>
        <w:right w:val="none" w:sz="0" w:space="0" w:color="auto"/>
      </w:divBdr>
    </w:div>
    <w:div w:id="953440635">
      <w:bodyDiv w:val="1"/>
      <w:marLeft w:val="0"/>
      <w:marRight w:val="0"/>
      <w:marTop w:val="0"/>
      <w:marBottom w:val="0"/>
      <w:divBdr>
        <w:top w:val="none" w:sz="0" w:space="0" w:color="auto"/>
        <w:left w:val="none" w:sz="0" w:space="0" w:color="auto"/>
        <w:bottom w:val="none" w:sz="0" w:space="0" w:color="auto"/>
        <w:right w:val="none" w:sz="0" w:space="0" w:color="auto"/>
      </w:divBdr>
    </w:div>
    <w:div w:id="961228657">
      <w:bodyDiv w:val="1"/>
      <w:marLeft w:val="0"/>
      <w:marRight w:val="0"/>
      <w:marTop w:val="0"/>
      <w:marBottom w:val="0"/>
      <w:divBdr>
        <w:top w:val="none" w:sz="0" w:space="0" w:color="auto"/>
        <w:left w:val="none" w:sz="0" w:space="0" w:color="auto"/>
        <w:bottom w:val="none" w:sz="0" w:space="0" w:color="auto"/>
        <w:right w:val="none" w:sz="0" w:space="0" w:color="auto"/>
      </w:divBdr>
    </w:div>
    <w:div w:id="1019812732">
      <w:bodyDiv w:val="1"/>
      <w:marLeft w:val="0"/>
      <w:marRight w:val="0"/>
      <w:marTop w:val="0"/>
      <w:marBottom w:val="0"/>
      <w:divBdr>
        <w:top w:val="none" w:sz="0" w:space="0" w:color="auto"/>
        <w:left w:val="none" w:sz="0" w:space="0" w:color="auto"/>
        <w:bottom w:val="none" w:sz="0" w:space="0" w:color="auto"/>
        <w:right w:val="none" w:sz="0" w:space="0" w:color="auto"/>
      </w:divBdr>
    </w:div>
    <w:div w:id="1056588664">
      <w:bodyDiv w:val="1"/>
      <w:marLeft w:val="0"/>
      <w:marRight w:val="0"/>
      <w:marTop w:val="0"/>
      <w:marBottom w:val="0"/>
      <w:divBdr>
        <w:top w:val="none" w:sz="0" w:space="0" w:color="auto"/>
        <w:left w:val="none" w:sz="0" w:space="0" w:color="auto"/>
        <w:bottom w:val="none" w:sz="0" w:space="0" w:color="auto"/>
        <w:right w:val="none" w:sz="0" w:space="0" w:color="auto"/>
      </w:divBdr>
    </w:div>
    <w:div w:id="1066614025">
      <w:bodyDiv w:val="1"/>
      <w:marLeft w:val="0"/>
      <w:marRight w:val="0"/>
      <w:marTop w:val="0"/>
      <w:marBottom w:val="0"/>
      <w:divBdr>
        <w:top w:val="none" w:sz="0" w:space="0" w:color="auto"/>
        <w:left w:val="none" w:sz="0" w:space="0" w:color="auto"/>
        <w:bottom w:val="none" w:sz="0" w:space="0" w:color="auto"/>
        <w:right w:val="none" w:sz="0" w:space="0" w:color="auto"/>
      </w:divBdr>
    </w:div>
    <w:div w:id="1073118278">
      <w:bodyDiv w:val="1"/>
      <w:marLeft w:val="0"/>
      <w:marRight w:val="0"/>
      <w:marTop w:val="0"/>
      <w:marBottom w:val="0"/>
      <w:divBdr>
        <w:top w:val="none" w:sz="0" w:space="0" w:color="auto"/>
        <w:left w:val="none" w:sz="0" w:space="0" w:color="auto"/>
        <w:bottom w:val="none" w:sz="0" w:space="0" w:color="auto"/>
        <w:right w:val="none" w:sz="0" w:space="0" w:color="auto"/>
      </w:divBdr>
    </w:div>
    <w:div w:id="1079406692">
      <w:bodyDiv w:val="1"/>
      <w:marLeft w:val="0"/>
      <w:marRight w:val="0"/>
      <w:marTop w:val="0"/>
      <w:marBottom w:val="0"/>
      <w:divBdr>
        <w:top w:val="none" w:sz="0" w:space="0" w:color="auto"/>
        <w:left w:val="none" w:sz="0" w:space="0" w:color="auto"/>
        <w:bottom w:val="none" w:sz="0" w:space="0" w:color="auto"/>
        <w:right w:val="none" w:sz="0" w:space="0" w:color="auto"/>
      </w:divBdr>
    </w:div>
    <w:div w:id="1081177699">
      <w:bodyDiv w:val="1"/>
      <w:marLeft w:val="0"/>
      <w:marRight w:val="0"/>
      <w:marTop w:val="0"/>
      <w:marBottom w:val="0"/>
      <w:divBdr>
        <w:top w:val="none" w:sz="0" w:space="0" w:color="auto"/>
        <w:left w:val="none" w:sz="0" w:space="0" w:color="auto"/>
        <w:bottom w:val="none" w:sz="0" w:space="0" w:color="auto"/>
        <w:right w:val="none" w:sz="0" w:space="0" w:color="auto"/>
      </w:divBdr>
    </w:div>
    <w:div w:id="1100376754">
      <w:bodyDiv w:val="1"/>
      <w:marLeft w:val="0"/>
      <w:marRight w:val="0"/>
      <w:marTop w:val="0"/>
      <w:marBottom w:val="0"/>
      <w:divBdr>
        <w:top w:val="none" w:sz="0" w:space="0" w:color="auto"/>
        <w:left w:val="none" w:sz="0" w:space="0" w:color="auto"/>
        <w:bottom w:val="none" w:sz="0" w:space="0" w:color="auto"/>
        <w:right w:val="none" w:sz="0" w:space="0" w:color="auto"/>
      </w:divBdr>
    </w:div>
    <w:div w:id="1104960625">
      <w:bodyDiv w:val="1"/>
      <w:marLeft w:val="0"/>
      <w:marRight w:val="0"/>
      <w:marTop w:val="0"/>
      <w:marBottom w:val="0"/>
      <w:divBdr>
        <w:top w:val="none" w:sz="0" w:space="0" w:color="auto"/>
        <w:left w:val="none" w:sz="0" w:space="0" w:color="auto"/>
        <w:bottom w:val="none" w:sz="0" w:space="0" w:color="auto"/>
        <w:right w:val="none" w:sz="0" w:space="0" w:color="auto"/>
      </w:divBdr>
    </w:div>
    <w:div w:id="1115902067">
      <w:bodyDiv w:val="1"/>
      <w:marLeft w:val="0"/>
      <w:marRight w:val="0"/>
      <w:marTop w:val="0"/>
      <w:marBottom w:val="0"/>
      <w:divBdr>
        <w:top w:val="none" w:sz="0" w:space="0" w:color="auto"/>
        <w:left w:val="none" w:sz="0" w:space="0" w:color="auto"/>
        <w:bottom w:val="none" w:sz="0" w:space="0" w:color="auto"/>
        <w:right w:val="none" w:sz="0" w:space="0" w:color="auto"/>
      </w:divBdr>
    </w:div>
    <w:div w:id="1145005818">
      <w:bodyDiv w:val="1"/>
      <w:marLeft w:val="0"/>
      <w:marRight w:val="0"/>
      <w:marTop w:val="0"/>
      <w:marBottom w:val="0"/>
      <w:divBdr>
        <w:top w:val="none" w:sz="0" w:space="0" w:color="auto"/>
        <w:left w:val="none" w:sz="0" w:space="0" w:color="auto"/>
        <w:bottom w:val="none" w:sz="0" w:space="0" w:color="auto"/>
        <w:right w:val="none" w:sz="0" w:space="0" w:color="auto"/>
      </w:divBdr>
    </w:div>
    <w:div w:id="1145439556">
      <w:bodyDiv w:val="1"/>
      <w:marLeft w:val="0"/>
      <w:marRight w:val="0"/>
      <w:marTop w:val="0"/>
      <w:marBottom w:val="0"/>
      <w:divBdr>
        <w:top w:val="none" w:sz="0" w:space="0" w:color="auto"/>
        <w:left w:val="none" w:sz="0" w:space="0" w:color="auto"/>
        <w:bottom w:val="none" w:sz="0" w:space="0" w:color="auto"/>
        <w:right w:val="none" w:sz="0" w:space="0" w:color="auto"/>
      </w:divBdr>
    </w:div>
    <w:div w:id="1178541445">
      <w:bodyDiv w:val="1"/>
      <w:marLeft w:val="0"/>
      <w:marRight w:val="0"/>
      <w:marTop w:val="0"/>
      <w:marBottom w:val="0"/>
      <w:divBdr>
        <w:top w:val="none" w:sz="0" w:space="0" w:color="auto"/>
        <w:left w:val="none" w:sz="0" w:space="0" w:color="auto"/>
        <w:bottom w:val="none" w:sz="0" w:space="0" w:color="auto"/>
        <w:right w:val="none" w:sz="0" w:space="0" w:color="auto"/>
      </w:divBdr>
    </w:div>
    <w:div w:id="1185750636">
      <w:bodyDiv w:val="1"/>
      <w:marLeft w:val="0"/>
      <w:marRight w:val="0"/>
      <w:marTop w:val="0"/>
      <w:marBottom w:val="0"/>
      <w:divBdr>
        <w:top w:val="none" w:sz="0" w:space="0" w:color="auto"/>
        <w:left w:val="none" w:sz="0" w:space="0" w:color="auto"/>
        <w:bottom w:val="none" w:sz="0" w:space="0" w:color="auto"/>
        <w:right w:val="none" w:sz="0" w:space="0" w:color="auto"/>
      </w:divBdr>
    </w:div>
    <w:div w:id="1212577752">
      <w:bodyDiv w:val="1"/>
      <w:marLeft w:val="0"/>
      <w:marRight w:val="0"/>
      <w:marTop w:val="0"/>
      <w:marBottom w:val="0"/>
      <w:divBdr>
        <w:top w:val="none" w:sz="0" w:space="0" w:color="auto"/>
        <w:left w:val="none" w:sz="0" w:space="0" w:color="auto"/>
        <w:bottom w:val="none" w:sz="0" w:space="0" w:color="auto"/>
        <w:right w:val="none" w:sz="0" w:space="0" w:color="auto"/>
      </w:divBdr>
    </w:div>
    <w:div w:id="1288589717">
      <w:bodyDiv w:val="1"/>
      <w:marLeft w:val="0"/>
      <w:marRight w:val="0"/>
      <w:marTop w:val="0"/>
      <w:marBottom w:val="0"/>
      <w:divBdr>
        <w:top w:val="none" w:sz="0" w:space="0" w:color="auto"/>
        <w:left w:val="none" w:sz="0" w:space="0" w:color="auto"/>
        <w:bottom w:val="none" w:sz="0" w:space="0" w:color="auto"/>
        <w:right w:val="none" w:sz="0" w:space="0" w:color="auto"/>
      </w:divBdr>
    </w:div>
    <w:div w:id="1391538883">
      <w:bodyDiv w:val="1"/>
      <w:marLeft w:val="0"/>
      <w:marRight w:val="0"/>
      <w:marTop w:val="0"/>
      <w:marBottom w:val="0"/>
      <w:divBdr>
        <w:top w:val="none" w:sz="0" w:space="0" w:color="auto"/>
        <w:left w:val="none" w:sz="0" w:space="0" w:color="auto"/>
        <w:bottom w:val="none" w:sz="0" w:space="0" w:color="auto"/>
        <w:right w:val="none" w:sz="0" w:space="0" w:color="auto"/>
      </w:divBdr>
    </w:div>
    <w:div w:id="1402488659">
      <w:bodyDiv w:val="1"/>
      <w:marLeft w:val="0"/>
      <w:marRight w:val="0"/>
      <w:marTop w:val="0"/>
      <w:marBottom w:val="0"/>
      <w:divBdr>
        <w:top w:val="none" w:sz="0" w:space="0" w:color="auto"/>
        <w:left w:val="none" w:sz="0" w:space="0" w:color="auto"/>
        <w:bottom w:val="none" w:sz="0" w:space="0" w:color="auto"/>
        <w:right w:val="none" w:sz="0" w:space="0" w:color="auto"/>
      </w:divBdr>
    </w:div>
    <w:div w:id="1406297138">
      <w:bodyDiv w:val="1"/>
      <w:marLeft w:val="0"/>
      <w:marRight w:val="0"/>
      <w:marTop w:val="0"/>
      <w:marBottom w:val="0"/>
      <w:divBdr>
        <w:top w:val="none" w:sz="0" w:space="0" w:color="auto"/>
        <w:left w:val="none" w:sz="0" w:space="0" w:color="auto"/>
        <w:bottom w:val="none" w:sz="0" w:space="0" w:color="auto"/>
        <w:right w:val="none" w:sz="0" w:space="0" w:color="auto"/>
      </w:divBdr>
    </w:div>
    <w:div w:id="1417552495">
      <w:bodyDiv w:val="1"/>
      <w:marLeft w:val="0"/>
      <w:marRight w:val="0"/>
      <w:marTop w:val="0"/>
      <w:marBottom w:val="0"/>
      <w:divBdr>
        <w:top w:val="none" w:sz="0" w:space="0" w:color="auto"/>
        <w:left w:val="none" w:sz="0" w:space="0" w:color="auto"/>
        <w:bottom w:val="none" w:sz="0" w:space="0" w:color="auto"/>
        <w:right w:val="none" w:sz="0" w:space="0" w:color="auto"/>
      </w:divBdr>
    </w:div>
    <w:div w:id="1445034300">
      <w:bodyDiv w:val="1"/>
      <w:marLeft w:val="0"/>
      <w:marRight w:val="0"/>
      <w:marTop w:val="0"/>
      <w:marBottom w:val="0"/>
      <w:divBdr>
        <w:top w:val="none" w:sz="0" w:space="0" w:color="auto"/>
        <w:left w:val="none" w:sz="0" w:space="0" w:color="auto"/>
        <w:bottom w:val="none" w:sz="0" w:space="0" w:color="auto"/>
        <w:right w:val="none" w:sz="0" w:space="0" w:color="auto"/>
      </w:divBdr>
    </w:div>
    <w:div w:id="1449157220">
      <w:bodyDiv w:val="1"/>
      <w:marLeft w:val="0"/>
      <w:marRight w:val="0"/>
      <w:marTop w:val="0"/>
      <w:marBottom w:val="0"/>
      <w:divBdr>
        <w:top w:val="none" w:sz="0" w:space="0" w:color="auto"/>
        <w:left w:val="none" w:sz="0" w:space="0" w:color="auto"/>
        <w:bottom w:val="none" w:sz="0" w:space="0" w:color="auto"/>
        <w:right w:val="none" w:sz="0" w:space="0" w:color="auto"/>
      </w:divBdr>
    </w:div>
    <w:div w:id="1481724946">
      <w:bodyDiv w:val="1"/>
      <w:marLeft w:val="0"/>
      <w:marRight w:val="0"/>
      <w:marTop w:val="0"/>
      <w:marBottom w:val="0"/>
      <w:divBdr>
        <w:top w:val="none" w:sz="0" w:space="0" w:color="auto"/>
        <w:left w:val="none" w:sz="0" w:space="0" w:color="auto"/>
        <w:bottom w:val="none" w:sz="0" w:space="0" w:color="auto"/>
        <w:right w:val="none" w:sz="0" w:space="0" w:color="auto"/>
      </w:divBdr>
    </w:div>
    <w:div w:id="1508642239">
      <w:bodyDiv w:val="1"/>
      <w:marLeft w:val="0"/>
      <w:marRight w:val="0"/>
      <w:marTop w:val="0"/>
      <w:marBottom w:val="0"/>
      <w:divBdr>
        <w:top w:val="none" w:sz="0" w:space="0" w:color="auto"/>
        <w:left w:val="none" w:sz="0" w:space="0" w:color="auto"/>
        <w:bottom w:val="none" w:sz="0" w:space="0" w:color="auto"/>
        <w:right w:val="none" w:sz="0" w:space="0" w:color="auto"/>
      </w:divBdr>
    </w:div>
    <w:div w:id="1527133586">
      <w:bodyDiv w:val="1"/>
      <w:marLeft w:val="0"/>
      <w:marRight w:val="0"/>
      <w:marTop w:val="0"/>
      <w:marBottom w:val="0"/>
      <w:divBdr>
        <w:top w:val="none" w:sz="0" w:space="0" w:color="auto"/>
        <w:left w:val="none" w:sz="0" w:space="0" w:color="auto"/>
        <w:bottom w:val="none" w:sz="0" w:space="0" w:color="auto"/>
        <w:right w:val="none" w:sz="0" w:space="0" w:color="auto"/>
      </w:divBdr>
    </w:div>
    <w:div w:id="1573659240">
      <w:bodyDiv w:val="1"/>
      <w:marLeft w:val="0"/>
      <w:marRight w:val="0"/>
      <w:marTop w:val="0"/>
      <w:marBottom w:val="0"/>
      <w:divBdr>
        <w:top w:val="none" w:sz="0" w:space="0" w:color="auto"/>
        <w:left w:val="none" w:sz="0" w:space="0" w:color="auto"/>
        <w:bottom w:val="none" w:sz="0" w:space="0" w:color="auto"/>
        <w:right w:val="none" w:sz="0" w:space="0" w:color="auto"/>
      </w:divBdr>
    </w:div>
    <w:div w:id="1593389059">
      <w:bodyDiv w:val="1"/>
      <w:marLeft w:val="0"/>
      <w:marRight w:val="0"/>
      <w:marTop w:val="0"/>
      <w:marBottom w:val="0"/>
      <w:divBdr>
        <w:top w:val="none" w:sz="0" w:space="0" w:color="auto"/>
        <w:left w:val="none" w:sz="0" w:space="0" w:color="auto"/>
        <w:bottom w:val="none" w:sz="0" w:space="0" w:color="auto"/>
        <w:right w:val="none" w:sz="0" w:space="0" w:color="auto"/>
      </w:divBdr>
    </w:div>
    <w:div w:id="1604612147">
      <w:bodyDiv w:val="1"/>
      <w:marLeft w:val="0"/>
      <w:marRight w:val="0"/>
      <w:marTop w:val="0"/>
      <w:marBottom w:val="0"/>
      <w:divBdr>
        <w:top w:val="none" w:sz="0" w:space="0" w:color="auto"/>
        <w:left w:val="none" w:sz="0" w:space="0" w:color="auto"/>
        <w:bottom w:val="none" w:sz="0" w:space="0" w:color="auto"/>
        <w:right w:val="none" w:sz="0" w:space="0" w:color="auto"/>
      </w:divBdr>
    </w:div>
    <w:div w:id="1631352100">
      <w:bodyDiv w:val="1"/>
      <w:marLeft w:val="0"/>
      <w:marRight w:val="0"/>
      <w:marTop w:val="0"/>
      <w:marBottom w:val="0"/>
      <w:divBdr>
        <w:top w:val="none" w:sz="0" w:space="0" w:color="auto"/>
        <w:left w:val="none" w:sz="0" w:space="0" w:color="auto"/>
        <w:bottom w:val="none" w:sz="0" w:space="0" w:color="auto"/>
        <w:right w:val="none" w:sz="0" w:space="0" w:color="auto"/>
      </w:divBdr>
    </w:div>
    <w:div w:id="1762094473">
      <w:bodyDiv w:val="1"/>
      <w:marLeft w:val="0"/>
      <w:marRight w:val="0"/>
      <w:marTop w:val="0"/>
      <w:marBottom w:val="0"/>
      <w:divBdr>
        <w:top w:val="none" w:sz="0" w:space="0" w:color="auto"/>
        <w:left w:val="none" w:sz="0" w:space="0" w:color="auto"/>
        <w:bottom w:val="none" w:sz="0" w:space="0" w:color="auto"/>
        <w:right w:val="none" w:sz="0" w:space="0" w:color="auto"/>
      </w:divBdr>
    </w:div>
    <w:div w:id="1792895271">
      <w:bodyDiv w:val="1"/>
      <w:marLeft w:val="0"/>
      <w:marRight w:val="0"/>
      <w:marTop w:val="0"/>
      <w:marBottom w:val="0"/>
      <w:divBdr>
        <w:top w:val="none" w:sz="0" w:space="0" w:color="auto"/>
        <w:left w:val="none" w:sz="0" w:space="0" w:color="auto"/>
        <w:bottom w:val="none" w:sz="0" w:space="0" w:color="auto"/>
        <w:right w:val="none" w:sz="0" w:space="0" w:color="auto"/>
      </w:divBdr>
    </w:div>
    <w:div w:id="1806855164">
      <w:bodyDiv w:val="1"/>
      <w:marLeft w:val="0"/>
      <w:marRight w:val="0"/>
      <w:marTop w:val="0"/>
      <w:marBottom w:val="0"/>
      <w:divBdr>
        <w:top w:val="none" w:sz="0" w:space="0" w:color="auto"/>
        <w:left w:val="none" w:sz="0" w:space="0" w:color="auto"/>
        <w:bottom w:val="none" w:sz="0" w:space="0" w:color="auto"/>
        <w:right w:val="none" w:sz="0" w:space="0" w:color="auto"/>
      </w:divBdr>
    </w:div>
    <w:div w:id="1828279666">
      <w:bodyDiv w:val="1"/>
      <w:marLeft w:val="0"/>
      <w:marRight w:val="0"/>
      <w:marTop w:val="0"/>
      <w:marBottom w:val="0"/>
      <w:divBdr>
        <w:top w:val="none" w:sz="0" w:space="0" w:color="auto"/>
        <w:left w:val="none" w:sz="0" w:space="0" w:color="auto"/>
        <w:bottom w:val="none" w:sz="0" w:space="0" w:color="auto"/>
        <w:right w:val="none" w:sz="0" w:space="0" w:color="auto"/>
      </w:divBdr>
    </w:div>
    <w:div w:id="1832334325">
      <w:bodyDiv w:val="1"/>
      <w:marLeft w:val="0"/>
      <w:marRight w:val="0"/>
      <w:marTop w:val="0"/>
      <w:marBottom w:val="0"/>
      <w:divBdr>
        <w:top w:val="none" w:sz="0" w:space="0" w:color="auto"/>
        <w:left w:val="none" w:sz="0" w:space="0" w:color="auto"/>
        <w:bottom w:val="none" w:sz="0" w:space="0" w:color="auto"/>
        <w:right w:val="none" w:sz="0" w:space="0" w:color="auto"/>
      </w:divBdr>
    </w:div>
    <w:div w:id="1944847166">
      <w:bodyDiv w:val="1"/>
      <w:marLeft w:val="0"/>
      <w:marRight w:val="0"/>
      <w:marTop w:val="0"/>
      <w:marBottom w:val="0"/>
      <w:divBdr>
        <w:top w:val="none" w:sz="0" w:space="0" w:color="auto"/>
        <w:left w:val="none" w:sz="0" w:space="0" w:color="auto"/>
        <w:bottom w:val="none" w:sz="0" w:space="0" w:color="auto"/>
        <w:right w:val="none" w:sz="0" w:space="0" w:color="auto"/>
      </w:divBdr>
    </w:div>
    <w:div w:id="1990092951">
      <w:bodyDiv w:val="1"/>
      <w:marLeft w:val="0"/>
      <w:marRight w:val="0"/>
      <w:marTop w:val="0"/>
      <w:marBottom w:val="0"/>
      <w:divBdr>
        <w:top w:val="none" w:sz="0" w:space="0" w:color="auto"/>
        <w:left w:val="none" w:sz="0" w:space="0" w:color="auto"/>
        <w:bottom w:val="none" w:sz="0" w:space="0" w:color="auto"/>
        <w:right w:val="none" w:sz="0" w:space="0" w:color="auto"/>
      </w:divBdr>
    </w:div>
    <w:div w:id="2013801519">
      <w:bodyDiv w:val="1"/>
      <w:marLeft w:val="0"/>
      <w:marRight w:val="0"/>
      <w:marTop w:val="0"/>
      <w:marBottom w:val="0"/>
      <w:divBdr>
        <w:top w:val="none" w:sz="0" w:space="0" w:color="auto"/>
        <w:left w:val="none" w:sz="0" w:space="0" w:color="auto"/>
        <w:bottom w:val="none" w:sz="0" w:space="0" w:color="auto"/>
        <w:right w:val="none" w:sz="0" w:space="0" w:color="auto"/>
      </w:divBdr>
    </w:div>
    <w:div w:id="2048407055">
      <w:bodyDiv w:val="1"/>
      <w:marLeft w:val="0"/>
      <w:marRight w:val="0"/>
      <w:marTop w:val="0"/>
      <w:marBottom w:val="0"/>
      <w:divBdr>
        <w:top w:val="none" w:sz="0" w:space="0" w:color="auto"/>
        <w:left w:val="none" w:sz="0" w:space="0" w:color="auto"/>
        <w:bottom w:val="none" w:sz="0" w:space="0" w:color="auto"/>
        <w:right w:val="none" w:sz="0" w:space="0" w:color="auto"/>
      </w:divBdr>
    </w:div>
    <w:div w:id="21040660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1128</Words>
  <Characters>6434</Characters>
  <Application>Microsoft Office Word</Application>
  <DocSecurity>0</DocSecurity>
  <Lines>53</Lines>
  <Paragraphs>15</Paragraphs>
  <ScaleCrop>false</ScaleCrop>
  <Company>Microsoft</Company>
  <LinksUpToDate>false</LinksUpToDate>
  <CharactersWithSpaces>7547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2</cp:revision>
  <dcterms:created xsi:type="dcterms:W3CDTF">2024-06-28T10:01:00Z</dcterms:created>
  <dcterms:modified xsi:type="dcterms:W3CDTF">2024-06-28T10:01:00Z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