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39"/>
      <w:bookmarkStart w:id="2" w:name="_Toc481801204"/>
      <w:bookmarkStart w:id="3" w:name="_Toc415143481"/>
      <w:bookmarkStart w:id="4" w:name="OLE_LINK13"/>
      <w:bookmarkStart w:id="5" w:name="OLE_LINK15"/>
      <w:bookmarkStart w:id="6" w:name="_Toc517262917"/>
      <w:bookmarkStart w:id="7" w:name="_Toc418070112"/>
      <w:bookmarkStart w:id="8" w:name="_Toc415142861"/>
      <w:bookmarkStart w:id="9" w:name="OLE_LINK40"/>
      <w:bookmarkStart w:id="10" w:name="OLE_LINK24"/>
      <w:bookmarkStart w:id="11" w:name="_Toc438987549"/>
      <w:bookmarkStart w:id="12" w:name="_Toc415818939"/>
      <w:bookmarkStart w:id="13" w:name="_Toc45359731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射频前端组件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射频前端组件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Calibri"/>
          <w:lang w:val="en-US" w:eastAsia="zh-CN"/>
        </w:rPr>
        <w:t>s</w:t>
      </w:r>
      <w:bookmarkStart w:id="21" w:name="_GoBack"/>
      <w:bookmarkEnd w:id="21"/>
    </w:p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射频前端组件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spacing w:line="360" w:lineRule="auto"/>
        <w:rPr>
          <w:lang w:val="en-US" w:eastAsia="zh-CN"/>
        </w:rPr>
      </w:pPr>
      <w:r>
        <w:rPr>
          <w:rFonts w:hint="eastAsia"/>
          <w:lang w:val="en-US" w:eastAsia="zh-CN"/>
        </w:rPr>
        <w:t>射频器件是收发无线信号中的关键部件，遍布于各种通信场景。射频是指频率范围在300kHz~300GHz 之间的电磁波，传递与处理这一频率电磁波的电子元器件就 被称为射频器件。因此，射频器件广泛应用于各个通信相关的领域包括：基站、 回传链路、卫星通信、军用、雷达、航空航天、有线宽带等场景。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根据QYResearch最新调研报告显示，2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年全球射频前端组件市场规模为2</w:t>
      </w:r>
      <w:r>
        <w:rPr>
          <w:lang w:eastAsia="zh-CN"/>
        </w:rPr>
        <w:t>04</w:t>
      </w:r>
      <w:r>
        <w:rPr>
          <w:rFonts w:hint="eastAsia"/>
          <w:lang w:eastAsia="zh-CN"/>
        </w:rPr>
        <w:t>亿美元，预计2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416</w:t>
      </w:r>
      <w:r>
        <w:rPr>
          <w:rFonts w:hint="eastAsia"/>
          <w:lang w:eastAsia="zh-CN"/>
        </w:rPr>
        <w:t>亿美元，未来几年年复合增长率CAGR为1</w:t>
      </w:r>
      <w:r>
        <w:rPr>
          <w:lang w:eastAsia="zh-CN"/>
        </w:rPr>
        <w:t>0.4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射频前端组件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416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35605"/>
            <wp:effectExtent l="0" t="0" r="2540" b="0"/>
            <wp:docPr id="57895936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通信领域的快速发展：通信领域是射频前端组件下游应用领域最大的市场，随着5G、物联网等新技术的普及，对射频前端组件的需求将不断增长。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军工领域的持续需求：军工领域对射频前端组件的需求是稳定的，随着军事装备的不断更新换代，对射频前端组件的要求也将不断提高。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消费电子领域的快速增长：消费电子领域是射频前端组件下游应用领域的重要增长点，随着智能手机、平板电脑、无人机等产品的普及，对射频前端组件的需求将不断增长。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工业领域的应用拓展：工业领域对射频前端组件的需求不断增长，随着工业自动化、智能化的发展，对射频前端组件的需求将不断扩大。</w:t>
      </w:r>
    </w:p>
    <w:p>
      <w:pPr>
        <w:pStyle w:val="145"/>
        <w:spacing w:line="360" w:lineRule="auto"/>
        <w:rPr>
          <w:lang w:eastAsia="zh-CN"/>
        </w:rPr>
      </w:pP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技术壁垒高：射频前端组件技术具有很强的专业性和复杂性，对制造工艺、材料等方面有严格的要求，因此技术壁垒较高，新进入者难以快速进入市场。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原材料价格波动：射频前端组件主要原材料为半导体材料、磁性材料等，这些材料价格波动较大，对射频前端组件成本有较大影响。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竞争激烈：射频前端组件市场竞争激烈，全球主要厂商包括Skyworks Solutions、Qorvo、Broadcom等，这些厂商在技术、规模、市场等方面具有优势，新进入者难以在市场上取得突破。</w:t>
      </w:r>
    </w:p>
    <w:p>
      <w:pPr>
        <w:pStyle w:val="145"/>
        <w:spacing w:line="360" w:lineRule="auto"/>
        <w:rPr>
          <w:lang w:eastAsia="zh-CN"/>
        </w:rPr>
      </w:pP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5G通信技术的普及：5G通信技术的普及，将对射频前端组件提出更高的要求，例如，更高的频率、更大的带宽、更低的功耗等。射频前端组件企业需要积极应对5G通信技术带来的挑战，开发出满足5G通信技术要求的射频前端组件产品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物联网技术的快速发展：物联网技术的快速发展，将对射频前端组件的需求产生巨大的拉动作用。射频前端组件企业需要积极布局物联网市场，开发出适用于物联网应用的射频前端组件产品。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人工智能技术的兴起：人工智能技术的兴起，将对射频前端组件的需求产生新的变化。射频前端组件企业需要积极关注人工智能技术的发展趋势，开发出适用于人工智能应用的射频前端组件产品。</w:t>
      </w:r>
    </w:p>
    <w:p>
      <w:pPr>
        <w:pStyle w:val="145"/>
        <w:spacing w:line="360" w:lineRule="auto"/>
        <w:rPr>
          <w:lang w:eastAsia="zh-CN"/>
        </w:rPr>
      </w:pPr>
    </w:p>
    <w:p>
      <w:pPr>
        <w:pStyle w:val="148"/>
        <w:rPr>
          <w:lang w:eastAsia="zh-CN"/>
        </w:rPr>
      </w:pPr>
      <w:bookmarkStart w:id="14" w:name="_Hlk149036437"/>
      <w:r>
        <w:rPr>
          <w:rFonts w:hint="eastAsia"/>
          <w:lang w:eastAsia="zh-CN"/>
        </w:rPr>
        <w:t>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3125110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spacing w:line="360" w:lineRule="auto"/>
        <w:rPr>
          <w:lang w:eastAsia="zh-CN"/>
        </w:rPr>
      </w:pPr>
      <w:r>
        <w:rPr>
          <w:lang w:eastAsia="zh-CN"/>
        </w:rPr>
        <w:t>全球IDM厂商</w:t>
      </w:r>
      <w:r>
        <w:rPr>
          <w:rFonts w:hint="eastAsia"/>
          <w:lang w:eastAsia="zh-CN"/>
        </w:rPr>
        <w:t>简介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1、 Skyworks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Skyworks（思佳讯）是全球著名的射频和移动通信器件生产厂商，拥有自己的晶 圆代工厂、封装和测试厂。其产品主要包括功放、射频前端和移动端和基站侧的 其他射频器件。目前公司的下游客户广泛分布于通信设备、汽车、能源管理、工 业、医疗、军事、移动智能终端等多个领域。目前公司拥有GaAs晶圆制造厂，当自身产能不足的时候也会将部分订单交给中国台湾宏捷科技代工。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公司成立于 1962 年，前身是 Alpha Industrie，公司2000年收购了Philsar Semiconductor；2001年并购了 Conexant 的无线通信事业部；2002年6月收购了 Conexant 在墨西哥的封装测试厂，之后 Alpha 改名为Skyworks，并于 2002 年在美国上市。公司主要通过收购逐步获得设计和生产射频芯片的能力。</w:t>
      </w:r>
    </w:p>
    <w:p>
      <w:pPr>
        <w:pStyle w:val="145"/>
        <w:spacing w:line="360" w:lineRule="auto"/>
        <w:rPr>
          <w:lang w:eastAsia="zh-CN"/>
        </w:rPr>
      </w:pPr>
    </w:p>
    <w:p>
      <w:pPr>
        <w:pStyle w:val="145"/>
        <w:spacing w:line="360" w:lineRule="auto"/>
        <w:rPr>
          <w:lang w:eastAsia="zh-CN"/>
        </w:rPr>
      </w:pP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2、Qorvo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2014年射频前端公司 RFMD和TriQuint合并，成立了射频方案公司Qorvo。目前Qorvo是全球领先的射频 IDM 厂商，拥有自己的晶圆代工厂和封测厂，产品主要用于移动终端、通信设备、国防航天、工业和汽车等方面。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博通（Avago）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博通前身为 Avago，成立于 1961 年，最早为惠普的半导体部门，1999年惠普公司 拆分出 Agilent（安捷伦）公司，2005 年 Agilent 的半导体事业部更名为Avago。 2015 年Avago收购博通公司，并正式改名为博通有限公司，目前主要有四个部门： 有线基础设施，无线通信，企业存储和工业及其他。收购前的Avago主要提供光 电产品、射频/微波器件以及企业 ASIC 三类产品，应用于无线和有线通信、工业、 汽车、消费电子、存储及计算机等领域。被收购前的博通公司为全球最大的无厂半导体公司之一，产品为有线和无线通信半导体。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通过并购实现营收快速增长，2018 年受惠于美国减税，净利润大幅上升。2013年12月，Avago 收购美国老牌芯片供应商 LSI，拓展企业存储产品线以及数据中心等商机；2014 年，收购 PLX Technology，进一步加强了存储领域。2017 年公司 收购博科，取得交换机市场的主导地位。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国内企业简介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1、卓胜微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公司成立于 2012 年，致力于射频集成电路的研发，目前公司是国内领先的手机射频开关、低噪放大器的芯片设计公司，射频前端芯片应用于三星、小米、华为等终端厂商产品中。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目前收入以射频开关和 LNA 为主，未来将进军 SAW滤波器市场。目前公司收入主要来自于射频开关和低噪放大器。公司 2019 年上市募投资金的 39%，合4.7亿元将用于滤波器及模组的研发，主要是 SAW滤波器。虽然 SAW滤波器在高频（2.5GHz 以上）时受限，但是由于 BAW 滤波器门槛较高，专利壁垒较高，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卓胜微选择以 SAW滤波器作为行业的突破口，目前 SAW滤波器有小批量供货。未来较长一段时间内 5G 与 4G 共存，因此 SAW滤波器仍将占据一定的市场份额，公司也有望在国产替代 过程中取得一定市场份额。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2、紫光展锐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2013 年紫光集团以 18 亿美元收购了当时国内第一、世界第三的通信基带芯片设 计公司展讯，随后2014 年，紫光集团收购了当时国内排名第二的通信芯片设计公 司锐迪科，并于2016年将两者整合为紫光展锐。2018 年，紫光展锐以 110 亿元 营收在中国 IC 设计公司中排名第二。展讯主要聚焦2G/3G/4G/5G 移动通信基带芯片的设计开发；锐迪科主要从事射频芯片的开发设计。通信基带立足中低端市场，5G 时期有望切入中高端市场。虽然公司产品性能、制程距一流厂商仍有一定差距，但5G 时期凭借这一款芯片公司有望切入中高端市场。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3、昂瑞微（汉天下）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公司成立于 2012 年，原名中科汉天下，2019年9月更名为昂瑞微。主要从事射频前端芯片和射频 SoC 芯片的研发设计，目前每年出货量达 7 亿颗。公司目前主 要产品为面向手机终端的 2G/3G/4G 全系列射频前端芯片和面向物联网的无线连接芯片，具备CMOS和 GaAs 功放的设计能力。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低端射频前端芯片市场占比较高，处于国内领先地位。公司目前是国内CMOS 工艺手机射频功放芯片出货量最大的设计公司，GSM 功放产品全球占比75%，3G 功放全球占比65%，但 4G 功放市场仍主要被欧美厂商占据。此外，在滤波器方 面，公司已经掌握射频MEMS（微电机系统）BAW滤波器的核心技术，也有望 成为国内第一家 BAW 滤波器规模量产的公司。在近乎相同性能的前提下，公司MEMS滤波器比进口产品低20%以上，希望通过高性价在滤波器市场比占据一席之地。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在6GHz 以下频段，目前的全球射频前端市场的头部厂商包括博通（Broadcom）、Qorvo、Skyworks、村田（Murata）。整体而言国产厂商处于弱势。根据 SystemPlus Consulting的报告，在分别拆解苹果、三星、华为、索尼、小米和华硕的旗舰机型后统计发现，这些43种主要的射频器件，其40%来自 Skyworks，24%来自博通，19%来自 Murata，10%来自 Qorvo，另外 7%来自 TDK/Epcos。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六大品牌旗舰机型射频器件供应商分析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3624580"/>
            <wp:effectExtent l="0" t="0" r="2540" b="0"/>
            <wp:docPr id="8128814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88141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射频前端组件</w:t>
      </w:r>
      <w:r>
        <w:rPr>
          <w:rFonts w:hint="eastAsia"/>
          <w:lang w:eastAsia="zh-CN"/>
        </w:rPr>
        <w:t>，全球市场规模，按产品类型细分，滤波器处于主导地位</w:t>
      </w:r>
    </w:p>
    <w:p>
      <w:pPr>
        <w:pStyle w:val="14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426075" cy="3060700"/>
            <wp:effectExtent l="0" t="0" r="3175" b="6350"/>
            <wp:docPr id="21057229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722928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按功能分，射频前端器件主要包括功率放大器（power amplifier，PA），低噪放大器（low noise amplifier，LNA，滤波器，开关，数模/ 模数转换器（AD/DA convertor，ADC/DAC，双工器（duplexer）等，功率放大器负责发射通道的射频信号放大；滤波器负责发射及接收信号的滤波；双工器负责FDD（frequency division duplexing）系统的双工切换及接收/发送通道的射频信号滤波；射频开关负责接收、发射通道之间的切换；低噪声放大器主要用于接收 通道中的小信号放大；接收机/发射机用于射频信号的变频、信道选择。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其中滤波器是射频前端市场中最大的业务板块，2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年占比达到5</w:t>
      </w:r>
      <w:r>
        <w:rPr>
          <w:lang w:eastAsia="zh-CN"/>
        </w:rPr>
        <w:t>7%</w:t>
      </w:r>
      <w:r>
        <w:rPr>
          <w:rFonts w:hint="eastAsia"/>
          <w:lang w:eastAsia="zh-CN"/>
        </w:rPr>
        <w:t>，并且随着通信频段的增加，其份额将进一步提高；功率放大器是射频前端市场中的第二大业务板块，占比约3</w:t>
      </w:r>
      <w:r>
        <w:rPr>
          <w:lang w:eastAsia="zh-CN"/>
        </w:rPr>
        <w:t>0</w:t>
      </w:r>
      <w:r>
        <w:rPr>
          <w:rFonts w:hint="eastAsia"/>
          <w:lang w:eastAsia="zh-CN"/>
        </w:rPr>
        <w:t>%；射频开关占比约</w:t>
      </w:r>
      <w:r>
        <w:rPr>
          <w:lang w:eastAsia="zh-CN"/>
        </w:rPr>
        <w:t>7</w:t>
      </w:r>
      <w:r>
        <w:rPr>
          <w:rFonts w:hint="eastAsia"/>
          <w:lang w:eastAsia="zh-CN"/>
        </w:rPr>
        <w:t>%，天线调谐器及其他占比约5%。</w:t>
      </w: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射频前端组件</w:t>
      </w:r>
      <w:r>
        <w:rPr>
          <w:rFonts w:hint="eastAsia"/>
          <w:lang w:eastAsia="zh-CN"/>
        </w:rPr>
        <w:t>，全球市场规模，按应用细分，消费电子是最大的下游市场，占有</w:t>
      </w:r>
      <w:r>
        <w:rPr>
          <w:lang w:eastAsia="zh-CN"/>
        </w:rPr>
        <w:t>82%</w:t>
      </w:r>
      <w:r>
        <w:rPr>
          <w:rFonts w:hint="eastAsia"/>
          <w:lang w:eastAsia="zh-CN"/>
        </w:rPr>
        <w:t>份额。</w:t>
      </w:r>
    </w:p>
    <w:p>
      <w:pPr>
        <w:pStyle w:val="145"/>
        <w:jc w:val="center"/>
      </w:pPr>
      <w:r>
        <w:drawing>
          <wp:inline distT="0" distB="0" distL="0" distR="0">
            <wp:extent cx="5267325" cy="3060700"/>
            <wp:effectExtent l="0" t="0" r="9525" b="6350"/>
            <wp:docPr id="19672702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270273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消费电子是射频前端组件下游应用领域最大的市场，占据全球射频前端组件市场份额8</w:t>
      </w:r>
      <w:r>
        <w:rPr>
          <w:lang w:eastAsia="zh-CN"/>
        </w:rPr>
        <w:t>2%</w:t>
      </w:r>
      <w:r>
        <w:rPr>
          <w:rFonts w:hint="eastAsia"/>
          <w:lang w:eastAsia="zh-CN"/>
        </w:rPr>
        <w:t>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射频前端组件在下游应用领域的具体应用如下：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通信领域：射频前端组件在通信领域主要用于接收和发射无线电信号，是通信设备的核心部件。射频前端组件在通信领域的典型应用包括：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移动通信：射频前端组件用于移动通信设备的接收和发射，包括手机、平板电脑、智能手表等。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卫星通信：射频前端组件用于卫星通信设备的接收和发射，包括卫星电视接收机、卫星电话等。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无线局域网：射频前端组件用于无线局域网设备的接收和发射，包括Wi-Fi路由器、无线网卡等。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军工领域：射频前端组件在军工领域具有重要的应用，广泛用于雷达、导弹、卫星等武器装备。射频前端组件在军工领域的典型应用包括：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雷达：射频前端组件用于雷达的接收和发射，是雷达系统的重要组成部分。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导弹：射频前端组件用于导弹的制导系统，是导弹能够精确命中的关键。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卫星：射频前端组件用于卫星的通信系统，是卫星能够与地面通信的关键。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消费电子领域：射频前端组件在消费电子领域的应用日益广泛，广泛用于智能手机、平板电脑、电视机、无人机等产品。射频前端组件在消费电子领域的典型应用包括：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智能手机：射频前端组件用于智能手机的接收和发射，是智能手机能够实现语音通话、数据通信等功能的关键。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平板电脑：射频前端组件用于平板电脑的接收和发射，是平板电脑能够实现语音通话、数据通信等功能的关键。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电视机：射频前端组件用于电视机的接收和发射，是电视机能够实现无线电视接收功能的关键。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无人机：射频前端组件用于无人机的通信系统，是无人机能够与地面控制台通信的关键。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工业领域：射频前端组件在工业领域的应用也越来越多，广泛用于工业控制、医疗设备、航空航天等领域。射频前端组件在工业领域的典型应用包括：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工业控制：射频前端组件用于工业控制系统的通信，是工业控制系统能够实现远程控制和数据采集的关键。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医疗设备：射频前端组件用于医疗设备的无线通信，是医疗设备能够实现远程诊断和治疗的关键。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航空航天：射频前端组件用于航空航天器的通信系统，是航空航天器能够与地面通信的关键。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11430"/>
            <wp:docPr id="162602751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射频前端组件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亚太地区是全球射频前端组件的主要生产和消费地区，中国是全球最大的射频前端组件生产和消费市场。随着中国经济的快速发展和5G、物联网等新技术的普及，亚太地区对射频前端组件的需求将不断增长。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北美地区是全球第二大射频前端组件市场，美国是全球最大的射频前端组件消费市场。随着美国5G网络的建设和物联网市场的快速发展，北美地区对射频前端组件的需求将保持增长。</w:t>
      </w:r>
    </w:p>
    <w:p>
      <w:pPr>
        <w:pStyle w:val="145"/>
        <w:spacing w:line="360" w:lineRule="auto"/>
        <w:rPr>
          <w:lang w:eastAsia="zh-CN"/>
        </w:rPr>
      </w:pPr>
      <w:r>
        <w:rPr>
          <w:rFonts w:hint="eastAsia"/>
          <w:lang w:eastAsia="zh-CN"/>
        </w:rPr>
        <w:t>欧洲地区是全球第三大射频前端组件市场，德国、英国、法国是全球主要的射频前端组件生产和消费市场。随着欧洲5G网络的建设和物联网市场的快速发展，欧洲地区对射频前端组件的需求将保持增长。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bookmarkEnd w:id="14"/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5" w:name="_Hlk149300690"/>
    <w:bookmarkStart w:id="16" w:name="_Hlk149300692"/>
    <w:bookmarkStart w:id="17" w:name="_Hlk149300689"/>
    <w:bookmarkStart w:id="18" w:name="_Hlk149300688"/>
    <w:bookmarkStart w:id="19" w:name="_Hlk149300687"/>
    <w:bookmarkStart w:id="20" w:name="_Hlk149300691"/>
    <w:r>
      <w:t xml:space="preserve">Copyright © QYResearch | market@qyresearch.com | </w:t>
    </w:r>
    <w:bookmarkEnd w:id="15"/>
    <w:bookmarkEnd w:id="16"/>
    <w:bookmarkEnd w:id="17"/>
    <w:bookmarkEnd w:id="18"/>
    <w:bookmarkEnd w:id="19"/>
    <w:bookmarkEnd w:id="20"/>
    <w:r>
      <w:t>www.qyresearch.com.cn</w:t>
    </w:r>
  </w:p>
  <w:p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6E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1AD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BEE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06F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758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7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D87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13B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CFB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37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512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C7A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559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83D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35E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69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3F1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071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764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3CFE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85A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2D4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7D8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77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100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4D51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DFD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556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205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chart" Target="charts/chart3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_rels/chart3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0812994953714102"/>
          <c:y val="0.0830431887123778"/>
          <c:w val="0.845512387307458"/>
          <c:h val="0.7946075675720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全球总体!$A$12</c:f>
              <c:strCache>
                <c:ptCount val="1"/>
                <c:pt idx="0">
                  <c:v>全球规模（百万美元）</c:v>
                </c:pt>
              </c:strCache>
            </c:strRef>
          </c:tx>
          <c:spPr>
            <a:solidFill>
              <a:srgbClr val="002060"/>
            </a:solidFill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delete val="1"/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全球总体!$B$12:$M$12</c:f>
              <c:numCache>
                <c:formatCode>#,##0_ </c:formatCode>
                <c:ptCount val="12"/>
                <c:pt idx="0">
                  <c:v>13565.27</c:v>
                </c:pt>
                <c:pt idx="1">
                  <c:v>14670.5</c:v>
                </c:pt>
                <c:pt idx="2">
                  <c:v>16166.59</c:v>
                </c:pt>
                <c:pt idx="3">
                  <c:v>18199.47</c:v>
                </c:pt>
                <c:pt idx="4">
                  <c:v>20400</c:v>
                </c:pt>
                <c:pt idx="5">
                  <c:v>22958.45</c:v>
                </c:pt>
                <c:pt idx="6">
                  <c:v>26094.91</c:v>
                </c:pt>
                <c:pt idx="7">
                  <c:v>29200.86</c:v>
                </c:pt>
                <c:pt idx="8">
                  <c:v>32128.44</c:v>
                </c:pt>
                <c:pt idx="9">
                  <c:v>35065.67</c:v>
                </c:pt>
                <c:pt idx="10">
                  <c:v>38401.03</c:v>
                </c:pt>
                <c:pt idx="11">
                  <c:v>41645.93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全球总体!$A$13</c:f>
              <c:strCache>
                <c:ptCount val="1"/>
                <c:pt idx="0">
                  <c:v>增速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32"/>
            <c:spPr>
              <a:solidFill>
                <a:schemeClr val="bg1">
                  <a:lumMod val="50000"/>
                </a:schemeClr>
              </a:solidFill>
              <a:ln w="9525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Book Antiqua" panose="02040602050305030304" pitchFamily="1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全球总体!$B$13:$M$13</c:f>
              <c:numCache>
                <c:formatCode>0.0%</c:formatCode>
                <c:ptCount val="12"/>
                <c:pt idx="0">
                  <c:v>0.103267867073454</c:v>
                </c:pt>
                <c:pt idx="1">
                  <c:v>0.08147472734052</c:v>
                </c:pt>
                <c:pt idx="2">
                  <c:v>0.10197914716614</c:v>
                </c:pt>
                <c:pt idx="3">
                  <c:v>0.12574546677377</c:v>
                </c:pt>
                <c:pt idx="4">
                  <c:v>0.12091192686437</c:v>
                </c:pt>
                <c:pt idx="5">
                  <c:v>0.125414131857125</c:v>
                </c:pt>
                <c:pt idx="6">
                  <c:v>0.136614678829674</c:v>
                </c:pt>
                <c:pt idx="7">
                  <c:v>0.11902528732987</c:v>
                </c:pt>
                <c:pt idx="8">
                  <c:v>0.100256798681335</c:v>
                </c:pt>
                <c:pt idx="9">
                  <c:v>0.0914215289387889</c:v>
                </c:pt>
                <c:pt idx="10">
                  <c:v>0.095117452780484</c:v>
                </c:pt>
                <c:pt idx="11">
                  <c:v>0.084500230133756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prstDash val="solid"/>
              <a:round/>
            </a:ln>
          </c:spPr>
        </c:majorGridlines>
        <c:numFmt formatCode="#,##0_ " sourceLinked="1"/>
        <c:majorTickMark val="out"/>
        <c:minorTickMark val="none"/>
        <c:tickLblPos val="none"/>
        <c:spPr>
          <a:ln w="9525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</c:scaling>
        <c:delete val="0"/>
        <c:axPos val="r"/>
        <c:numFmt formatCode="0%" sourceLinked="0"/>
        <c:majorTickMark val="out"/>
        <c:minorTickMark val="none"/>
        <c:tickLblPos val="none"/>
        <c:spPr>
          <a:ln w="9525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legend>
      <c:legendPos val="t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企业排序!$F$2:$F$16</c:f>
              <c:strCache>
                <c:ptCount val="10"/>
                <c:pt idx="0">
                  <c:v>Maxscend Technologies</c:v>
                </c:pt>
                <c:pt idx="1">
                  <c:v>TDK</c:v>
                </c:pt>
                <c:pt idx="2">
                  <c:v>Infineon Technologies</c:v>
                </c:pt>
                <c:pt idx="3">
                  <c:v>Analog Devices</c:v>
                </c:pt>
                <c:pt idx="4">
                  <c:v>TAIYO YUDEN</c:v>
                </c:pt>
                <c:pt idx="5">
                  <c:v>Qualcomm</c:v>
                </c:pt>
                <c:pt idx="6">
                  <c:v>Murata</c:v>
                </c:pt>
                <c:pt idx="7">
                  <c:v>Broadcom</c:v>
                </c:pt>
                <c:pt idx="8">
                  <c:v>Qorvo</c:v>
                </c:pt>
                <c:pt idx="9">
                  <c:v>Skyworks</c:v>
                </c:pt>
              </c:strCache>
            </c:strRef>
          </c:cat>
          <c:val>
            <c:numRef>
              <c:f>企业排序!$G$2:$G$16</c:f>
              <c:numCache>
                <c:formatCode>0.00%</c:formatCode>
                <c:ptCount val="10"/>
                <c:pt idx="0">
                  <c:v>0.024</c:v>
                </c:pt>
                <c:pt idx="1">
                  <c:v>0.034</c:v>
                </c:pt>
                <c:pt idx="2">
                  <c:v>0.042</c:v>
                </c:pt>
                <c:pt idx="3">
                  <c:v>0.05</c:v>
                </c:pt>
                <c:pt idx="4">
                  <c:v>0.074</c:v>
                </c:pt>
                <c:pt idx="5">
                  <c:v>0.096</c:v>
                </c:pt>
                <c:pt idx="6">
                  <c:v>0.122</c:v>
                </c:pt>
                <c:pt idx="7">
                  <c:v>0.164</c:v>
                </c:pt>
                <c:pt idx="8">
                  <c:v>0.218</c:v>
                </c:pt>
                <c:pt idx="9">
                  <c:v>0.224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'地区-消费'!$Q$2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'地区-消费'!$R$2:$AC$2</c:f>
              <c:numCache>
                <c:formatCode>0.0%</c:formatCode>
                <c:ptCount val="12"/>
                <c:pt idx="0">
                  <c:v>0.296635325408583</c:v>
                </c:pt>
                <c:pt idx="1">
                  <c:v>0.3118</c:v>
                </c:pt>
                <c:pt idx="2">
                  <c:v>0.286253746810336</c:v>
                </c:pt>
                <c:pt idx="3">
                  <c:v>0.332767421884587</c:v>
                </c:pt>
                <c:pt idx="4">
                  <c:v>0.309156478333213</c:v>
                </c:pt>
                <c:pt idx="5">
                  <c:v>0.304112713591472</c:v>
                </c:pt>
                <c:pt idx="6">
                  <c:v>0.299851083918372</c:v>
                </c:pt>
                <c:pt idx="7">
                  <c:v>0.292373961615583</c:v>
                </c:pt>
                <c:pt idx="8">
                  <c:v>0.28654742132303</c:v>
                </c:pt>
                <c:pt idx="9">
                  <c:v>0.277379026912369</c:v>
                </c:pt>
                <c:pt idx="10">
                  <c:v>0.266428758918558</c:v>
                </c:pt>
                <c:pt idx="11">
                  <c:v>0.255749235474006</c:v>
                </c:pt>
              </c:numCache>
            </c:numRef>
          </c:val>
        </c:ser>
        <c:ser>
          <c:idx val="1"/>
          <c:order val="1"/>
          <c:tx>
            <c:strRef>
              <c:f>'地区-消费'!$Q$3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'地区-消费'!$R$3:$AC$3</c:f>
              <c:numCache>
                <c:formatCode>0.0%</c:formatCode>
                <c:ptCount val="12"/>
                <c:pt idx="0">
                  <c:v>0.200831165498174</c:v>
                </c:pt>
                <c:pt idx="1">
                  <c:v>0.171</c:v>
                </c:pt>
                <c:pt idx="2">
                  <c:v>0.219781487135487</c:v>
                </c:pt>
                <c:pt idx="3">
                  <c:v>0.134041140970293</c:v>
                </c:pt>
                <c:pt idx="4">
                  <c:v>0.175338721178987</c:v>
                </c:pt>
                <c:pt idx="5">
                  <c:v>0.174280843392381</c:v>
                </c:pt>
                <c:pt idx="6">
                  <c:v>0.17421545623662</c:v>
                </c:pt>
                <c:pt idx="7">
                  <c:v>0.176269335433973</c:v>
                </c:pt>
                <c:pt idx="8">
                  <c:v>0.176147345593487</c:v>
                </c:pt>
                <c:pt idx="9">
                  <c:v>0.178523134031553</c:v>
                </c:pt>
                <c:pt idx="10">
                  <c:v>0.184598833925915</c:v>
                </c:pt>
                <c:pt idx="11">
                  <c:v>0.192782874617737</c:v>
                </c:pt>
              </c:numCache>
            </c:numRef>
          </c:val>
        </c:ser>
        <c:ser>
          <c:idx val="2"/>
          <c:order val="2"/>
          <c:tx>
            <c:strRef>
              <c:f>'地区-消费'!$Q$4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'地区-消费'!$R$4:$AC$4</c:f>
              <c:numCache>
                <c:formatCode>0.0%</c:formatCode>
                <c:ptCount val="12"/>
                <c:pt idx="0">
                  <c:v>0.416036652940284</c:v>
                </c:pt>
                <c:pt idx="1">
                  <c:v>0.4273</c:v>
                </c:pt>
                <c:pt idx="2">
                  <c:v>0.410431008546628</c:v>
                </c:pt>
                <c:pt idx="3">
                  <c:v>0.441543790368462</c:v>
                </c:pt>
                <c:pt idx="4">
                  <c:v>0.428978307375906</c:v>
                </c:pt>
                <c:pt idx="5">
                  <c:v>0.43702853111773</c:v>
                </c:pt>
                <c:pt idx="6">
                  <c:v>0.442451927121797</c:v>
                </c:pt>
                <c:pt idx="7">
                  <c:v>0.448188556287597</c:v>
                </c:pt>
                <c:pt idx="8">
                  <c:v>0.454639811364595</c:v>
                </c:pt>
                <c:pt idx="9">
                  <c:v>0.461719143576826</c:v>
                </c:pt>
                <c:pt idx="10">
                  <c:v>0.4677465976249</c:v>
                </c:pt>
                <c:pt idx="11">
                  <c:v>0.470741590214067</c:v>
                </c:pt>
              </c:numCache>
            </c:numRef>
          </c:val>
        </c:ser>
        <c:ser>
          <c:idx val="3"/>
          <c:order val="3"/>
          <c:tx>
            <c:strRef>
              <c:f>'地区-消费'!$Q$5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'地区-消费'!$R$5:$AC$5</c:f>
              <c:numCache>
                <c:formatCode>0.0%</c:formatCode>
                <c:ptCount val="12"/>
                <c:pt idx="0">
                  <c:v>0.035101431354479</c:v>
                </c:pt>
                <c:pt idx="1">
                  <c:v>0.0362</c:v>
                </c:pt>
                <c:pt idx="2">
                  <c:v>0.0338522224574619</c:v>
                </c:pt>
                <c:pt idx="3">
                  <c:v>0.0368238456990507</c:v>
                </c:pt>
                <c:pt idx="4">
                  <c:v>0.0347867425925735</c:v>
                </c:pt>
                <c:pt idx="5">
                  <c:v>0.0341060511051889</c:v>
                </c:pt>
                <c:pt idx="6">
                  <c:v>0.0335411739410879</c:v>
                </c:pt>
                <c:pt idx="7">
                  <c:v>0.0334610426811802</c:v>
                </c:pt>
                <c:pt idx="8">
                  <c:v>0.0332865760780703</c:v>
                </c:pt>
                <c:pt idx="9">
                  <c:v>0.0330024526050643</c:v>
                </c:pt>
                <c:pt idx="10">
                  <c:v>0.0325641698682002</c:v>
                </c:pt>
                <c:pt idx="11">
                  <c:v>0.032545871559633</c:v>
                </c:pt>
              </c:numCache>
            </c:numRef>
          </c:val>
        </c:ser>
        <c:ser>
          <c:idx val="4"/>
          <c:order val="4"/>
          <c:tx>
            <c:strRef>
              <c:f>'地区-消费'!$Q$6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'地区-消费'!$R$1:$AC$1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2021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'地区-消费'!$R$6:$AC$6</c:f>
              <c:numCache>
                <c:formatCode>0.0%</c:formatCode>
                <c:ptCount val="12"/>
                <c:pt idx="0">
                  <c:v>0.0513954247984788</c:v>
                </c:pt>
                <c:pt idx="1">
                  <c:v>0.0537</c:v>
                </c:pt>
                <c:pt idx="2">
                  <c:v>0.0496815350500875</c:v>
                </c:pt>
                <c:pt idx="3">
                  <c:v>0.0548238010776078</c:v>
                </c:pt>
                <c:pt idx="4">
                  <c:v>0.0517397505193208</c:v>
                </c:pt>
                <c:pt idx="5">
                  <c:v>0.0504718607932278</c:v>
                </c:pt>
                <c:pt idx="6">
                  <c:v>0.0499403587821226</c:v>
                </c:pt>
                <c:pt idx="7">
                  <c:v>0.0497071039816672</c:v>
                </c:pt>
                <c:pt idx="8">
                  <c:v>0.0493788456408182</c:v>
                </c:pt>
                <c:pt idx="9">
                  <c:v>0.049376242874188</c:v>
                </c:pt>
                <c:pt idx="10">
                  <c:v>0.0486616396624271</c:v>
                </c:pt>
                <c:pt idx="11">
                  <c:v>0.0481804281345566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211860624"/>
        <c:axId val="1208279776"/>
      </c:barChart>
      <c:catAx>
        <c:axId val="1211860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08279776"/>
        <c:crosses val="autoZero"/>
        <c:auto val="1"/>
        <c:lblAlgn val="ctr"/>
        <c:lblOffset val="100"/>
        <c:noMultiLvlLbl val="0"/>
      </c:catAx>
      <c:valAx>
        <c:axId val="1208279776"/>
        <c:scaling>
          <c:orientation val="minMax"/>
          <c:max val="1"/>
        </c:scaling>
        <c:delete val="1"/>
        <c:axPos val="l"/>
        <c:numFmt formatCode="0.0%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211860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863</Words>
  <Characters>4922</Characters>
  <Lines>41</Lines>
  <Paragraphs>11</Paragraphs>
  <TotalTime>0</TotalTime>
  <ScaleCrop>false</ScaleCrop>
  <LinksUpToDate>false</LinksUpToDate>
  <CharactersWithSpaces>5774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2023-10-24T02:39:00Z</dcterms:created>
  <dc:creator>yangj</dc:creator>
  <cp:lastModifiedBy>*星*空夜@话</cp:lastModifiedBy>
  <dcterms:modified xsi:type="dcterms:W3CDTF">2024-01-12T05:35:57Z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60634E13F053442E8ECC2025EC3CEC8B_12</vt:lpwstr>
  </property>
</Properties>
</file>