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81801204"/>
      <w:bookmarkStart w:id="1" w:name="OLE_LINK24"/>
      <w:bookmarkStart w:id="2" w:name="_Toc453597319"/>
      <w:bookmarkStart w:id="3" w:name="OLE_LINK39"/>
      <w:bookmarkStart w:id="4" w:name="_Toc415818939"/>
      <w:bookmarkStart w:id="5" w:name="_Toc418070112"/>
      <w:bookmarkStart w:id="6" w:name="_Hlk23501351"/>
      <w:bookmarkStart w:id="7" w:name="OLE_LINK15"/>
      <w:bookmarkStart w:id="8" w:name="_Toc438987549"/>
      <w:bookmarkStart w:id="9" w:name="OLE_LINK40"/>
      <w:bookmarkStart w:id="10" w:name="_Toc415142861"/>
      <w:bookmarkStart w:id="11" w:name="OLE_LINK13"/>
      <w:bookmarkStart w:id="12" w:name="_Toc415143481"/>
      <w:bookmarkStart w:id="13" w:name="_Toc517262917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1339850</wp:posOffset>
                </wp:positionV>
                <wp:extent cx="6352540" cy="2647315"/>
                <wp:effectExtent l="0" t="0" r="10160" b="63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6352540" cy="2647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spacing w:after="0"/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市场趋势-预计2029年全球硅基集成无源器件市场规模将达到16.5亿美元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6pt;margin-top:105.5pt;height:208.45pt;width:500.2pt;z-index:251661312;mso-width-relative:page;mso-height-relative:page;" fillcolor="#FFFFFF [3201]" filled="t" stroked="f" coordsize="21600,21600" o:gfxdata="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Q5lc&#10;1gAAAAsBAAAPAAAAAAAAAAEAIAAAACIAAABkcnMvZG93bnJldi54bWxQSwECFAAUAAAACACHTuJA&#10;F6EMYFwCAACeBAAADgAAAAAAAAABACAAAAAl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spacing w:after="0"/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市场趋势-预计2029年全球硅基集成无源器件市场规模将达到16.5亿美元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67"/>
        <w:rPr>
          <w:lang w:eastAsia="zh-CN"/>
        </w:rPr>
      </w:pPr>
      <w:r>
        <w:rPr>
          <w:lang w:eastAsia="zh-CN"/>
        </w:rPr>
        <w:t>硅基集成无源器件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b/>
          <w:bCs/>
          <w:color w:val="000000"/>
          <w:lang w:val="en-US" w:eastAsia="zh-CN"/>
        </w:rPr>
        <w:drawing>
          <wp:inline distT="0" distB="0" distL="0" distR="0">
            <wp:extent cx="6188710" cy="1261110"/>
            <wp:effectExtent l="0" t="0" r="2540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126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据调研团队最新报告“全球硅基集成无源器件市场报告2023-2029”显示，预计2029年全球硅基集成无源器件市场规模将达到16.5亿美元，未来几年年复合增长率CAGR为8.2%。</w:t>
      </w:r>
    </w:p>
    <w:p>
      <w:pPr>
        <w:pStyle w:val="148"/>
      </w:pPr>
      <w:r>
        <w:t>硅基集成无源器件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16.5</w:t>
      </w:r>
      <w:r>
        <w:rPr>
          <w:rFonts w:hint="eastAsia"/>
          <w:lang w:eastAsia="zh-CN"/>
        </w:rPr>
        <w:t>亿美元</w:t>
      </w:r>
    </w:p>
    <w:p>
      <w:pPr>
        <w:pStyle w:val="145"/>
      </w:pPr>
      <w:r>
        <w:drawing>
          <wp:inline distT="0" distB="0" distL="0" distR="0">
            <wp:extent cx="6188710" cy="2886710"/>
            <wp:effectExtent l="0" t="0" r="2540" b="889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硅基集成无源器件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硅基集成无源器件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10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4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硅基集成无源器件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pStyle w:val="145"/>
      </w:pPr>
      <w:r>
        <w:rPr>
          <w:rFonts w:hint="eastAsia"/>
          <w:lang w:eastAsia="zh-CN"/>
        </w:rPr>
        <w:t>全球范围内硅基集成无源器件生产商主要包括STMicroelectronics N.V. STMicroelectronics、Murata Manufacturing Co., Ltd.、Qorvo、Broadcom Inc.、AVX、ON Semiconductor Corporation、Wuhan Yuxin Semiconductor Co., Ltd.、Skyworks、Onchip Devices、Johanson Technology等。2021年，全球前五大厂商占有大约54.0%的市场份额。</w:t>
      </w: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CF1907"/>
    <w:rsid w:val="02A50666"/>
    <w:rsid w:val="02C31E14"/>
    <w:rsid w:val="02E3014B"/>
    <w:rsid w:val="02E76B51"/>
    <w:rsid w:val="03107D15"/>
    <w:rsid w:val="03447D4D"/>
    <w:rsid w:val="039F62FF"/>
    <w:rsid w:val="03EA7678"/>
    <w:rsid w:val="042F016D"/>
    <w:rsid w:val="05405A2B"/>
    <w:rsid w:val="070A2A99"/>
    <w:rsid w:val="07287ACA"/>
    <w:rsid w:val="07531178"/>
    <w:rsid w:val="07CE3ADB"/>
    <w:rsid w:val="07E72487"/>
    <w:rsid w:val="086D0162"/>
    <w:rsid w:val="09B40479"/>
    <w:rsid w:val="0A126294"/>
    <w:rsid w:val="0A413560"/>
    <w:rsid w:val="0A9D03F6"/>
    <w:rsid w:val="0AFE7196"/>
    <w:rsid w:val="0B676BC5"/>
    <w:rsid w:val="0BE3650F"/>
    <w:rsid w:val="0CE12BAF"/>
    <w:rsid w:val="0D126C01"/>
    <w:rsid w:val="0D223618"/>
    <w:rsid w:val="0F231E64"/>
    <w:rsid w:val="0F5116AE"/>
    <w:rsid w:val="0F601CC9"/>
    <w:rsid w:val="105A40DF"/>
    <w:rsid w:val="1087172B"/>
    <w:rsid w:val="10A04854"/>
    <w:rsid w:val="113605CA"/>
    <w:rsid w:val="118A2253"/>
    <w:rsid w:val="121421B7"/>
    <w:rsid w:val="12145A3A"/>
    <w:rsid w:val="12B442BF"/>
    <w:rsid w:val="130030B9"/>
    <w:rsid w:val="132135EE"/>
    <w:rsid w:val="140C22F2"/>
    <w:rsid w:val="14DF00CB"/>
    <w:rsid w:val="15391A5F"/>
    <w:rsid w:val="161C3356"/>
    <w:rsid w:val="161D5555"/>
    <w:rsid w:val="166C0B57"/>
    <w:rsid w:val="16722A60"/>
    <w:rsid w:val="170809D5"/>
    <w:rsid w:val="171325EA"/>
    <w:rsid w:val="17263809"/>
    <w:rsid w:val="175355D1"/>
    <w:rsid w:val="18147C0E"/>
    <w:rsid w:val="182A5635"/>
    <w:rsid w:val="184461DF"/>
    <w:rsid w:val="191861B7"/>
    <w:rsid w:val="19D133E7"/>
    <w:rsid w:val="19E67B09"/>
    <w:rsid w:val="1A3A7593"/>
    <w:rsid w:val="1A6900E2"/>
    <w:rsid w:val="1B073464"/>
    <w:rsid w:val="1B2C5C22"/>
    <w:rsid w:val="1B415BC7"/>
    <w:rsid w:val="1B6E410D"/>
    <w:rsid w:val="1C27133D"/>
    <w:rsid w:val="1C8D7DE8"/>
    <w:rsid w:val="1CEB48FE"/>
    <w:rsid w:val="1D517B25"/>
    <w:rsid w:val="1DB37BCA"/>
    <w:rsid w:val="1DD1717A"/>
    <w:rsid w:val="1DE17414"/>
    <w:rsid w:val="1E0C0259"/>
    <w:rsid w:val="1E264686"/>
    <w:rsid w:val="1E29560A"/>
    <w:rsid w:val="1EA374D2"/>
    <w:rsid w:val="1F466CDC"/>
    <w:rsid w:val="1F990CE4"/>
    <w:rsid w:val="1FD06C40"/>
    <w:rsid w:val="20404975"/>
    <w:rsid w:val="20664BB5"/>
    <w:rsid w:val="20D506EC"/>
    <w:rsid w:val="20ED3B94"/>
    <w:rsid w:val="214210A0"/>
    <w:rsid w:val="218E591C"/>
    <w:rsid w:val="21C42573"/>
    <w:rsid w:val="22257114"/>
    <w:rsid w:val="229F5759"/>
    <w:rsid w:val="22D20532"/>
    <w:rsid w:val="236D70AB"/>
    <w:rsid w:val="24187544"/>
    <w:rsid w:val="24356AF4"/>
    <w:rsid w:val="243B67FF"/>
    <w:rsid w:val="24816F73"/>
    <w:rsid w:val="248633FB"/>
    <w:rsid w:val="250F7ADC"/>
    <w:rsid w:val="25644FE8"/>
    <w:rsid w:val="256A6EF1"/>
    <w:rsid w:val="256E2074"/>
    <w:rsid w:val="2598673B"/>
    <w:rsid w:val="25B22B68"/>
    <w:rsid w:val="26126405"/>
    <w:rsid w:val="27054714"/>
    <w:rsid w:val="27372964"/>
    <w:rsid w:val="27CC2E58"/>
    <w:rsid w:val="28696559"/>
    <w:rsid w:val="28E41726"/>
    <w:rsid w:val="299E43D8"/>
    <w:rsid w:val="29DC643B"/>
    <w:rsid w:val="29FD43F1"/>
    <w:rsid w:val="2A113092"/>
    <w:rsid w:val="2A5218FD"/>
    <w:rsid w:val="2B5449A3"/>
    <w:rsid w:val="2C06004A"/>
    <w:rsid w:val="2C856399"/>
    <w:rsid w:val="2CE72BBB"/>
    <w:rsid w:val="2D090B71"/>
    <w:rsid w:val="2D9716DA"/>
    <w:rsid w:val="2D9A265E"/>
    <w:rsid w:val="2ED33660"/>
    <w:rsid w:val="2EF9001C"/>
    <w:rsid w:val="2F107C41"/>
    <w:rsid w:val="2F5603B6"/>
    <w:rsid w:val="2FBF4562"/>
    <w:rsid w:val="30711E07"/>
    <w:rsid w:val="30A844DF"/>
    <w:rsid w:val="314F5F72"/>
    <w:rsid w:val="31BC43A8"/>
    <w:rsid w:val="31C02DAE"/>
    <w:rsid w:val="31CE7B45"/>
    <w:rsid w:val="31EF007A"/>
    <w:rsid w:val="32915685"/>
    <w:rsid w:val="32925305"/>
    <w:rsid w:val="33301D0B"/>
    <w:rsid w:val="333A261A"/>
    <w:rsid w:val="33995EB7"/>
    <w:rsid w:val="33CF4D0C"/>
    <w:rsid w:val="33EE55C1"/>
    <w:rsid w:val="34196405"/>
    <w:rsid w:val="34945D4F"/>
    <w:rsid w:val="34ED1C61"/>
    <w:rsid w:val="354016EB"/>
    <w:rsid w:val="354E0A01"/>
    <w:rsid w:val="35650626"/>
    <w:rsid w:val="35684E2E"/>
    <w:rsid w:val="357A05CB"/>
    <w:rsid w:val="36840A7D"/>
    <w:rsid w:val="38232AA8"/>
    <w:rsid w:val="38356245"/>
    <w:rsid w:val="389030DC"/>
    <w:rsid w:val="38F85F83"/>
    <w:rsid w:val="38FB278B"/>
    <w:rsid w:val="398D7AFC"/>
    <w:rsid w:val="399248BD"/>
    <w:rsid w:val="39984266"/>
    <w:rsid w:val="39CE0565"/>
    <w:rsid w:val="39F13F9D"/>
    <w:rsid w:val="3A1B4DE1"/>
    <w:rsid w:val="3A522D3D"/>
    <w:rsid w:val="3AC37B79"/>
    <w:rsid w:val="3BAF51F7"/>
    <w:rsid w:val="3CCE564F"/>
    <w:rsid w:val="3CF93F15"/>
    <w:rsid w:val="3D6F51D8"/>
    <w:rsid w:val="3D947997"/>
    <w:rsid w:val="3E2171FA"/>
    <w:rsid w:val="3E9704BE"/>
    <w:rsid w:val="3F2D1CB6"/>
    <w:rsid w:val="3F721126"/>
    <w:rsid w:val="3F9F0CF0"/>
    <w:rsid w:val="406F7D44"/>
    <w:rsid w:val="40F634A0"/>
    <w:rsid w:val="41E356A7"/>
    <w:rsid w:val="425311DE"/>
    <w:rsid w:val="42677E7F"/>
    <w:rsid w:val="43212B30"/>
    <w:rsid w:val="44757F5F"/>
    <w:rsid w:val="44E0180C"/>
    <w:rsid w:val="45433AAF"/>
    <w:rsid w:val="45921630"/>
    <w:rsid w:val="45AA4758"/>
    <w:rsid w:val="45D27E9B"/>
    <w:rsid w:val="46136706"/>
    <w:rsid w:val="4622569C"/>
    <w:rsid w:val="462369A1"/>
    <w:rsid w:val="46845740"/>
    <w:rsid w:val="46F91E7C"/>
    <w:rsid w:val="477F6C5D"/>
    <w:rsid w:val="4794337F"/>
    <w:rsid w:val="47F830A4"/>
    <w:rsid w:val="48847404"/>
    <w:rsid w:val="48DB3696"/>
    <w:rsid w:val="494552C4"/>
    <w:rsid w:val="494574C2"/>
    <w:rsid w:val="499C3754"/>
    <w:rsid w:val="4A4A12EF"/>
    <w:rsid w:val="4A4D7CF5"/>
    <w:rsid w:val="4A826ECA"/>
    <w:rsid w:val="4AE56F6F"/>
    <w:rsid w:val="4B427308"/>
    <w:rsid w:val="4B621DBB"/>
    <w:rsid w:val="4B812670"/>
    <w:rsid w:val="4C537145"/>
    <w:rsid w:val="4CB074DF"/>
    <w:rsid w:val="4DA457ED"/>
    <w:rsid w:val="508942AC"/>
    <w:rsid w:val="508A77AF"/>
    <w:rsid w:val="508F1A38"/>
    <w:rsid w:val="50F25EDA"/>
    <w:rsid w:val="511C03A3"/>
    <w:rsid w:val="51656219"/>
    <w:rsid w:val="51804844"/>
    <w:rsid w:val="51ED73F6"/>
    <w:rsid w:val="52817C6A"/>
    <w:rsid w:val="52D41C73"/>
    <w:rsid w:val="52E80913"/>
    <w:rsid w:val="53121757"/>
    <w:rsid w:val="53362C11"/>
    <w:rsid w:val="53832D10"/>
    <w:rsid w:val="53AB3ED4"/>
    <w:rsid w:val="546A778A"/>
    <w:rsid w:val="54E33BD1"/>
    <w:rsid w:val="5510379B"/>
    <w:rsid w:val="551769A9"/>
    <w:rsid w:val="55671C2C"/>
    <w:rsid w:val="56925E96"/>
    <w:rsid w:val="56B70654"/>
    <w:rsid w:val="56F10111"/>
    <w:rsid w:val="57391B27"/>
    <w:rsid w:val="57805B1E"/>
    <w:rsid w:val="57AD4064"/>
    <w:rsid w:val="585B2F03"/>
    <w:rsid w:val="585F1909"/>
    <w:rsid w:val="58C93537"/>
    <w:rsid w:val="591D6844"/>
    <w:rsid w:val="59227449"/>
    <w:rsid w:val="59C524D5"/>
    <w:rsid w:val="59EB2715"/>
    <w:rsid w:val="5AE738B1"/>
    <w:rsid w:val="5BEA43D9"/>
    <w:rsid w:val="5C140AA0"/>
    <w:rsid w:val="5C2A2C44"/>
    <w:rsid w:val="5CD530DD"/>
    <w:rsid w:val="5CF4010E"/>
    <w:rsid w:val="5CF94596"/>
    <w:rsid w:val="5D0C1038"/>
    <w:rsid w:val="5D514C25"/>
    <w:rsid w:val="5E074753"/>
    <w:rsid w:val="5E363F9E"/>
    <w:rsid w:val="5E72057F"/>
    <w:rsid w:val="5EE42E3D"/>
    <w:rsid w:val="5EEC0249"/>
    <w:rsid w:val="5F6B1E1C"/>
    <w:rsid w:val="5FDF73FB"/>
    <w:rsid w:val="608060E1"/>
    <w:rsid w:val="60B146B2"/>
    <w:rsid w:val="60C36BF4"/>
    <w:rsid w:val="615E224C"/>
    <w:rsid w:val="61965C29"/>
    <w:rsid w:val="62C01E93"/>
    <w:rsid w:val="62C06610"/>
    <w:rsid w:val="62CF6C2B"/>
    <w:rsid w:val="62E123C8"/>
    <w:rsid w:val="633F4960"/>
    <w:rsid w:val="640843A9"/>
    <w:rsid w:val="648B4982"/>
    <w:rsid w:val="64AF38BD"/>
    <w:rsid w:val="64E46044"/>
    <w:rsid w:val="64F81987"/>
    <w:rsid w:val="650249CE"/>
    <w:rsid w:val="650D74DA"/>
    <w:rsid w:val="65811A17"/>
    <w:rsid w:val="66BC5F1C"/>
    <w:rsid w:val="66D222BD"/>
    <w:rsid w:val="6967137D"/>
    <w:rsid w:val="69880C71"/>
    <w:rsid w:val="69AB2D6B"/>
    <w:rsid w:val="69CF1CA6"/>
    <w:rsid w:val="69E32EC5"/>
    <w:rsid w:val="6B026BA0"/>
    <w:rsid w:val="6B046820"/>
    <w:rsid w:val="6C4E553D"/>
    <w:rsid w:val="6C974A38"/>
    <w:rsid w:val="6CAD6BDB"/>
    <w:rsid w:val="6CE1026C"/>
    <w:rsid w:val="6D0475EA"/>
    <w:rsid w:val="6D891A42"/>
    <w:rsid w:val="6EB3022A"/>
    <w:rsid w:val="6F1624CD"/>
    <w:rsid w:val="6F21085E"/>
    <w:rsid w:val="6F32657A"/>
    <w:rsid w:val="6F9D14AD"/>
    <w:rsid w:val="6FF96343"/>
    <w:rsid w:val="700468D2"/>
    <w:rsid w:val="706C4FFD"/>
    <w:rsid w:val="70EA114F"/>
    <w:rsid w:val="71062FFD"/>
    <w:rsid w:val="715352FB"/>
    <w:rsid w:val="71614610"/>
    <w:rsid w:val="71791CB7"/>
    <w:rsid w:val="71CF04C8"/>
    <w:rsid w:val="72414F83"/>
    <w:rsid w:val="72492390"/>
    <w:rsid w:val="726A4AC3"/>
    <w:rsid w:val="7271444E"/>
    <w:rsid w:val="73357A0F"/>
    <w:rsid w:val="73376795"/>
    <w:rsid w:val="73651863"/>
    <w:rsid w:val="739E3BBB"/>
    <w:rsid w:val="73D44095"/>
    <w:rsid w:val="74B23A83"/>
    <w:rsid w:val="74BF2D99"/>
    <w:rsid w:val="74C64922"/>
    <w:rsid w:val="74FE287D"/>
    <w:rsid w:val="75286F45"/>
    <w:rsid w:val="761B77D2"/>
    <w:rsid w:val="77035551"/>
    <w:rsid w:val="77A43A56"/>
    <w:rsid w:val="78574EC9"/>
    <w:rsid w:val="787466AD"/>
    <w:rsid w:val="78967EE6"/>
    <w:rsid w:val="79952007"/>
    <w:rsid w:val="7A2463F3"/>
    <w:rsid w:val="7A4024A0"/>
    <w:rsid w:val="7B540CE3"/>
    <w:rsid w:val="7B7C4426"/>
    <w:rsid w:val="7BA41D67"/>
    <w:rsid w:val="7C1977A8"/>
    <w:rsid w:val="7C99137B"/>
    <w:rsid w:val="7D2953E6"/>
    <w:rsid w:val="7D817FF3"/>
    <w:rsid w:val="7DF30332"/>
    <w:rsid w:val="7DFC793D"/>
    <w:rsid w:val="7E261E06"/>
    <w:rsid w:val="7F0439F3"/>
    <w:rsid w:val="7F0B7AFA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dmin\Desktop\Silicon-based%20Integrated%20Passive%20Devices%20&#30789;&#22522;&#38598;&#25104;&#26080;&#28304;&#22120;&#20214;\&#35266;&#28857;&#25968;&#25454;&#22270;&#34920;&#27169;&#26495;-&#20840;&#29699;20231017%20&#23454;&#20064;&#21516;&#23398;1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admin\Desktop\Silicon-based%20Integrated%20Passive%20Devices%20&#30789;&#22522;&#38598;&#25104;&#26080;&#28304;&#22120;&#20214;\&#35266;&#28857;&#25968;&#25454;&#22270;&#34920;&#27169;&#26495;-&#20840;&#29699;20231017%20&#23454;&#20064;&#21516;&#23398;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709.64</c:v>
                </c:pt>
                <c:pt idx="1">
                  <c:v>949.63</c:v>
                </c:pt>
                <c:pt idx="2">
                  <c:v>1648.92857728795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企业排序!$F$2:$F$25</c:f>
              <c:strCache>
                <c:ptCount val="10"/>
                <c:pt idx="0">
                  <c:v>Johanson Technology</c:v>
                </c:pt>
                <c:pt idx="1">
                  <c:v>Onchip Devices</c:v>
                </c:pt>
                <c:pt idx="2">
                  <c:v>Skyworks</c:v>
                </c:pt>
                <c:pt idx="3">
                  <c:v>芯和半导体</c:v>
                </c:pt>
                <c:pt idx="4">
                  <c:v>安森美半导体</c:v>
                </c:pt>
                <c:pt idx="5">
                  <c:v>AVX</c:v>
                </c:pt>
                <c:pt idx="6">
                  <c:v>博通</c:v>
                </c:pt>
                <c:pt idx="7">
                  <c:v>Qorvo</c:v>
                </c:pt>
                <c:pt idx="8">
                  <c:v>村田</c:v>
                </c:pt>
                <c:pt idx="9">
                  <c:v>意法半导体</c:v>
                </c:pt>
              </c:strCache>
            </c:strRef>
          </c:cat>
          <c:val>
            <c:numRef>
              <c:f>企业排序!$G$2:$G$25</c:f>
              <c:numCache>
                <c:formatCode>#,##0.00_ </c:formatCode>
                <c:ptCount val="10"/>
                <c:pt idx="0">
                  <c:v>6.02</c:v>
                </c:pt>
                <c:pt idx="1">
                  <c:v>15.33</c:v>
                </c:pt>
                <c:pt idx="2">
                  <c:v>25</c:v>
                </c:pt>
                <c:pt idx="3">
                  <c:v>49.91</c:v>
                </c:pt>
                <c:pt idx="4">
                  <c:v>52.11</c:v>
                </c:pt>
                <c:pt idx="5">
                  <c:v>66.32</c:v>
                </c:pt>
                <c:pt idx="6">
                  <c:v>81.58</c:v>
                </c:pt>
                <c:pt idx="7">
                  <c:v>95.34</c:v>
                </c:pt>
                <c:pt idx="8">
                  <c:v>106.82</c:v>
                </c:pt>
                <c:pt idx="9">
                  <c:v>118.77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0.52882</cdr:x>
      <cdr:y>0.16443</cdr:y>
    </cdr:from>
    <cdr:to>
      <cdr:x>0.7629</cdr:x>
      <cdr:y>0.46838</cdr:y>
    </cdr:to>
    <cdr:cxnSp>
      <cdr:nvCxnSpPr>
        <cdr:cNvPr id="2" name="直接箭头连接符 1"/>
        <cdr:cNvCxnSpPr/>
      </cdr:nvCxnSpPr>
      <cdr:spPr xmlns:a="http://schemas.openxmlformats.org/drawingml/2006/main">
        <a:xfrm xmlns:a="http://schemas.openxmlformats.org/drawingml/2006/main" flipV="1">
          <a:off x="3468222" y="503147"/>
          <a:ext cx="1535205" cy="930088"/>
        </a:xfrm>
        <a:prstGeom xmlns:a="http://schemas.openxmlformats.org/drawingml/2006/main" prst="straightConnector1">
          <a:avLst/>
        </a:prstGeom>
        <a:solidFill>
          <a:srgbClr val="FFC000"/>
        </a:solidFill>
        <a:ln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0.57349</cdr:x>
      <cdr:y>0.26379</cdr:y>
    </cdr:from>
    <cdr:to>
      <cdr:x>0.709</cdr:x>
      <cdr:y>0.35696</cdr:y>
    </cdr:to>
    <cdr:sp>
      <cdr:nvSpPr>
        <cdr:cNvPr id="3" name="椭圆 2"/>
        <cdr:cNvSpPr/>
      </cdr:nvSpPr>
      <cdr:spPr xmlns:a="http://schemas.openxmlformats.org/drawingml/2006/main">
        <a:xfrm xmlns:a="http://schemas.openxmlformats.org/drawingml/2006/main" rot="19777250">
          <a:off x="3761201" y="807197"/>
          <a:ext cx="888734" cy="285101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r>
            <a:rPr lang="en-US" alt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rPr>
            <a:t>8.2%</a:t>
          </a:r>
          <a:endParaRPr lang="zh-CN" baseline="0">
            <a:solidFill>
              <a:sysClr val="windowText" lastClr="000000"/>
            </a:solidFill>
            <a:latin typeface="Book Antiqua" panose="02040602050305030304" pitchFamily="1" charset="0"/>
            <a:ea typeface="宋体" panose="02010600030101010101" charset="-122"/>
          </a:endParaRPr>
        </a:p>
      </cdr:txBody>
    </cdr:sp>
  </cdr:relSizeAnchor>
  <cdr:relSizeAnchor xmlns:cdr="http://schemas.openxmlformats.org/drawingml/2006/chartDrawing">
    <cdr:from>
      <cdr:x>0.20798</cdr:x>
      <cdr:y>0.40531</cdr:y>
    </cdr:from>
    <cdr:to>
      <cdr:x>0.43625</cdr:x>
      <cdr:y>0.66856</cdr:y>
    </cdr:to>
    <cdr:grpSp>
      <cdr:nvGrpSpPr>
        <cdr:cNvPr id="4" name="组合 3"/>
        <cdr:cNvGrpSpPr/>
      </cdr:nvGrpSpPr>
      <cdr:grpSpPr xmlns:a="http://schemas.openxmlformats.org/drawingml/2006/main">
        <a:xfrm rot="2475062">
          <a:off x="1287128" y="1170012"/>
          <a:ext cx="1412697" cy="759926"/>
          <a:chOff x="3014141" y="1779723"/>
          <a:chExt cx="1170560" cy="814928"/>
        </a:xfrm>
      </cdr:grpSpPr>
      <cdr:cxnSp>
        <cdr:nvCxnSpPr>
          <cdr:cNvPr id="5" name="直接箭头连接符 4"/>
          <cdr:cNvCxnSpPr/>
        </cdr:nvCxnSpPr>
        <cdr:spPr xmlns:a="http://schemas.openxmlformats.org/drawingml/2006/main">
          <a:xfrm xmlns:a="http://schemas.openxmlformats.org/drawingml/2006/main" rot="19816677" flipV="1">
            <a:off x="3014141" y="1818573"/>
            <a:ext cx="1170560" cy="691521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6" name="椭圆 5"/>
          <cdr:cNvSpPr/>
        </cdr:nvSpPr>
        <cdr:spPr xmlns:a="http://schemas.openxmlformats.org/drawingml/2006/main">
          <a:xfrm xmlns:a="http://schemas.openxmlformats.org/drawingml/2006/main" rot="18358947">
            <a:off x="3177981" y="2099589"/>
            <a:ext cx="814928" cy="17519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  <a:latin typeface="Book Antiqua" panose="02040602050305030304" pitchFamily="1" charset="0"/>
              </a:rPr>
              <a:t>7.6%</a:t>
            </a:r>
            <a:endParaRPr lang="zh-CN">
              <a:solidFill>
                <a:sysClr val="windowText" lastClr="000000"/>
              </a:solidFill>
              <a:latin typeface="Book Antiqua" panose="02040602050305030304" pitchFamily="1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2023-12-08T09:40:57Z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2F0F69DCA8B94C158B620F1C8ECB35EA_13</vt:lpwstr>
  </property>
</Properties>
</file>