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b/>
          <w:sz w:val="28"/>
          <w:szCs w:val="28"/>
        </w:rPr>
      </w:pPr>
      <w:r>
        <w:rPr>
          <w:rFonts w:hint="eastAsia" w:ascii="微软雅黑" w:hAnsi="微软雅黑" w:eastAsia="微软雅黑"/>
          <w:b/>
          <w:sz w:val="28"/>
          <w:szCs w:val="28"/>
        </w:rPr>
        <w:t>病例分享『依托考昔片（安多昔）』｜痛风急性发作期抗炎镇痛药物如何选择？</w:t>
      </w:r>
    </w:p>
    <w:p>
      <w:pPr>
        <w:rPr>
          <w:rFonts w:ascii="微软雅黑" w:hAnsi="微软雅黑" w:eastAsia="微软雅黑"/>
          <w:b/>
          <w:sz w:val="24"/>
          <w:szCs w:val="24"/>
        </w:rPr>
      </w:pPr>
      <w:r>
        <w:rPr>
          <w:rFonts w:hint="eastAsia" w:ascii="微软雅黑" w:hAnsi="微软雅黑" w:eastAsia="微软雅黑"/>
          <w:b/>
          <w:sz w:val="24"/>
          <w:szCs w:val="24"/>
        </w:rPr>
        <w:t>导读</w:t>
      </w:r>
    </w:p>
    <w:p>
      <w:pPr>
        <w:pStyle w:val="8"/>
        <w:numPr>
          <w:ilvl w:val="0"/>
          <w:numId w:val="1"/>
        </w:numPr>
        <w:ind w:firstLineChars="0"/>
        <w:rPr>
          <w:rFonts w:ascii="微软雅黑" w:hAnsi="微软雅黑" w:eastAsia="微软雅黑"/>
          <w:sz w:val="24"/>
          <w:szCs w:val="24"/>
        </w:rPr>
      </w:pPr>
      <w:r>
        <w:rPr>
          <w:rFonts w:hint="eastAsia" w:ascii="微软雅黑" w:hAnsi="微软雅黑" w:eastAsia="微软雅黑"/>
          <w:sz w:val="24"/>
          <w:szCs w:val="24"/>
        </w:rPr>
        <w:t>无症状高尿酸血症和痛风患者起始降尿酸药物治疗的时机和控制目标？</w:t>
      </w:r>
    </w:p>
    <w:p>
      <w:pPr>
        <w:pStyle w:val="8"/>
        <w:numPr>
          <w:ilvl w:val="0"/>
          <w:numId w:val="1"/>
        </w:numPr>
        <w:ind w:firstLineChars="0"/>
        <w:rPr>
          <w:rFonts w:ascii="微软雅黑" w:hAnsi="微软雅黑" w:eastAsia="微软雅黑"/>
          <w:sz w:val="24"/>
          <w:szCs w:val="24"/>
        </w:rPr>
      </w:pPr>
      <w:r>
        <w:rPr>
          <w:rFonts w:hint="eastAsia" w:ascii="微软雅黑" w:hAnsi="微软雅黑" w:eastAsia="微软雅黑"/>
          <w:sz w:val="24"/>
          <w:szCs w:val="24"/>
        </w:rPr>
        <w:t>痛风急性发作期抗炎镇痛药物如何选择？</w:t>
      </w:r>
    </w:p>
    <w:p>
      <w:pPr>
        <w:pStyle w:val="8"/>
        <w:numPr>
          <w:ilvl w:val="0"/>
          <w:numId w:val="1"/>
        </w:numPr>
        <w:ind w:firstLineChars="0"/>
        <w:rPr>
          <w:rFonts w:ascii="微软雅黑" w:hAnsi="微软雅黑" w:eastAsia="微软雅黑"/>
          <w:sz w:val="24"/>
          <w:szCs w:val="24"/>
        </w:rPr>
      </w:pPr>
      <w:r>
        <w:rPr>
          <w:rFonts w:hint="eastAsia" w:ascii="微软雅黑" w:hAnsi="微软雅黑" w:eastAsia="微软雅黑"/>
          <w:sz w:val="24"/>
          <w:szCs w:val="24"/>
        </w:rPr>
        <w:t>痛风急性发作时，COX-2抑制剂作为优选的理由？</w:t>
      </w:r>
    </w:p>
    <w:p>
      <w:pPr>
        <w:rPr>
          <w:rFonts w:ascii="微软雅黑" w:hAnsi="微软雅黑" w:eastAsia="微软雅黑"/>
          <w:b/>
          <w:sz w:val="24"/>
          <w:szCs w:val="24"/>
        </w:rPr>
      </w:pPr>
      <w:r>
        <w:rPr>
          <w:rFonts w:hint="eastAsia" w:ascii="微软雅黑" w:hAnsi="微软雅黑" w:eastAsia="微软雅黑"/>
          <w:b/>
          <w:sz w:val="24"/>
          <w:szCs w:val="24"/>
        </w:rPr>
        <w:t>专家介绍</w:t>
      </w:r>
    </w:p>
    <w:p>
      <w:pPr>
        <w:spacing w:line="240" w:lineRule="atLeast"/>
        <w:jc w:val="center"/>
        <w:rPr>
          <w:rFonts w:ascii="微软雅黑" w:hAnsi="微软雅黑" w:eastAsia="微软雅黑"/>
          <w:b/>
          <w:sz w:val="24"/>
          <w:szCs w:val="24"/>
        </w:rPr>
      </w:pPr>
      <w:r>
        <w:rPr>
          <w:rFonts w:ascii="微软雅黑" w:hAnsi="微软雅黑" w:eastAsia="微软雅黑"/>
          <w:b/>
          <w:sz w:val="24"/>
          <w:szCs w:val="24"/>
        </w:rPr>
        <w:drawing>
          <wp:inline distT="0" distB="0" distL="0" distR="0">
            <wp:extent cx="2032635" cy="2879725"/>
            <wp:effectExtent l="0" t="0" r="5715" b="0"/>
            <wp:docPr id="4" name="图片 4" descr="C:\Users\EASTON~1\AppData\Local\Temp\WeChat Files\fb1a797a48f24ac6a18414e626415f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EASTON~1\AppData\Local\Temp\WeChat Files\fb1a797a48f24ac6a18414e626415f9.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033260" cy="2880000"/>
                    </a:xfrm>
                    <a:prstGeom prst="rect">
                      <a:avLst/>
                    </a:prstGeom>
                    <a:noFill/>
                    <a:ln>
                      <a:noFill/>
                    </a:ln>
                  </pic:spPr>
                </pic:pic>
              </a:graphicData>
            </a:graphic>
          </wp:inline>
        </w:drawing>
      </w:r>
    </w:p>
    <w:p>
      <w:pPr>
        <w:spacing w:line="240" w:lineRule="atLeast"/>
        <w:jc w:val="center"/>
        <w:rPr>
          <w:rFonts w:ascii="微软雅黑" w:hAnsi="微软雅黑" w:eastAsia="微软雅黑"/>
          <w:b/>
          <w:bCs/>
        </w:rPr>
      </w:pPr>
      <w:r>
        <w:rPr>
          <w:rFonts w:hint="eastAsia" w:ascii="微软雅黑" w:hAnsi="微软雅黑" w:eastAsia="微软雅黑"/>
          <w:b/>
          <w:bCs/>
        </w:rPr>
        <w:t>袁芳芳</w:t>
      </w:r>
    </w:p>
    <w:p>
      <w:pPr>
        <w:spacing w:line="240" w:lineRule="atLeast"/>
        <w:jc w:val="center"/>
        <w:rPr>
          <w:rFonts w:ascii="微软雅黑" w:hAnsi="微软雅黑" w:eastAsia="微软雅黑"/>
          <w:b/>
        </w:rPr>
      </w:pPr>
      <w:r>
        <w:rPr>
          <w:rFonts w:hint="eastAsia" w:ascii="微软雅黑" w:hAnsi="微软雅黑" w:eastAsia="微软雅黑"/>
          <w:b/>
          <w:bCs/>
        </w:rPr>
        <w:t>宁波市第六医院  风湿免疫科  副主任医师</w:t>
      </w:r>
    </w:p>
    <w:p>
      <w:pPr>
        <w:jc w:val="center"/>
        <w:rPr>
          <w:rFonts w:ascii="微软雅黑" w:hAnsi="微软雅黑" w:eastAsia="微软雅黑"/>
          <w:szCs w:val="21"/>
        </w:rPr>
      </w:pPr>
      <w:r>
        <w:rPr>
          <w:rFonts w:hint="eastAsia" w:ascii="微软雅黑" w:hAnsi="微软雅黑" w:eastAsia="微软雅黑"/>
          <w:szCs w:val="21"/>
        </w:rPr>
        <w:t>擅长类风湿关节炎、脊柱关节炎、痛风性关节炎、系统性红斑狼疮、风湿性多肌痛、皮肌炎、硬皮病、骨关节炎及骨质疏松等疾病的诊治。</w:t>
      </w:r>
    </w:p>
    <w:p>
      <w:pPr>
        <w:rPr>
          <w:rFonts w:ascii="微软雅黑" w:hAnsi="微软雅黑" w:eastAsia="微软雅黑"/>
          <w:b/>
          <w:color w:val="376092" w:themeColor="accent1" w:themeShade="BF"/>
          <w:sz w:val="24"/>
          <w:szCs w:val="24"/>
        </w:rPr>
      </w:pPr>
      <w:r>
        <w:rPr>
          <w:rFonts w:hint="eastAsia" w:ascii="微软雅黑" w:hAnsi="微软雅黑" w:eastAsia="微软雅黑"/>
          <w:b/>
          <w:color w:val="376092" w:themeColor="accent1" w:themeShade="BF"/>
          <w:sz w:val="24"/>
          <w:szCs w:val="24"/>
        </w:rPr>
        <w:t>患者基础信息</w:t>
      </w:r>
    </w:p>
    <w:p>
      <w:pPr>
        <w:rPr>
          <w:rFonts w:ascii="微软雅黑" w:hAnsi="微软雅黑" w:eastAsia="微软雅黑"/>
          <w:sz w:val="24"/>
          <w:szCs w:val="24"/>
        </w:rPr>
      </w:pPr>
      <w:r>
        <w:rPr>
          <w:rFonts w:hint="eastAsia" w:ascii="微软雅黑" w:hAnsi="微软雅黑" w:eastAsia="微软雅黑"/>
          <w:sz w:val="24"/>
          <w:szCs w:val="24"/>
        </w:rPr>
        <w:t>王某某，男性，38岁，泥水工。</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患者主诉：</w:t>
      </w:r>
    </w:p>
    <w:p>
      <w:pPr>
        <w:jc w:val="left"/>
        <w:rPr>
          <w:rFonts w:ascii="微软雅黑" w:hAnsi="微软雅黑" w:eastAsia="微软雅黑"/>
          <w:sz w:val="24"/>
          <w:szCs w:val="24"/>
        </w:rPr>
      </w:pPr>
      <w:r>
        <w:rPr>
          <w:rFonts w:hint="eastAsia" w:ascii="微软雅黑" w:hAnsi="微软雅黑" w:eastAsia="微软雅黑"/>
          <w:sz w:val="24"/>
          <w:szCs w:val="24"/>
        </w:rPr>
        <w:t>发作性多关节肿痛5年余，再发加重1天</w:t>
      </w:r>
    </w:p>
    <w:p>
      <w:pPr>
        <w:jc w:val="left"/>
        <w:rPr>
          <w:rFonts w:ascii="微软雅黑" w:hAnsi="微软雅黑" w:eastAsia="微软雅黑"/>
          <w:sz w:val="24"/>
          <w:szCs w:val="24"/>
        </w:rPr>
      </w:pPr>
      <w:r>
        <w:rPr>
          <w:rFonts w:hint="eastAsia" w:ascii="微软雅黑" w:hAnsi="微软雅黑" w:eastAsia="微软雅黑"/>
          <w:color w:val="376092" w:themeColor="accent1" w:themeShade="BF"/>
          <w:sz w:val="24"/>
          <w:szCs w:val="24"/>
        </w:rPr>
        <w:t>现病史：</w:t>
      </w:r>
    </w:p>
    <w:p>
      <w:pPr>
        <w:jc w:val="left"/>
        <w:rPr>
          <w:rFonts w:ascii="微软雅黑" w:hAnsi="微软雅黑" w:eastAsia="微软雅黑"/>
          <w:sz w:val="24"/>
          <w:szCs w:val="24"/>
        </w:rPr>
      </w:pPr>
      <w:r>
        <w:rPr>
          <w:rFonts w:hint="eastAsia" w:ascii="微软雅黑" w:hAnsi="微软雅黑" w:eastAsia="微软雅黑"/>
          <w:sz w:val="24"/>
          <w:szCs w:val="24"/>
        </w:rPr>
        <w:t>1天前，患者喝完啤酒、吃完海鲜后再次出现左足第一跖趾关节、左足背红肿热痛，行走活动受限，无发热，无腹痛腹泻，来我院就诊，以“急性痛风性关节炎”收住院。</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既往史：</w:t>
      </w:r>
    </w:p>
    <w:p>
      <w:pPr>
        <w:jc w:val="left"/>
        <w:rPr>
          <w:rFonts w:ascii="微软雅黑" w:hAnsi="微软雅黑" w:eastAsia="微软雅黑"/>
          <w:sz w:val="24"/>
          <w:szCs w:val="24"/>
        </w:rPr>
      </w:pPr>
      <w:r>
        <w:rPr>
          <w:rFonts w:hint="eastAsia" w:ascii="微软雅黑" w:hAnsi="微软雅黑" w:eastAsia="微软雅黑"/>
          <w:sz w:val="24"/>
          <w:szCs w:val="24"/>
        </w:rPr>
        <w:t>患者有2型糖尿病、高血压病病史。否认过敏史。患者5年多前无明显诱因下突发左足第一跖趾关节红肿热痛，在当地医院诊断为“痛风性关节炎”，予以静脉输液治疗、口服药物治疗2天（具体用药不详）后好转。5年余来患者上述症状反复发作，发作多与劳累、饮食（饮酒、喝汤、进食海鲜等）有关，每年3-4次，累及双足第一跖趾关节、双足背、双踝关节、双膝关节等。疾病发作时自行服用秋水仙碱或当地输液（含有地塞米松）2-3天后关节红肿热痛症状可缓解，未经正规诊治。</w:t>
      </w:r>
    </w:p>
    <w:p>
      <w:pPr>
        <w:rPr>
          <w:rFonts w:ascii="微软雅黑" w:hAnsi="微软雅黑" w:eastAsia="微软雅黑"/>
          <w:b/>
          <w:color w:val="376092" w:themeColor="accent1" w:themeShade="BF"/>
          <w:sz w:val="24"/>
          <w:szCs w:val="24"/>
        </w:rPr>
      </w:pPr>
      <w:r>
        <w:rPr>
          <w:rFonts w:hint="eastAsia" w:ascii="微软雅黑" w:hAnsi="微软雅黑" w:eastAsia="微软雅黑"/>
          <w:b/>
          <w:color w:val="376092" w:themeColor="accent1" w:themeShade="BF"/>
          <w:sz w:val="24"/>
          <w:szCs w:val="24"/>
        </w:rPr>
        <w:t>体格检查</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生命体征：</w:t>
      </w:r>
    </w:p>
    <w:p>
      <w:pPr>
        <w:jc w:val="left"/>
        <w:rPr>
          <w:rFonts w:ascii="微软雅黑" w:hAnsi="微软雅黑" w:eastAsia="微软雅黑"/>
          <w:sz w:val="24"/>
          <w:szCs w:val="24"/>
        </w:rPr>
      </w:pPr>
      <w:r>
        <w:rPr>
          <w:rFonts w:hint="eastAsia" w:ascii="微软雅黑" w:hAnsi="微软雅黑" w:eastAsia="微软雅黑"/>
          <w:sz w:val="24"/>
          <w:szCs w:val="24"/>
        </w:rPr>
        <w:t>T:37.1℃，P:86 次/分，BP:150/104 mmHg，一般情况可，体型肥胖，浅表淋巴结（-），心肺（-），腹部（-）。</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查体：</w:t>
      </w:r>
    </w:p>
    <w:p>
      <w:pPr>
        <w:jc w:val="left"/>
        <w:rPr>
          <w:rFonts w:ascii="微软雅黑" w:hAnsi="微软雅黑" w:eastAsia="微软雅黑"/>
          <w:sz w:val="24"/>
          <w:szCs w:val="24"/>
        </w:rPr>
      </w:pPr>
      <w:r>
        <w:rPr>
          <w:rFonts w:hint="eastAsia" w:ascii="微软雅黑" w:hAnsi="微软雅黑" w:eastAsia="微软雅黑"/>
          <w:sz w:val="24"/>
          <w:szCs w:val="24"/>
        </w:rPr>
        <w:t>左第一跖趾关节、足背肿胀明显，皮肤发红，压痛（+++），局部皮温升高，活动受限。</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辅助检查：</w:t>
      </w:r>
    </w:p>
    <w:p>
      <w:pPr>
        <w:rPr>
          <w:rFonts w:ascii="微软雅黑" w:hAnsi="微软雅黑" w:eastAsia="微软雅黑"/>
          <w:sz w:val="24"/>
          <w:szCs w:val="24"/>
        </w:rPr>
      </w:pPr>
      <w:r>
        <w:rPr>
          <w:rFonts w:hint="eastAsia" w:ascii="微软雅黑" w:hAnsi="微软雅黑" w:eastAsia="微软雅黑"/>
          <w:sz w:val="24"/>
          <w:szCs w:val="24"/>
        </w:rPr>
        <w:t>血常规：白细胞（WBC） 12.3×10^9 /L，N 85.6%</w:t>
      </w:r>
    </w:p>
    <w:p>
      <w:pPr>
        <w:jc w:val="left"/>
        <w:rPr>
          <w:rFonts w:ascii="微软雅黑" w:hAnsi="微软雅黑" w:eastAsia="微软雅黑"/>
          <w:sz w:val="24"/>
          <w:szCs w:val="24"/>
        </w:rPr>
      </w:pPr>
      <w:r>
        <w:rPr>
          <w:rFonts w:hint="eastAsia" w:ascii="微软雅黑" w:hAnsi="微软雅黑" w:eastAsia="微软雅黑"/>
          <w:sz w:val="24"/>
          <w:szCs w:val="24"/>
        </w:rPr>
        <w:t>尿常规：</w:t>
      </w:r>
      <w:r>
        <w:rPr>
          <w:rFonts w:ascii="微软雅黑" w:hAnsi="微软雅黑" w:eastAsia="微软雅黑"/>
          <w:sz w:val="24"/>
          <w:szCs w:val="24"/>
        </w:rPr>
        <w:t>PH5.0</w:t>
      </w:r>
    </w:p>
    <w:p>
      <w:pPr>
        <w:jc w:val="left"/>
        <w:rPr>
          <w:rFonts w:ascii="微软雅黑" w:hAnsi="微软雅黑" w:eastAsia="微软雅黑"/>
          <w:sz w:val="24"/>
          <w:szCs w:val="24"/>
        </w:rPr>
      </w:pPr>
      <w:r>
        <w:rPr>
          <w:rFonts w:hint="eastAsia" w:ascii="微软雅黑" w:hAnsi="微软雅黑" w:eastAsia="微软雅黑"/>
          <w:sz w:val="24"/>
          <w:szCs w:val="24"/>
        </w:rPr>
        <w:t>血液生化：血尿素氮（BUN） 6.5 mmol/L，肌酐（Cr） 82 umol/L，尿酸（UA）575umol/L</w:t>
      </w:r>
    </w:p>
    <w:p>
      <w:pPr>
        <w:jc w:val="left"/>
        <w:rPr>
          <w:rFonts w:ascii="微软雅黑" w:hAnsi="微软雅黑" w:eastAsia="微软雅黑"/>
          <w:sz w:val="24"/>
          <w:szCs w:val="24"/>
        </w:rPr>
      </w:pPr>
      <w:r>
        <w:rPr>
          <w:rFonts w:hint="eastAsia" w:ascii="微软雅黑" w:hAnsi="微软雅黑" w:eastAsia="微软雅黑"/>
          <w:sz w:val="24"/>
          <w:szCs w:val="24"/>
        </w:rPr>
        <w:t>上腹部、双肾B超：肝内浸润，双肾结石</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影像学检查：</w:t>
      </w:r>
    </w:p>
    <w:p>
      <w:pPr>
        <w:jc w:val="center"/>
        <w:rPr>
          <w:rFonts w:ascii="微软雅黑" w:hAnsi="微软雅黑" w:eastAsia="微软雅黑"/>
          <w:sz w:val="24"/>
          <w:szCs w:val="24"/>
        </w:rPr>
      </w:pPr>
      <w:r>
        <w:rPr>
          <w:rFonts w:ascii="微软雅黑" w:hAnsi="微软雅黑" w:eastAsia="微软雅黑"/>
          <w:sz w:val="24"/>
          <w:szCs w:val="24"/>
        </w:rPr>
        <w:drawing>
          <wp:inline distT="0" distB="0" distL="0" distR="0">
            <wp:extent cx="2465705" cy="2966720"/>
            <wp:effectExtent l="0" t="0" r="0" b="508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noChangeArrowheads="1"/>
                    </pic:cNvPicPr>
                  </pic:nvPicPr>
                  <pic:blipFill>
                    <a:blip r:embed="rId5" cstate="email"/>
                    <a:srcRect/>
                    <a:stretch>
                      <a:fillRect/>
                    </a:stretch>
                  </pic:blipFill>
                  <pic:spPr>
                    <a:xfrm>
                      <a:off x="0" y="0"/>
                      <a:ext cx="2465961" cy="2967131"/>
                    </a:xfrm>
                    <a:prstGeom prst="rect">
                      <a:avLst/>
                    </a:prstGeom>
                    <a:ln>
                      <a:noFill/>
                    </a:ln>
                    <a:effectLst>
                      <a:softEdge rad="112500"/>
                    </a:effectLst>
                  </pic:spPr>
                </pic:pic>
              </a:graphicData>
            </a:graphic>
          </wp:inline>
        </w:drawing>
      </w:r>
    </w:p>
    <w:p>
      <w:pPr>
        <w:jc w:val="left"/>
        <w:rPr>
          <w:rFonts w:ascii="微软雅黑" w:hAnsi="微软雅黑" w:eastAsia="微软雅黑"/>
          <w:sz w:val="24"/>
          <w:szCs w:val="24"/>
        </w:rPr>
      </w:pPr>
      <w:r>
        <w:rPr>
          <w:rFonts w:hint="eastAsia" w:ascii="微软雅黑" w:hAnsi="微软雅黑" w:eastAsia="微软雅黑"/>
          <w:sz w:val="24"/>
          <w:szCs w:val="24"/>
        </w:rPr>
        <w:t>左足X线片：</w:t>
      </w:r>
    </w:p>
    <w:p>
      <w:pPr>
        <w:jc w:val="left"/>
        <w:rPr>
          <w:rFonts w:ascii="微软雅黑" w:hAnsi="微软雅黑" w:eastAsia="微软雅黑"/>
          <w:b/>
          <w:sz w:val="24"/>
          <w:szCs w:val="24"/>
        </w:rPr>
      </w:pPr>
      <w:r>
        <w:rPr>
          <w:rFonts w:hint="eastAsia" w:ascii="微软雅黑" w:hAnsi="微软雅黑" w:eastAsia="微软雅黑"/>
          <w:b/>
          <w:sz w:val="24"/>
          <w:szCs w:val="24"/>
        </w:rPr>
        <w:t>左足第一跖趾关节骨质破坏及关节间隙变窄</w:t>
      </w:r>
    </w:p>
    <w:p>
      <w:pPr>
        <w:rPr>
          <w:rFonts w:ascii="微软雅黑" w:hAnsi="微软雅黑" w:eastAsia="微软雅黑"/>
          <w:b/>
          <w:color w:val="376092" w:themeColor="accent1" w:themeShade="BF"/>
          <w:sz w:val="24"/>
          <w:szCs w:val="24"/>
        </w:rPr>
      </w:pPr>
      <w:r>
        <w:rPr>
          <w:rFonts w:hint="eastAsia" w:ascii="微软雅黑" w:hAnsi="微软雅黑" w:eastAsia="微软雅黑"/>
          <w:b/>
          <w:color w:val="376092" w:themeColor="accent1" w:themeShade="BF"/>
          <w:sz w:val="24"/>
          <w:szCs w:val="24"/>
        </w:rPr>
        <w:t>临床诊断</w:t>
      </w:r>
    </w:p>
    <w:p>
      <w:pPr>
        <w:rPr>
          <w:rFonts w:ascii="微软雅黑" w:hAnsi="微软雅黑" w:eastAsia="微软雅黑"/>
          <w:sz w:val="24"/>
          <w:szCs w:val="24"/>
        </w:rPr>
      </w:pPr>
      <w:r>
        <w:rPr>
          <w:rFonts w:hint="eastAsia" w:ascii="微软雅黑" w:hAnsi="微软雅黑" w:eastAsia="微软雅黑"/>
          <w:sz w:val="24"/>
          <w:szCs w:val="24"/>
        </w:rPr>
        <w:t>1.急性痛风性关节炎</w:t>
      </w:r>
    </w:p>
    <w:p>
      <w:pPr>
        <w:rPr>
          <w:rFonts w:ascii="微软雅黑" w:hAnsi="微软雅黑" w:eastAsia="微软雅黑"/>
          <w:sz w:val="24"/>
          <w:szCs w:val="24"/>
        </w:rPr>
      </w:pPr>
      <w:r>
        <w:rPr>
          <w:rFonts w:hint="eastAsia" w:ascii="微软雅黑" w:hAnsi="微软雅黑" w:eastAsia="微软雅黑"/>
          <w:sz w:val="24"/>
          <w:szCs w:val="24"/>
        </w:rPr>
        <w:t>2.双肾结石</w:t>
      </w:r>
    </w:p>
    <w:p>
      <w:pPr>
        <w:rPr>
          <w:rFonts w:ascii="微软雅黑" w:hAnsi="微软雅黑" w:eastAsia="微软雅黑"/>
          <w:sz w:val="24"/>
          <w:szCs w:val="24"/>
        </w:rPr>
      </w:pPr>
      <w:r>
        <w:rPr>
          <w:rFonts w:hint="eastAsia" w:ascii="微软雅黑" w:hAnsi="微软雅黑" w:eastAsia="微软雅黑"/>
          <w:sz w:val="24"/>
          <w:szCs w:val="24"/>
        </w:rPr>
        <w:t>3.2型糖尿病</w:t>
      </w:r>
    </w:p>
    <w:p>
      <w:pPr>
        <w:rPr>
          <w:rFonts w:ascii="微软雅黑" w:hAnsi="微软雅黑" w:eastAsia="微软雅黑"/>
          <w:sz w:val="24"/>
          <w:szCs w:val="24"/>
        </w:rPr>
      </w:pPr>
      <w:r>
        <w:rPr>
          <w:rFonts w:hint="eastAsia" w:ascii="微软雅黑" w:hAnsi="微软雅黑" w:eastAsia="微软雅黑"/>
          <w:sz w:val="24"/>
          <w:szCs w:val="24"/>
        </w:rPr>
        <w:t>4.高血压</w:t>
      </w:r>
    </w:p>
    <w:p>
      <w:pPr>
        <w:rPr>
          <w:rFonts w:ascii="微软雅黑" w:hAnsi="微软雅黑" w:eastAsia="微软雅黑"/>
          <w:b/>
          <w:color w:val="376092" w:themeColor="accent1" w:themeShade="BF"/>
          <w:sz w:val="24"/>
          <w:szCs w:val="24"/>
        </w:rPr>
      </w:pPr>
      <w:r>
        <w:rPr>
          <w:rFonts w:hint="eastAsia" w:ascii="微软雅黑" w:hAnsi="微软雅黑" w:eastAsia="微软雅黑"/>
          <w:b/>
          <w:color w:val="376092" w:themeColor="accent1" w:themeShade="BF"/>
          <w:sz w:val="24"/>
          <w:szCs w:val="24"/>
        </w:rPr>
        <w:t>治疗方案</w:t>
      </w:r>
    </w:p>
    <w:p>
      <w:pPr>
        <w:jc w:val="left"/>
        <w:rPr>
          <w:rFonts w:ascii="微软雅黑" w:hAnsi="微软雅黑" w:eastAsia="微软雅黑"/>
          <w:sz w:val="24"/>
          <w:szCs w:val="24"/>
        </w:rPr>
      </w:pPr>
      <w:r>
        <w:rPr>
          <w:rFonts w:hint="eastAsia" w:ascii="微软雅黑" w:hAnsi="微软雅黑" w:eastAsia="微软雅黑"/>
          <w:sz w:val="24"/>
          <w:szCs w:val="24"/>
        </w:rPr>
        <w:t>依托考昔：120mg  po  qd</w:t>
      </w:r>
    </w:p>
    <w:p>
      <w:pPr>
        <w:jc w:val="left"/>
        <w:rPr>
          <w:rFonts w:ascii="微软雅黑" w:hAnsi="微软雅黑" w:eastAsia="微软雅黑"/>
          <w:sz w:val="24"/>
          <w:szCs w:val="24"/>
        </w:rPr>
      </w:pPr>
      <w:r>
        <w:rPr>
          <w:rFonts w:hint="eastAsia" w:ascii="微软雅黑" w:hAnsi="微软雅黑" w:eastAsia="微软雅黑"/>
          <w:sz w:val="24"/>
          <w:szCs w:val="24"/>
        </w:rPr>
        <w:t>碳酸氢钠片：1.0  po  bid</w:t>
      </w:r>
    </w:p>
    <w:p>
      <w:pPr>
        <w:jc w:val="left"/>
        <w:rPr>
          <w:rFonts w:ascii="微软雅黑" w:hAnsi="微软雅黑" w:eastAsia="微软雅黑"/>
          <w:sz w:val="24"/>
          <w:szCs w:val="24"/>
        </w:rPr>
      </w:pPr>
      <w:r>
        <w:rPr>
          <w:rFonts w:hint="eastAsia" w:ascii="微软雅黑" w:hAnsi="微软雅黑" w:eastAsia="微软雅黑"/>
          <w:sz w:val="24"/>
          <w:szCs w:val="24"/>
        </w:rPr>
        <w:t>秋水仙碱片：1mg po qd</w:t>
      </w:r>
    </w:p>
    <w:p>
      <w:pPr>
        <w:jc w:val="left"/>
        <w:rPr>
          <w:rFonts w:ascii="微软雅黑" w:hAnsi="微软雅黑" w:eastAsia="微软雅黑"/>
          <w:sz w:val="24"/>
          <w:szCs w:val="24"/>
        </w:rPr>
      </w:pPr>
      <w:r>
        <w:rPr>
          <w:rFonts w:hint="eastAsia" w:ascii="微软雅黑" w:hAnsi="微软雅黑" w:eastAsia="微软雅黑"/>
          <w:sz w:val="24"/>
          <w:szCs w:val="24"/>
        </w:rPr>
        <w:t>二甲双胍片 ：0.5 po bid</w:t>
      </w:r>
    </w:p>
    <w:p>
      <w:pPr>
        <w:jc w:val="left"/>
        <w:rPr>
          <w:rFonts w:ascii="微软雅黑" w:hAnsi="微软雅黑" w:eastAsia="微软雅黑"/>
          <w:sz w:val="24"/>
          <w:szCs w:val="24"/>
        </w:rPr>
      </w:pPr>
      <w:r>
        <w:rPr>
          <w:rFonts w:hint="eastAsia" w:ascii="微软雅黑" w:hAnsi="微软雅黑" w:eastAsia="微软雅黑"/>
          <w:sz w:val="24"/>
          <w:szCs w:val="24"/>
        </w:rPr>
        <w:t>氯沙坦片：50mg po qd</w:t>
      </w:r>
    </w:p>
    <w:p>
      <w:pPr>
        <w:jc w:val="left"/>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治疗结果：</w:t>
      </w:r>
    </w:p>
    <w:p>
      <w:pPr>
        <w:pStyle w:val="8"/>
        <w:numPr>
          <w:ilvl w:val="0"/>
          <w:numId w:val="2"/>
        </w:numPr>
        <w:ind w:firstLineChars="0"/>
        <w:jc w:val="left"/>
        <w:rPr>
          <w:rFonts w:ascii="微软雅黑" w:hAnsi="微软雅黑" w:eastAsia="微软雅黑"/>
          <w:sz w:val="24"/>
          <w:szCs w:val="24"/>
        </w:rPr>
      </w:pPr>
      <w:bookmarkStart w:id="0" w:name="OLE_LINK1"/>
      <w:bookmarkStart w:id="1" w:name="OLE_LINK2"/>
      <w:r>
        <w:rPr>
          <w:rFonts w:hint="eastAsia" w:ascii="微软雅黑" w:hAnsi="微软雅黑" w:eastAsia="微软雅黑"/>
          <w:sz w:val="24"/>
          <w:szCs w:val="24"/>
        </w:rPr>
        <w:t>次日查房时，患者自觉左足第一跖趾关节、左足背疼痛明显减轻，无发热等，但不能下地走。</w:t>
      </w:r>
    </w:p>
    <w:p>
      <w:pPr>
        <w:jc w:val="left"/>
        <w:rPr>
          <w:rFonts w:ascii="微软雅黑" w:hAnsi="微软雅黑" w:eastAsia="微软雅黑"/>
          <w:sz w:val="24"/>
          <w:szCs w:val="24"/>
        </w:rPr>
      </w:pPr>
      <w:r>
        <w:rPr>
          <w:rFonts w:hint="eastAsia" w:ascii="微软雅黑" w:hAnsi="微软雅黑" w:eastAsia="微软雅黑"/>
          <w:sz w:val="24"/>
          <w:szCs w:val="24"/>
        </w:rPr>
        <w:t>查体：T36.8℃，左足第一跖趾关节、右足背红肿、压痛、皮温增高等症状均有所改善。</w:t>
      </w:r>
    </w:p>
    <w:p>
      <w:pPr>
        <w:pStyle w:val="8"/>
        <w:numPr>
          <w:ilvl w:val="0"/>
          <w:numId w:val="2"/>
        </w:numPr>
        <w:ind w:firstLineChars="0"/>
        <w:jc w:val="left"/>
        <w:rPr>
          <w:rFonts w:ascii="微软雅黑" w:hAnsi="微软雅黑" w:eastAsia="微软雅黑"/>
          <w:sz w:val="24"/>
          <w:szCs w:val="24"/>
        </w:rPr>
      </w:pPr>
      <w:r>
        <w:rPr>
          <w:rFonts w:hint="eastAsia" w:ascii="微软雅黑" w:hAnsi="微软雅黑" w:eastAsia="微软雅黑"/>
          <w:sz w:val="24"/>
          <w:szCs w:val="24"/>
        </w:rPr>
        <w:t>3日后，患者关节疼痛基本缓解，可下地行走活动。</w:t>
      </w:r>
    </w:p>
    <w:p>
      <w:pPr>
        <w:jc w:val="left"/>
        <w:rPr>
          <w:rFonts w:ascii="微软雅黑" w:hAnsi="微软雅黑" w:eastAsia="微软雅黑"/>
          <w:sz w:val="24"/>
          <w:szCs w:val="24"/>
        </w:rPr>
      </w:pPr>
      <w:r>
        <w:rPr>
          <w:rFonts w:hint="eastAsia" w:ascii="微软雅黑" w:hAnsi="微软雅黑" w:eastAsia="微软雅黑"/>
          <w:sz w:val="24"/>
          <w:szCs w:val="24"/>
        </w:rPr>
        <w:t>查体：左足第一跖趾关节、左足背红肿消失，皮温不高，关节局部轻压痛。</w:t>
      </w:r>
    </w:p>
    <w:p>
      <w:pPr>
        <w:pStyle w:val="8"/>
        <w:numPr>
          <w:ilvl w:val="0"/>
          <w:numId w:val="2"/>
        </w:numPr>
        <w:ind w:firstLineChars="0"/>
        <w:jc w:val="left"/>
        <w:rPr>
          <w:rFonts w:ascii="微软雅黑" w:hAnsi="微软雅黑" w:eastAsia="微软雅黑"/>
          <w:sz w:val="24"/>
          <w:szCs w:val="24"/>
        </w:rPr>
      </w:pPr>
      <w:r>
        <w:rPr>
          <w:rFonts w:hint="eastAsia" w:ascii="微软雅黑" w:hAnsi="微软雅黑" w:eastAsia="微软雅黑"/>
          <w:sz w:val="24"/>
          <w:szCs w:val="24"/>
        </w:rPr>
        <w:t>6日后，患者关节红肿热痛症状消失，活动正常。</w:t>
      </w:r>
    </w:p>
    <w:p>
      <w:pPr>
        <w:jc w:val="left"/>
        <w:rPr>
          <w:rFonts w:ascii="微软雅黑" w:hAnsi="微软雅黑" w:eastAsia="微软雅黑"/>
          <w:sz w:val="24"/>
          <w:szCs w:val="24"/>
        </w:rPr>
      </w:pPr>
      <w:r>
        <w:rPr>
          <w:rFonts w:hint="eastAsia" w:ascii="微软雅黑" w:hAnsi="微软雅黑" w:eastAsia="微软雅黑"/>
          <w:sz w:val="24"/>
          <w:szCs w:val="24"/>
        </w:rPr>
        <w:t>复查血常规：WBC 6.7×109 /L，N 70%。停用依托考昔片，加用秋水仙碱片0.5mg、非布司他片10mg   po qd控制病情。</w:t>
      </w:r>
    </w:p>
    <w:p>
      <w:pPr>
        <w:pStyle w:val="8"/>
        <w:numPr>
          <w:ilvl w:val="0"/>
          <w:numId w:val="2"/>
        </w:numPr>
        <w:ind w:firstLineChars="0"/>
        <w:jc w:val="left"/>
        <w:rPr>
          <w:rFonts w:ascii="微软雅黑" w:hAnsi="微软雅黑" w:eastAsia="微软雅黑"/>
          <w:sz w:val="24"/>
          <w:szCs w:val="24"/>
        </w:rPr>
      </w:pPr>
      <w:r>
        <w:rPr>
          <w:rFonts w:hint="eastAsia" w:ascii="微软雅黑" w:hAnsi="微软雅黑" w:eastAsia="微软雅黑"/>
          <w:sz w:val="24"/>
          <w:szCs w:val="24"/>
        </w:rPr>
        <w:t>9日后复查血液生化：UA 420 umol/L，予以出院。</w:t>
      </w:r>
    </w:p>
    <w:bookmarkEnd w:id="0"/>
    <w:bookmarkEnd w:id="1"/>
    <w:p>
      <w:pPr>
        <w:rPr>
          <w:rFonts w:ascii="微软雅黑" w:hAnsi="微软雅黑" w:eastAsia="微软雅黑"/>
          <w:b/>
          <w:color w:val="376092" w:themeColor="accent1" w:themeShade="BF"/>
          <w:sz w:val="24"/>
          <w:szCs w:val="24"/>
        </w:rPr>
      </w:pPr>
      <w:r>
        <w:rPr>
          <w:rFonts w:hint="eastAsia" w:ascii="微软雅黑" w:hAnsi="微软雅黑" w:eastAsia="微软雅黑"/>
          <w:b/>
          <w:color w:val="376092" w:themeColor="accent1" w:themeShade="BF"/>
          <w:sz w:val="24"/>
          <w:szCs w:val="24"/>
        </w:rPr>
        <w:t>讨论及分析</w:t>
      </w:r>
    </w:p>
    <w:p>
      <w:pPr>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无症状高尿酸血症和痛风患者起始降尿酸药物治疗的时机和控制目标</w:t>
      </w:r>
    </w:p>
    <w:p>
      <w:pPr>
        <w:rPr>
          <w:rFonts w:ascii="微软雅黑" w:hAnsi="微软雅黑" w:eastAsia="微软雅黑"/>
          <w:sz w:val="24"/>
          <w:szCs w:val="24"/>
        </w:rPr>
      </w:pPr>
      <w:r>
        <w:drawing>
          <wp:inline distT="0" distB="0" distL="0" distR="0">
            <wp:extent cx="5266690" cy="1943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rcRect t="12321"/>
                    <a:stretch>
                      <a:fillRect/>
                    </a:stretch>
                  </pic:blipFill>
                  <pic:spPr>
                    <a:xfrm>
                      <a:off x="0" y="0"/>
                      <a:ext cx="5274310" cy="1945884"/>
                    </a:xfrm>
                    <a:prstGeom prst="rect">
                      <a:avLst/>
                    </a:prstGeom>
                    <a:ln>
                      <a:noFill/>
                    </a:ln>
                  </pic:spPr>
                </pic:pic>
              </a:graphicData>
            </a:graphic>
          </wp:inline>
        </w:drawing>
      </w:r>
    </w:p>
    <w:p>
      <w:pPr>
        <w:rPr>
          <w:rFonts w:ascii="微软雅黑" w:hAnsi="微软雅黑" w:eastAsia="微软雅黑"/>
          <w:sz w:val="24"/>
          <w:szCs w:val="24"/>
        </w:rPr>
      </w:pPr>
      <w:r>
        <w:rPr>
          <w:rFonts w:hint="eastAsia" w:ascii="微软雅黑" w:hAnsi="微软雅黑" w:eastAsia="微软雅黑"/>
          <w:sz w:val="24"/>
          <w:szCs w:val="24"/>
        </w:rPr>
        <w:t>高尿酸血症的合并症：高血压、脂代谢异常、糖尿病、肥胖、脑卒中、冠心病、心功能不全、尿酸性肾结石、肾功能损害（≥CKD2期）。</w:t>
      </w:r>
    </w:p>
    <w:p>
      <w:pPr>
        <w:rPr>
          <w:rFonts w:ascii="微软雅黑" w:hAnsi="微软雅黑" w:eastAsia="微软雅黑"/>
          <w:sz w:val="24"/>
          <w:szCs w:val="24"/>
        </w:rPr>
      </w:pPr>
      <w:r>
        <w:rPr>
          <w:rFonts w:hint="eastAsia" w:ascii="微软雅黑" w:hAnsi="微软雅黑" w:eastAsia="微软雅黑"/>
          <w:sz w:val="24"/>
          <w:szCs w:val="24"/>
        </w:rPr>
        <w:t>痛风的合并症：痛风发作次数≥2次/年、痛风石、慢性痛风性关节炎、肾结石、慢性肾脏疾病、高血压、糖尿病、血脂异常、脑卒中、缺血性心脏病、心力衰竭和发病年龄＜40岁；建议血尿酸控制在＜300μmol/L。</w:t>
      </w:r>
    </w:p>
    <w:p>
      <w:pPr>
        <w:jc w:val="left"/>
        <w:rPr>
          <w:rFonts w:ascii="微软雅黑" w:hAnsi="微软雅黑" w:eastAsia="微软雅黑"/>
          <w:color w:val="376092" w:themeColor="accent1" w:themeShade="BF"/>
          <w:sz w:val="24"/>
          <w:szCs w:val="24"/>
        </w:rPr>
      </w:pPr>
      <w:r>
        <w:rPr>
          <w:rFonts w:hint="eastAsia" w:ascii="微软雅黑" w:hAnsi="微软雅黑" w:eastAsia="微软雅黑"/>
          <w:bCs/>
          <w:color w:val="376092" w:themeColor="accent1" w:themeShade="BF"/>
          <w:sz w:val="24"/>
          <w:szCs w:val="24"/>
        </w:rPr>
        <w:t>痛风急性发作期的抗炎镇痛治疗</w:t>
      </w:r>
    </w:p>
    <w:p>
      <w:pPr>
        <w:ind w:firstLine="480" w:firstLineChars="200"/>
        <w:rPr>
          <w:rFonts w:ascii="微软雅黑" w:hAnsi="微软雅黑" w:eastAsia="微软雅黑"/>
          <w:sz w:val="28"/>
          <w:szCs w:val="28"/>
        </w:rPr>
      </w:pPr>
      <w:r>
        <w:rPr>
          <w:rFonts w:hint="eastAsia" w:ascii="微软雅黑" w:hAnsi="微软雅黑" w:eastAsia="微软雅黑"/>
          <w:sz w:val="24"/>
          <w:szCs w:val="24"/>
        </w:rPr>
        <w:t>痛风急性发作期，推荐尽早使用小计量秋水仙碱或NSAID（足量、短疗程），对</w:t>
      </w:r>
      <w:r>
        <w:rPr>
          <w:rFonts w:hint="eastAsia" w:ascii="微软雅黑" w:hAnsi="微软雅黑" w:eastAsia="微软雅黑"/>
          <w:sz w:val="28"/>
          <w:szCs w:val="28"/>
        </w:rPr>
        <w:t>上述药物不耐受、疗效不佳或存在禁忌的患者，推荐全身应用糖皮质激素（</w:t>
      </w:r>
      <w:r>
        <w:rPr>
          <w:rFonts w:ascii="微软雅黑" w:hAnsi="微软雅黑" w:eastAsia="微软雅黑"/>
          <w:sz w:val="28"/>
          <w:szCs w:val="28"/>
        </w:rPr>
        <w:t>1B）；</w:t>
      </w:r>
      <w:bookmarkStart w:id="2" w:name="OLE_LINK3"/>
      <w:r>
        <w:rPr>
          <w:rFonts w:hint="eastAsia" w:ascii="微软雅黑" w:hAnsi="微软雅黑" w:eastAsia="微软雅黑"/>
          <w:sz w:val="28"/>
          <w:szCs w:val="28"/>
        </w:rPr>
        <w:t>有消化道出血风险或需长期使用小剂量阿司匹林患者，建议优先考虑选择性环氧化酶</w:t>
      </w:r>
      <w:r>
        <w:rPr>
          <w:rFonts w:ascii="微软雅黑" w:hAnsi="微软雅黑" w:eastAsia="微软雅黑"/>
          <w:sz w:val="28"/>
          <w:szCs w:val="28"/>
        </w:rPr>
        <w:t>2（COX-2）抑制剂</w:t>
      </w:r>
      <w:bookmarkEnd w:id="2"/>
      <w:r>
        <w:rPr>
          <w:rFonts w:hint="eastAsia" w:ascii="微软雅黑" w:hAnsi="微软雅黑" w:eastAsia="微软雅黑"/>
          <w:sz w:val="28"/>
          <w:szCs w:val="28"/>
        </w:rPr>
        <w:t>（</w:t>
      </w:r>
      <w:r>
        <w:rPr>
          <w:rFonts w:ascii="微软雅黑" w:hAnsi="微软雅黑" w:eastAsia="微软雅黑"/>
          <w:sz w:val="28"/>
          <w:szCs w:val="28"/>
        </w:rPr>
        <w:t>2B）；痛风急性发作累及多关节、大关节或合并全身症状的患者，建议首选糖皮质激素治疗（2B）；疼痛视觉模拟评分法（VAS）评分≥7分，或≥2个大关节受累，或多关节炎，或一种药物疗效差的患者，建议两种抗炎镇痛药物联合治疗，如小剂量秋水仙碱与NSAID或小剂量秋水仙碱与全身糖皮质激素联用（2C）。</w:t>
      </w:r>
    </w:p>
    <w:p>
      <w:pPr>
        <w:jc w:val="left"/>
        <w:rPr>
          <w:rFonts w:ascii="微软雅黑" w:hAnsi="微软雅黑" w:eastAsia="微软雅黑"/>
          <w:color w:val="376092" w:themeColor="accent1" w:themeShade="BF"/>
          <w:sz w:val="24"/>
          <w:szCs w:val="24"/>
        </w:rPr>
      </w:pPr>
      <w:r>
        <w:drawing>
          <wp:inline distT="0" distB="0" distL="0" distR="0">
            <wp:extent cx="5274310" cy="2475865"/>
            <wp:effectExtent l="0" t="0" r="254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74310" cy="2475996"/>
                    </a:xfrm>
                    <a:prstGeom prst="rect">
                      <a:avLst/>
                    </a:prstGeom>
                  </pic:spPr>
                </pic:pic>
              </a:graphicData>
            </a:graphic>
          </wp:inline>
        </w:drawing>
      </w:r>
    </w:p>
    <w:p>
      <w:pPr>
        <w:rPr>
          <w:rFonts w:ascii="微软雅黑" w:hAnsi="微软雅黑" w:eastAsia="微软雅黑"/>
          <w:color w:val="376092" w:themeColor="accent1" w:themeShade="BF"/>
          <w:sz w:val="24"/>
          <w:szCs w:val="24"/>
        </w:rPr>
      </w:pPr>
      <w:r>
        <w:rPr>
          <w:rFonts w:hint="eastAsia" w:ascii="微软雅黑" w:hAnsi="微软雅黑" w:eastAsia="微软雅黑"/>
          <w:color w:val="376092" w:themeColor="accent1" w:themeShade="BF"/>
          <w:sz w:val="24"/>
          <w:szCs w:val="24"/>
        </w:rPr>
        <w:t>痛风急性发作时，COX-2抑制剂作为优选的理由</w:t>
      </w:r>
    </w:p>
    <w:p>
      <w:pPr>
        <w:ind w:firstLine="480" w:firstLineChars="200"/>
        <w:rPr>
          <w:rFonts w:ascii="微软雅黑" w:hAnsi="微软雅黑" w:eastAsia="微软雅黑"/>
          <w:sz w:val="24"/>
          <w:szCs w:val="24"/>
        </w:rPr>
      </w:pPr>
      <w:r>
        <w:rPr>
          <w:rFonts w:hint="eastAsia" w:ascii="微软雅黑" w:hAnsi="微软雅黑" w:eastAsia="微软雅黑"/>
          <w:sz w:val="24"/>
          <w:szCs w:val="24"/>
        </w:rPr>
        <w:t>依托考昔被FDA批准急性痛风治疗的适应症，成为被推荐的选择性COX-2抑制剂。依托考昔缓解急性痛风性关节炎疼痛具有快速和持久的效果，24分钟急速起效，24小时持久镇痛。我国一项回顾性队列研究表明，小剂量依托考昔明显降低降尿酸治疗早期痛风复发率。</w:t>
      </w:r>
      <w:bookmarkStart w:id="3" w:name="_GoBack"/>
      <w:bookmarkEnd w:id="3"/>
    </w:p>
    <w:p>
      <w:pPr>
        <w:jc w:val="center"/>
        <w:rPr>
          <w:rFonts w:ascii="微软雅黑" w:hAnsi="微软雅黑" w:eastAsia="微软雅黑"/>
          <w:sz w:val="24"/>
          <w:szCs w:val="24"/>
        </w:rPr>
      </w:pPr>
      <w:r>
        <w:drawing>
          <wp:inline distT="0" distB="0" distL="0" distR="0">
            <wp:extent cx="5274310" cy="2870835"/>
            <wp:effectExtent l="0" t="0" r="254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8"/>
                    <a:stretch>
                      <a:fillRect/>
                    </a:stretch>
                  </pic:blipFill>
                  <pic:spPr>
                    <a:xfrm>
                      <a:off x="0" y="0"/>
                      <a:ext cx="5274310" cy="2870958"/>
                    </a:xfrm>
                    <a:prstGeom prst="rect">
                      <a:avLst/>
                    </a:prstGeom>
                  </pic:spPr>
                </pic:pic>
              </a:graphicData>
            </a:graphic>
          </wp:inline>
        </w:drawing>
      </w:r>
    </w:p>
    <w:p>
      <w:pPr>
        <w:rPr>
          <w:rFonts w:ascii="微软雅黑" w:hAnsi="微软雅黑" w:eastAsia="微软雅黑"/>
          <w:b/>
          <w:color w:val="376092" w:themeColor="accent1" w:themeShade="BF"/>
          <w:sz w:val="24"/>
          <w:szCs w:val="24"/>
        </w:rPr>
      </w:pPr>
      <w:r>
        <w:rPr>
          <w:rFonts w:hint="eastAsia" w:ascii="微软雅黑" w:hAnsi="微软雅黑" w:eastAsia="微软雅黑"/>
          <w:b/>
          <w:color w:val="376092" w:themeColor="accent1" w:themeShade="BF"/>
          <w:sz w:val="24"/>
          <w:szCs w:val="24"/>
        </w:rPr>
        <w:t>治疗体会</w:t>
      </w:r>
    </w:p>
    <w:p>
      <w:pPr>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痛风是指除高尿酸血症外出现急性关节炎、痛风石、慢性关节炎、关节畸形、慢性间质性肾炎和尿酸性尿路结石等临床表现。尿酸的波动引起痛风的发作：1、血尿酸突然升高：尿酸结晶在滑液中沉淀尿酸盐；2、血尿酸突然下降：痛风石溶解，释放出不溶性针状结晶。平日需低嘌呤饮食、多饮水、正规抗痛风治疗。</w:t>
      </w:r>
    </w:p>
    <w:p>
      <w:pPr>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痛风急性发作期，推荐尽早使用小剂量秋水仙碱或非甾体抗炎药（足量、短疗程）、激素，非甾体抗炎药是痛风急性期的一线药物，建议早期足量服用，尤其有糖尿病患者，尽量避免使用激素。首选起效快、胃肠道不良反应少的药物，如选择性COX-2抑制剂（依托考昔）。</w:t>
      </w:r>
    </w:p>
    <w:p>
      <w:pPr>
        <w:rPr>
          <w:rFonts w:ascii="微软雅黑" w:hAnsi="微软雅黑" w:eastAsia="微软雅黑"/>
          <w:color w:val="262626" w:themeColor="text1" w:themeTint="D9"/>
          <w:sz w:val="24"/>
          <w:szCs w:val="24"/>
          <w14:textFill>
            <w14:solidFill>
              <w14:schemeClr w14:val="tx1">
                <w14:lumMod w14:val="85000"/>
                <w14:lumOff w14:val="15000"/>
              </w14:schemeClr>
            </w14:solidFill>
          </w14:textFill>
        </w:rPr>
      </w:pPr>
    </w:p>
    <w:p>
      <w:pPr>
        <w:rPr>
          <w:rFonts w:ascii="微软雅黑" w:hAnsi="微软雅黑" w:eastAsia="微软雅黑"/>
          <w:color w:val="262626" w:themeColor="text1" w:themeTint="D9"/>
          <w:sz w:val="24"/>
          <w:szCs w:val="24"/>
          <w14:textFill>
            <w14:solidFill>
              <w14:schemeClr w14:val="tx1">
                <w14:lumMod w14:val="85000"/>
                <w14:lumOff w14:val="15000"/>
              </w14:schemeClr>
            </w14:solidFill>
          </w14:textFill>
        </w:rPr>
      </w:pPr>
      <w:r>
        <w:rPr>
          <w:rFonts w:hint="eastAsia" w:ascii="微软雅黑" w:hAnsi="微软雅黑" w:eastAsia="微软雅黑"/>
          <w:color w:val="262626" w:themeColor="text1" w:themeTint="D9"/>
          <w:sz w:val="24"/>
          <w:szCs w:val="24"/>
          <w14:textFill>
            <w14:solidFill>
              <w14:schemeClr w14:val="tx1">
                <w14:lumMod w14:val="85000"/>
                <w14:lumOff w14:val="15000"/>
              </w14:schemeClr>
            </w14:solidFill>
          </w14:textFill>
        </w:rPr>
        <w:t>参考文献：</w:t>
      </w:r>
    </w:p>
    <w:p>
      <w:pPr>
        <w:rPr>
          <w:rFonts w:ascii="微软雅黑" w:hAnsi="微软雅黑" w:eastAsia="微软雅黑"/>
          <w:color w:val="262626" w:themeColor="text1" w:themeTint="D9"/>
          <w:sz w:val="24"/>
          <w:szCs w:val="24"/>
          <w14:textFill>
            <w14:solidFill>
              <w14:schemeClr w14:val="tx1">
                <w14:lumMod w14:val="85000"/>
                <w14:lumOff w14:val="15000"/>
              </w14:schemeClr>
            </w14:solidFill>
          </w14:textFill>
        </w:rPr>
      </w:pPr>
      <w:r>
        <w:rPr>
          <w:rFonts w:hint="eastAsia" w:ascii="微软雅黑" w:hAnsi="微软雅黑" w:eastAsia="微软雅黑"/>
          <w:color w:val="262626" w:themeColor="text1" w:themeTint="D9"/>
          <w:sz w:val="24"/>
          <w:szCs w:val="24"/>
          <w14:textFill>
            <w14:solidFill>
              <w14:schemeClr w14:val="tx1">
                <w14:lumMod w14:val="85000"/>
                <w14:lumOff w14:val="15000"/>
              </w14:schemeClr>
            </w14:solidFill>
          </w14:textFill>
        </w:rPr>
        <w:t>1.2019高尿酸血症和痛风治疗中国专家共识[J]. 中华内分泌代谢杂志. 2020., 36(1):1-13.</w:t>
      </w:r>
    </w:p>
    <w:p>
      <w:pPr>
        <w:rPr>
          <w:rFonts w:ascii="微软雅黑" w:hAnsi="微软雅黑" w:eastAsia="微软雅黑"/>
          <w:color w:val="262626" w:themeColor="text1" w:themeTint="D9"/>
          <w:sz w:val="24"/>
          <w:szCs w:val="24"/>
          <w14:textFill>
            <w14:solidFill>
              <w14:schemeClr w14:val="tx1">
                <w14:lumMod w14:val="85000"/>
                <w14:lumOff w14:val="15000"/>
              </w14:schemeClr>
            </w14:solidFill>
          </w14:textFill>
        </w:rPr>
      </w:pPr>
      <w:r>
        <w:rPr>
          <w:rFonts w:hint="eastAsia" w:ascii="微软雅黑" w:hAnsi="微软雅黑" w:eastAsia="微软雅黑"/>
          <w:color w:val="262626" w:themeColor="text1" w:themeTint="D9"/>
          <w:sz w:val="24"/>
          <w:szCs w:val="24"/>
          <w14:textFill>
            <w14:solidFill>
              <w14:schemeClr w14:val="tx1">
                <w14:lumMod w14:val="85000"/>
                <w14:lumOff w14:val="15000"/>
              </w14:schemeClr>
            </w14:solidFill>
          </w14:textFill>
        </w:rPr>
        <w:t>2.</w:t>
      </w:r>
      <w:r>
        <w:rPr>
          <w:rFonts w:ascii="微软雅黑" w:hAnsi="微软雅黑" w:eastAsia="微软雅黑"/>
          <w:color w:val="262626" w:themeColor="text1" w:themeTint="D9"/>
          <w:sz w:val="24"/>
          <w:szCs w:val="24"/>
          <w14:textFill>
            <w14:solidFill>
              <w14:schemeClr w14:val="tx1">
                <w14:lumMod w14:val="85000"/>
                <w14:lumOff w14:val="15000"/>
              </w14:schemeClr>
            </w14:solidFill>
          </w14:textFill>
        </w:rPr>
        <w:t>Efficacy and safety of etoricoxib compared with NSAIDs in acute gout: a systematic review and a meta-analysis[J]. Clinical Rheumatology, 2016, 35(1):151-158.</w:t>
      </w:r>
    </w:p>
    <w:p>
      <w:pPr>
        <w:ind w:firstLine="480" w:firstLineChars="200"/>
        <w:jc w:val="left"/>
        <w:rPr>
          <w:rFonts w:ascii="微软雅黑" w:hAnsi="微软雅黑" w:eastAsia="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DA2FDA"/>
    <w:multiLevelType w:val="multilevel"/>
    <w:tmpl w:val="65DA2FD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6D3E366F"/>
    <w:multiLevelType w:val="multilevel"/>
    <w:tmpl w:val="6D3E366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0NDU4MDRlZjRjMTgyZDkwZWNlYTM3ZDllZmEyZjUifQ=="/>
  </w:docVars>
  <w:rsids>
    <w:rsidRoot w:val="00344710"/>
    <w:rsid w:val="00086FF7"/>
    <w:rsid w:val="000B4965"/>
    <w:rsid w:val="00120A7E"/>
    <w:rsid w:val="001274E8"/>
    <w:rsid w:val="00170EFE"/>
    <w:rsid w:val="00177BCD"/>
    <w:rsid w:val="001B3A6D"/>
    <w:rsid w:val="00215992"/>
    <w:rsid w:val="002968E1"/>
    <w:rsid w:val="002B1973"/>
    <w:rsid w:val="002D3E88"/>
    <w:rsid w:val="00344710"/>
    <w:rsid w:val="004259B6"/>
    <w:rsid w:val="00442ACB"/>
    <w:rsid w:val="0044355A"/>
    <w:rsid w:val="004C01F2"/>
    <w:rsid w:val="004C2041"/>
    <w:rsid w:val="00583A26"/>
    <w:rsid w:val="006640D3"/>
    <w:rsid w:val="006D4357"/>
    <w:rsid w:val="006D666D"/>
    <w:rsid w:val="007B7AD2"/>
    <w:rsid w:val="00802BAE"/>
    <w:rsid w:val="00827623"/>
    <w:rsid w:val="008B564D"/>
    <w:rsid w:val="008F489F"/>
    <w:rsid w:val="00936613"/>
    <w:rsid w:val="00AA01E5"/>
    <w:rsid w:val="00AC1F17"/>
    <w:rsid w:val="00B25A56"/>
    <w:rsid w:val="00B2694E"/>
    <w:rsid w:val="00B56FCC"/>
    <w:rsid w:val="00CB7640"/>
    <w:rsid w:val="00D10055"/>
    <w:rsid w:val="00DB7C0F"/>
    <w:rsid w:val="00DC6DF8"/>
    <w:rsid w:val="00EF4867"/>
    <w:rsid w:val="00F20763"/>
    <w:rsid w:val="00F77332"/>
    <w:rsid w:val="0C613D7E"/>
    <w:rsid w:val="1D3F5A1D"/>
    <w:rsid w:val="46170C70"/>
    <w:rsid w:val="49081ACF"/>
    <w:rsid w:val="4E312B74"/>
    <w:rsid w:val="5A5D0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批注框文本 Char"/>
    <w:basedOn w:val="7"/>
    <w:link w:val="2"/>
    <w:semiHidden/>
    <w:qFormat/>
    <w:uiPriority w:val="99"/>
    <w:rPr>
      <w:sz w:val="18"/>
      <w:szCs w:val="18"/>
    </w:rPr>
  </w:style>
  <w:style w:type="character" w:customStyle="1" w:styleId="10">
    <w:name w:val="页眉 Char"/>
    <w:basedOn w:val="7"/>
    <w:link w:val="4"/>
    <w:qFormat/>
    <w:uiPriority w:val="99"/>
    <w:rPr>
      <w:kern w:val="2"/>
      <w:sz w:val="18"/>
      <w:szCs w:val="18"/>
    </w:rPr>
  </w:style>
  <w:style w:type="character" w:customStyle="1" w:styleId="11">
    <w:name w:val="页脚 Char"/>
    <w:basedOn w:val="7"/>
    <w:link w:val="3"/>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1930</Words>
  <Characters>2250</Characters>
  <Lines>16</Lines>
  <Paragraphs>4</Paragraphs>
  <TotalTime>1</TotalTime>
  <ScaleCrop>false</ScaleCrop>
  <LinksUpToDate>false</LinksUpToDate>
  <CharactersWithSpaces>2310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2020-07-23T05:54:00Z</dcterms:created>
  <dc:creator>eastonpharma</dc:creator>
  <cp:lastModifiedBy>220236</cp:lastModifiedBy>
  <dcterms:modified xsi:type="dcterms:W3CDTF">2022-06-16T02:54:03Z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4B0A0A84217341F7BC609ACD8A100656</vt:lpwstr>
  </property>
</Properties>
</file>