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OLE_LINK24"/>
      <w:bookmarkStart w:id="1" w:name="OLE_LINK39"/>
      <w:bookmarkStart w:id="2" w:name="_Toc415142861"/>
      <w:bookmarkStart w:id="3" w:name="OLE_LINK40"/>
      <w:bookmarkStart w:id="4" w:name="OLE_LINK13"/>
      <w:bookmarkStart w:id="5" w:name="_Toc415818939"/>
      <w:bookmarkStart w:id="6" w:name="_Toc415143481"/>
      <w:bookmarkStart w:id="7" w:name="_Toc481801204"/>
      <w:bookmarkStart w:id="8" w:name="_Toc517262917"/>
      <w:bookmarkStart w:id="9" w:name="_Toc438987549"/>
      <w:bookmarkStart w:id="10" w:name="OLE_LINK15"/>
      <w:bookmarkStart w:id="11" w:name="_Toc453597319"/>
      <w:bookmarkStart w:id="12" w:name="_Toc418070112"/>
      <w:r>
        <w:rPr>
          <w:lang w:eastAsia="zh-CN"/>
        </w:rPr>
        <w:t>电生理导管消融</w:t>
      </w:r>
      <w:r>
        <w:rPr>
          <w:rFonts w:hint="eastAsia"/>
          <w:lang w:eastAsia="zh-CN"/>
        </w:rPr>
        <w:t>全球市场总体规模</w:t>
      </w:r>
    </w:p>
    <w:p>
      <w:pPr>
        <w:pStyle w:val="145"/>
        <w:rPr>
          <w:lang w:eastAsia="zh-CN"/>
        </w:rPr>
      </w:pPr>
      <w:r>
        <w:rPr>
          <w:rFonts w:hint="eastAsia"/>
          <w:lang w:eastAsia="zh-CN"/>
        </w:rPr>
        <w:t>据QYResearch调研团队最新报告“全球电生理导管消融市场报告2024-2030”显示，预计2030年全球电生理导管消融市场规模将达到32.5亿美元，未来几年年复合增长率CAGR为10.1%。</w:t>
      </w:r>
    </w:p>
    <w:p>
      <w:pPr>
        <w:pStyle w:val="148"/>
        <w:rPr>
          <w:lang w:eastAsia="zh-CN"/>
        </w:rPr>
      </w:pPr>
      <w:r>
        <w:rPr>
          <w:lang w:eastAsia="zh-CN"/>
        </w:rPr>
        <w:t>电生理导管消融</w:t>
      </w:r>
      <w:r>
        <w:rPr>
          <w:rFonts w:hint="eastAsia"/>
          <w:lang w:eastAsia="zh-CN"/>
        </w:rPr>
        <w:t>，全球市场总体规模</w:t>
      </w:r>
    </w:p>
    <w:p>
      <w:pPr>
        <w:pStyle w:val="145"/>
      </w:pPr>
      <w:r>
        <w:drawing>
          <wp:inline distT="0" distB="0" distL="0" distR="0">
            <wp:extent cx="6188710" cy="3005455"/>
            <wp:effectExtent l="0" t="0" r="2540" b="444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电生理导管消融</w:t>
      </w:r>
      <w:r>
        <w:rPr>
          <w:rFonts w:hint="eastAsia"/>
          <w:lang w:eastAsia="zh-CN"/>
        </w:rPr>
        <w:t>市场研究报告2024-2030”</w:t>
      </w:r>
      <w:r>
        <w:rPr>
          <w:lang w:eastAsia="zh-CN"/>
        </w:rPr>
        <w:t>.</w:t>
      </w:r>
    </w:p>
    <w:p>
      <w:pPr>
        <w:pStyle w:val="145"/>
        <w:rPr>
          <w:lang w:eastAsia="zh-CN"/>
        </w:rPr>
      </w:pPr>
    </w:p>
    <w:p>
      <w:pPr>
        <w:pStyle w:val="148"/>
        <w:rPr>
          <w:lang w:eastAsia="zh-CN"/>
        </w:rPr>
      </w:pPr>
      <w:r>
        <w:rPr>
          <w:rFonts w:hint="eastAsia"/>
          <w:lang w:eastAsia="zh-CN"/>
        </w:rPr>
        <w:t>全球</w:t>
      </w:r>
      <w:r>
        <w:rPr>
          <w:lang w:eastAsia="zh-CN"/>
        </w:rPr>
        <w:t>电生理导管消融</w:t>
      </w:r>
      <w:r>
        <w:rPr>
          <w:rFonts w:hint="eastAsia"/>
          <w:lang w:eastAsia="zh-CN"/>
        </w:rPr>
        <w:t>市场前</w:t>
      </w:r>
      <w:r>
        <w:rPr>
          <w:lang w:eastAsia="zh-CN"/>
        </w:rPr>
        <w:t>5</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如上图表/数据，摘自QYResearch报告“全球</w:t>
      </w:r>
      <w:r>
        <w:rPr>
          <w:lang w:eastAsia="zh-CN"/>
        </w:rPr>
        <w:t>电生理导管消融</w:t>
      </w:r>
      <w:r>
        <w:rPr>
          <w:rFonts w:hint="eastAsia"/>
          <w:lang w:eastAsia="zh-CN"/>
        </w:rPr>
        <w:t>市场研究报告2024-2030”，排名基于2023数据。目前最新数据，以本公司最新调研数据为准。</w:t>
      </w:r>
    </w:p>
    <w:p>
      <w:pPr>
        <w:pStyle w:val="145"/>
        <w:rPr>
          <w:lang w:eastAsia="zh-CN"/>
        </w:rPr>
      </w:pPr>
      <w:r>
        <w:rPr>
          <w:rFonts w:hint="eastAsia"/>
          <w:lang w:eastAsia="zh-CN"/>
        </w:rPr>
        <w:t>根据QYResearch头部企业研究中心调研，全球范围内电生理导管消融生产商主要包括Johnson &amp; Johnson、Abbott、Medtronic、Boston Scientific、Biotronik、Japan Lifeline、OSYPKA、MicroPort EP MedTech、CardioFocus、等。2023年，全球前五大厂商占有大约84.0%的市场份额。</w:t>
      </w:r>
    </w:p>
    <w:p>
      <w:pPr>
        <w:pStyle w:val="145"/>
        <w:rPr>
          <w:lang w:eastAsia="zh-CN"/>
        </w:rPr>
      </w:pPr>
      <w:r>
        <w:rPr>
          <w:rFonts w:hint="eastAsia"/>
          <w:lang w:eastAsia="zh-CN"/>
        </w:rPr>
        <w:t>心导管实验室市场的主要驱动力是心血管疾病的患病率不断上升，而全球人口老龄化、久坐不动的生活方式以及肥胖和糖尿病的发病率不断上升，都是导致这一现象的原因。成像技术和微创手术等技术进步也通过提高心脏干预的效率和安全性推动了市场增长。然而，市场面临的一个重大挑战是建立和维护心导管实验室的成本高昂，包括昂贵的设备和对高技能人员的需求。此外，严格的监管要求和报销问题可能会阻碍市场扩张，尤其是在发展中地区。</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val="en-US" w:eastAsia="zh-CN"/>
        </w:rPr>
      </w:pPr>
      <w:bookmarkStart w:id="19" w:name="_GoBack"/>
      <w:bookmarkEnd w:id="19"/>
    </w:p>
    <w:p>
      <w:pPr>
        <w:pStyle w:val="145"/>
        <w:rPr>
          <w:lang w:eastAsia="zh-CN"/>
        </w:rPr>
      </w:pPr>
      <w:r>
        <w:rPr>
          <w:lang w:eastAsia="zh-CN"/>
        </w:rPr>
        <w:br w:type="page"/>
      </w: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7"/>
    <w:bookmarkStart w:id="14" w:name="_Hlk149300688"/>
    <w:bookmarkStart w:id="15" w:name="_Hlk149300689"/>
    <w:bookmarkStart w:id="16" w:name="_Hlk149300690"/>
    <w:bookmarkStart w:id="17" w:name="_Hlk149300691"/>
    <w:bookmarkStart w:id="18" w:name="_Hlk149300692"/>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603"/>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40"/>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738"/>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679"/>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35"/>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78"/>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07F"/>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01"/>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47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0FF"/>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49F"/>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6B"/>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0B1"/>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4D10"/>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4FD8"/>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E81"/>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6EC6"/>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1E2"/>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44E"/>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843"/>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AF5"/>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0E9"/>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A6C"/>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428"/>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561"/>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F666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autoRedefine/>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autoRedefine/>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autoRedefine/>
    <w:uiPriority w:val="99"/>
    <w:rPr>
      <w:rFonts w:ascii="Times New Roman" w:hAnsi="Times New Roman" w:eastAsia="Times New Roman" w:cs="Times New Roman"/>
      <w:sz w:val="18"/>
      <w:szCs w:val="18"/>
    </w:rPr>
  </w:style>
  <w:style w:type="character" w:customStyle="1" w:styleId="104">
    <w:name w:val="批注框文本 字符1"/>
    <w:link w:val="20"/>
    <w:autoRedefine/>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E:\&#21327;&#21161;&#24352;&#32918;\202405%20&#25490;&#21517;&#25991;&#20214;\&#30005;&#29983;&#29702;&#23548;&#31649;&#28040;&#34701;\&#35266;&#28857;&#25968;&#25454;&#22270;&#34920;&#27169;&#26495;-&#27169;&#26495;%202024040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1327;&#21161;&#24352;&#32918;\202405%20&#25490;&#21517;&#25991;&#20214;\&#30005;&#29983;&#29702;&#23548;&#31649;&#28040;&#34701;\&#35266;&#28857;&#25968;&#25454;&#22270;&#34920;&#27169;&#26495;-&#27169;&#26495;%202024040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101820801093785"/>
          <c:y val="0.0743906508300871"/>
          <c:w val="0.845512387307458"/>
          <c:h val="0.794607567572072"/>
        </c:manualLayout>
      </c:layout>
      <c:barChart>
        <c:barDir val="col"/>
        <c:grouping val="clustered"/>
        <c:varyColors val="0"/>
        <c:ser>
          <c:idx val="0"/>
          <c:order val="0"/>
          <c:tx>
            <c:strRef>
              <c:f>全球总体!$A$12</c:f>
              <c:strCache>
                <c:ptCount val="1"/>
                <c:pt idx="0">
                  <c:v>全球规模（百万美元</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delete val="1"/>
          </c:dLbls>
          <c:cat>
            <c:numRef>
              <c:f>全球总体!$B$7:$M$7</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全球总体!$B$12:$M$12</c:f>
              <c:numCache>
                <c:formatCode>#,##0_ </c:formatCode>
                <c:ptCount val="12"/>
                <c:pt idx="0">
                  <c:v>1314.67</c:v>
                </c:pt>
                <c:pt idx="1">
                  <c:v>1228.03</c:v>
                </c:pt>
                <c:pt idx="2">
                  <c:v>1341.4</c:v>
                </c:pt>
                <c:pt idx="3">
                  <c:v>1495.26</c:v>
                </c:pt>
                <c:pt idx="4">
                  <c:v>1647.53</c:v>
                </c:pt>
                <c:pt idx="5">
                  <c:v>1821.99</c:v>
                </c:pt>
                <c:pt idx="6">
                  <c:v>2014.76</c:v>
                </c:pt>
                <c:pt idx="7">
                  <c:v>2237.43</c:v>
                </c:pt>
                <c:pt idx="8">
                  <c:v>2471.3</c:v>
                </c:pt>
                <c:pt idx="9">
                  <c:v>2699</c:v>
                </c:pt>
                <c:pt idx="10">
                  <c:v>2983</c:v>
                </c:pt>
                <c:pt idx="11">
                  <c:v>3254</c:v>
                </c:pt>
              </c:numCache>
            </c:numRef>
          </c:val>
        </c:ser>
        <c:dLbls>
          <c:showLegendKey val="0"/>
          <c:showVal val="0"/>
          <c:showCatName val="0"/>
          <c:showSerName val="0"/>
          <c:showPercent val="0"/>
          <c:showBubbleSize val="0"/>
        </c:dLbls>
        <c:gapWidth val="25"/>
        <c:axId val="-1322419456"/>
        <c:axId val="-1322431424"/>
      </c:barChart>
      <c:lineChart>
        <c:grouping val="stacked"/>
        <c:varyColors val="0"/>
        <c:ser>
          <c:idx val="1"/>
          <c:order val="1"/>
          <c:tx>
            <c:strRef>
              <c:f>全球总体!$A$13</c:f>
              <c:strCache>
                <c:ptCount val="1"/>
                <c:pt idx="0">
                  <c:v>增速</c:v>
                </c:pt>
              </c:strCache>
            </c:strRef>
          </c:tx>
          <c:spPr>
            <a:ln w="25400" cap="rnd" cmpd="sng" algn="ctr">
              <a:solidFill>
                <a:srgbClr val="FFC000"/>
              </a:solidFill>
              <a:prstDash val="solid"/>
              <a:round/>
            </a:ln>
          </c:spPr>
          <c:marker>
            <c:symbol val="circle"/>
            <c:size val="32"/>
            <c:spPr>
              <a:solidFill>
                <a:schemeClr val="bg1">
                  <a:lumMod val="50000"/>
                </a:schemeClr>
              </a:solidFill>
              <a:ln w="6350" cap="flat" cmpd="sng" algn="ctr">
                <a:solidFill>
                  <a:schemeClr val="bg1"/>
                </a:solidFill>
                <a:prstDash val="solid"/>
                <a:round/>
              </a:ln>
            </c:spPr>
          </c:marker>
          <c:dLbls>
            <c:numFmt formatCode="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bg1">
                        <a:lumMod val="95000"/>
                      </a:schemeClr>
                    </a:solidFill>
                    <a:latin typeface="Times New Roman" panose="02020603050405020304" charset="0"/>
                    <a:ea typeface="宋体" panose="02010600030101010101" charset="-122"/>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全球总体!$B$7:$M$7</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全球总体!$B$13:$M$13</c:f>
              <c:numCache>
                <c:formatCode>0.0%</c:formatCode>
                <c:ptCount val="12"/>
                <c:pt idx="0">
                  <c:v>-0.0714053260514044</c:v>
                </c:pt>
                <c:pt idx="1">
                  <c:v>-0.0659024698213239</c:v>
                </c:pt>
                <c:pt idx="2">
                  <c:v>0.0923185915653528</c:v>
                </c:pt>
                <c:pt idx="3">
                  <c:v>0.114701058595497</c:v>
                </c:pt>
                <c:pt idx="4">
                  <c:v>0.101835132351564</c:v>
                </c:pt>
                <c:pt idx="5">
                  <c:v>0.105891850224275</c:v>
                </c:pt>
                <c:pt idx="6">
                  <c:v>0.105801897924796</c:v>
                </c:pt>
                <c:pt idx="7">
                  <c:v>0.110519367071016</c:v>
                </c:pt>
                <c:pt idx="8">
                  <c:v>0.104526175120562</c:v>
                </c:pt>
                <c:pt idx="9">
                  <c:v>0.092137741269777</c:v>
                </c:pt>
                <c:pt idx="10">
                  <c:v>0.10522415709522</c:v>
                </c:pt>
                <c:pt idx="11">
                  <c:v>0.0908481394569225</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0_ " sourceLinked="1"/>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29792"/>
        <c:crosses val="max"/>
        <c:crossBetween val="between"/>
      </c:valAx>
      <c:spPr>
        <a:ln>
          <a:noFill/>
        </a:ln>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legend>
    <c:plotVisOnly val="1"/>
    <c:dispBlanksAs val="gap"/>
    <c:showDLblsOverMax val="0"/>
  </c:chart>
  <c:spPr>
    <a:ln w="6350" cap="flat" cmpd="sng" algn="ctr">
      <a:noFill/>
      <a:prstDash val="solid"/>
      <a:round/>
    </a:ln>
  </c:spPr>
  <c:txPr>
    <a:bodyPr/>
    <a:lstStyle/>
    <a:p>
      <a:pPr>
        <a:defRPr lang="zh-CN" baseline="0">
          <a:latin typeface="Times New Roman" panose="02020603050405020304" charset="0"/>
          <a:ea typeface="宋体" panose="02010600030101010101" charset="-122"/>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Lbls>
            <c:delete val="1"/>
          </c:dLbls>
          <c:cat>
            <c:strRef>
              <c:f>企业收入!$H$2:$H$21</c:f>
              <c:strCache>
                <c:ptCount val="9"/>
                <c:pt idx="0">
                  <c:v>Johnson &amp; Johnson</c:v>
                </c:pt>
                <c:pt idx="1">
                  <c:v>Abbott</c:v>
                </c:pt>
                <c:pt idx="2">
                  <c:v>Medtronic</c:v>
                </c:pt>
                <c:pt idx="3">
                  <c:v>Boston Scientific</c:v>
                </c:pt>
                <c:pt idx="4">
                  <c:v>Biotronik</c:v>
                </c:pt>
                <c:pt idx="5">
                  <c:v>Japan Lifeline</c:v>
                </c:pt>
                <c:pt idx="6">
                  <c:v>OSYPKA</c:v>
                </c:pt>
                <c:pt idx="7">
                  <c:v>MicroPort EP MedTech</c:v>
                </c:pt>
                <c:pt idx="8">
                  <c:v>CardioFocus</c:v>
                </c:pt>
              </c:strCache>
            </c:strRef>
          </c:cat>
          <c:val>
            <c:numRef>
              <c:f>企业收入!$I$2:$I$21</c:f>
              <c:numCache>
                <c:formatCode>0.0%</c:formatCode>
                <c:ptCount val="9"/>
                <c:pt idx="0">
                  <c:v>0.378600270708272</c:v>
                </c:pt>
                <c:pt idx="1">
                  <c:v>0.274460303606004</c:v>
                </c:pt>
                <c:pt idx="2">
                  <c:v>0.119321078220123</c:v>
                </c:pt>
                <c:pt idx="3">
                  <c:v>0.0527724338858776</c:v>
                </c:pt>
                <c:pt idx="4">
                  <c:v>0.0153788883965694</c:v>
                </c:pt>
                <c:pt idx="5">
                  <c:v>0.0079042712424053</c:v>
                </c:pt>
                <c:pt idx="6">
                  <c:v>0.00596059798607613</c:v>
                </c:pt>
                <c:pt idx="7">
                  <c:v>0.00869538035726208</c:v>
                </c:pt>
                <c:pt idx="8">
                  <c:v>0.00460343665972699</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2A57B2-AAB1-4041-BBEE-313A20CEA1BB}">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209</Words>
  <Characters>1193</Characters>
  <Lines>9</Lines>
  <Paragraphs>2</Paragraphs>
  <TotalTime>650</TotalTime>
  <ScaleCrop>false</ScaleCrop>
  <LinksUpToDate>false</LinksUpToDate>
  <CharactersWithSpaces>1400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2024-05-31T08:08:55Z</dcterms:modified>
  <cp:revision>831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C32947A86FDB418C9AB389E92F7E962F_13</vt:lpwstr>
  </property>
</Properties>
</file>