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colors4.xml" ContentType="application/vnd.ms-office.chartcolorstyle+xml"/>
  <Override PartName="/word/charts/colors5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charts/style4.xml" ContentType="application/vnd.ms-office.chartstyle+xml"/>
  <Override PartName="/word/charts/style5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0" w:name="_Toc517262917"/>
      <w:bookmarkStart w:id="1" w:name="_Toc438987549"/>
      <w:bookmarkStart w:id="2" w:name="_Toc481801204"/>
      <w:bookmarkStart w:id="3" w:name="OLE_LINK15"/>
      <w:bookmarkStart w:id="4" w:name="_Toc415818939"/>
      <w:bookmarkStart w:id="5" w:name="OLE_LINK13"/>
      <w:bookmarkStart w:id="6" w:name="_Toc453597319"/>
      <w:bookmarkStart w:id="7" w:name="_Toc415142861"/>
      <w:bookmarkStart w:id="8" w:name="OLE_LINK40"/>
      <w:bookmarkStart w:id="9" w:name="_Toc418070112"/>
      <w:bookmarkStart w:id="10" w:name="_Toc415143481"/>
      <w:bookmarkStart w:id="11" w:name="OLE_LINK39"/>
      <w:bookmarkStart w:id="12" w:name="OLE_LINK24"/>
      <w:r>
        <w:rPr>
          <w:lang w:eastAsia="zh-CN"/>
        </w:rPr>
        <w:t>数字印刷机</w:t>
      </w:r>
      <w:r>
        <w:rPr>
          <w:rFonts w:hint="eastAsia"/>
          <w:lang w:eastAsia="zh-CN"/>
        </w:rPr>
        <w:t>全球市场总体规模</w:t>
      </w:r>
    </w:p>
    <w:p>
      <w:pPr>
        <w:widowControl/>
        <w:topLinePunct w:val="0"/>
        <w:spacing w:after="0"/>
        <w:rPr>
          <w:rFonts w:hint="eastAsia"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据QYResearch调研团队最新报告“全球数字印刷机市场报告2023-2029”显示，预计2029年全球数字印刷机市场规模将达到14.2亿美元，未来几年年复合增长率CAGR为2.8%。</w:t>
      </w:r>
    </w:p>
    <w:p>
      <w:pPr>
        <w:pStyle w:val="148"/>
        <w:rPr>
          <w:lang w:eastAsia="zh-CN"/>
        </w:rPr>
      </w:pPr>
      <w:r>
        <w:rPr>
          <w:lang w:eastAsia="zh-CN"/>
        </w:rPr>
        <w:t>数字印刷机</w:t>
      </w:r>
      <w:r>
        <w:rPr>
          <w:rFonts w:hint="eastAsia"/>
          <w:lang w:eastAsia="zh-CN"/>
        </w:rPr>
        <w:t>，全球市场总体规模，预计2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</w:t>
      </w:r>
      <w:r>
        <w:rPr>
          <w:lang w:eastAsia="zh-CN"/>
        </w:rPr>
        <w:t>14.2</w:t>
      </w:r>
      <w:r>
        <w:rPr>
          <w:rFonts w:hint="eastAsia"/>
          <w:lang w:eastAsia="zh-CN"/>
        </w:rPr>
        <w:t>亿美元</w:t>
      </w:r>
    </w:p>
    <w:p>
      <w:pPr>
        <w:pStyle w:val="145"/>
      </w:pPr>
      <w:r>
        <w:rPr>
          <w:lang w:val="en-US" w:eastAsia="zh-CN"/>
        </w:rPr>
        <w:drawing>
          <wp:inline distT="0" distB="0" distL="0" distR="0">
            <wp:extent cx="6188710" cy="2936875"/>
            <wp:effectExtent l="0" t="0" r="2540" b="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数字印刷机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印刷机械市场是全球印刷业的一个重要方面，并随着新技术和新趋势不断发展。以下是有关印刷机械市场及其发展趋势的一些重要见解：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1. 数字化： 影响印刷机械市场的主要趋势之一是越来越多地采用数字印刷技术。随着数字印刷技术的不断改进，其用途越来越广泛，成本效益越来越高，从而导致传统胶印和柔版印刷方法的淘汰。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2. 可变数据印刷（VDP）： 可变数据印刷（VDP）是印刷业日益流行的另一种趋势。这项技术可以根据客户的个人数据进行个性化印刷，从而推动了对能够处理复杂印刷作业的高质量印刷机械的需求。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3. 喷墨印刷： 喷墨印刷技术也越来越受欢迎，因为与其他印刷方法相比，它能以较低的成本提供高质量的印刷。喷墨打印机被广泛应用于包装、标牌和商业印刷等领域。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4. 环境可持续性： 随着人们对环境可持续性的关注与日俱增，印刷业正致力于开发更环保的印刷设备。这包括采用节能技术和减少废物产生的设备。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5. 自动化： 印刷业也在拥抱自动化，这有助于提高效率和降低劳动力成本。自动化印刷机械可以处理从送纸到清洗喷头等各种印刷任务。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6. 整合： 近年来，印刷机械市场经历了整合，大公司收购小公司，以扩大产品种类和市场份额。由于小公司难以与大公司竞争，预计这一趋势将持续下去。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7. 新兴市场的增长： 受印刷材料需求增长和采用先进印刷技术的推动，中国、印度和巴西等新兴市场的印刷机械市场预计将在未来几年大幅增长。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总体而言，印刷机械市场预计将继续发展并适应新技术和新趋势。能够创新并提供高性价比、高质量印刷解决方案的公司将在这个竞争激烈的市场中获得成功。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数字印刷机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5</w:t>
      </w:r>
      <w:r>
        <w:rPr>
          <w:rFonts w:hint="eastAsia"/>
          <w:lang w:eastAsia="zh-CN"/>
        </w:rPr>
        <w:t>强生产商排名及市场占有率（持续更新）</w:t>
      </w:r>
    </w:p>
    <w:p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6019800" cy="3390900"/>
            <wp:effectExtent l="0" t="0" r="0" b="0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数字印刷机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根据QYResearch头部企业研究中心调研，全球范围内数字印刷机生产商主要包括Xerox、HP、Canon、Seiko Epson、Ricoh、Eastman Kodak、Komori Corporation、Domino Printing、等。2022年，全球前五大厂商占有大约81.0%的市场份额。</w:t>
      </w:r>
    </w:p>
    <w:p>
      <w:pPr>
        <w:pStyle w:val="145"/>
      </w:pPr>
    </w:p>
    <w:p>
      <w:pPr>
        <w:pStyle w:val="148"/>
        <w:rPr>
          <w:lang w:eastAsia="zh-CN"/>
        </w:rPr>
      </w:pPr>
      <w:r>
        <w:rPr>
          <w:lang w:eastAsia="zh-CN"/>
        </w:rPr>
        <w:t>数字印刷机</w:t>
      </w:r>
      <w:r>
        <w:rPr>
          <w:rFonts w:hint="eastAsia"/>
          <w:lang w:eastAsia="zh-CN"/>
        </w:rPr>
        <w:t>，全球市场规模，按产品类型细分，</w:t>
      </w:r>
      <w:r>
        <w:rPr>
          <w:rFonts w:ascii="Book Antiqua" w:hAnsi="Book Antiqua" w:cs="宋体"/>
          <w:sz w:val="22"/>
          <w:lang w:eastAsia="zh-CN"/>
        </w:rPr>
        <w:t>彩色数码印刷机</w:t>
      </w:r>
      <w:r>
        <w:rPr>
          <w:rFonts w:hint="eastAsia"/>
          <w:lang w:eastAsia="zh-CN"/>
        </w:rPr>
        <w:t>处于主导地位</w:t>
      </w: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6188710" cy="3479165"/>
            <wp:effectExtent l="0" t="0" r="2540" b="6985"/>
            <wp:docPr id="3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数字印刷机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widowControl/>
        <w:topLinePunct w:val="0"/>
        <w:spacing w:after="0"/>
        <w:rPr>
          <w:rFonts w:ascii="Book Antiqua" w:hAnsi="Book Antiqua" w:cs="宋体"/>
          <w:kern w:val="0"/>
          <w:sz w:val="22"/>
          <w:szCs w:val="22"/>
        </w:rPr>
      </w:pPr>
      <w:r>
        <w:rPr>
          <w:rFonts w:ascii="Book Antiqua" w:hAnsi="Book Antiqua" w:cs="宋体"/>
          <w:kern w:val="0"/>
          <w:sz w:val="22"/>
          <w:szCs w:val="22"/>
        </w:rPr>
        <w:t>就产品类型而言，目前彩色数码印刷机是最主要的细分产品，占据大约80.7%的份额。</w:t>
      </w:r>
    </w:p>
    <w:p>
      <w:pPr>
        <w:pStyle w:val="145"/>
        <w:rPr>
          <w:lang w:val="en-US"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数字印刷机</w:t>
      </w:r>
      <w:r>
        <w:rPr>
          <w:rFonts w:hint="eastAsia"/>
          <w:lang w:eastAsia="zh-CN"/>
        </w:rPr>
        <w:t>，全球市场规模，按应用细分，</w:t>
      </w:r>
      <w:r>
        <w:rPr>
          <w:rFonts w:ascii="Book Antiqua" w:hAnsi="Book Antiqua" w:cs="宋体"/>
          <w:sz w:val="22"/>
          <w:lang w:eastAsia="zh-CN"/>
        </w:rPr>
        <w:t>通用商业印刷品</w:t>
      </w:r>
      <w:r>
        <w:rPr>
          <w:rFonts w:hint="eastAsia"/>
          <w:lang w:eastAsia="zh-CN"/>
        </w:rPr>
        <w:t>是最大的下游市场。</w:t>
      </w:r>
    </w:p>
    <w:p>
      <w:pPr>
        <w:pStyle w:val="145"/>
      </w:pPr>
      <w:r>
        <w:rPr>
          <w:lang w:val="en-US" w:eastAsia="zh-CN"/>
        </w:rPr>
        <w:drawing>
          <wp:inline distT="0" distB="0" distL="0" distR="0">
            <wp:extent cx="6188710" cy="2922270"/>
            <wp:effectExtent l="0" t="0" r="2540" b="0"/>
            <wp:docPr id="4" name="图表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数字印刷机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widowControl/>
        <w:topLinePunct w:val="0"/>
        <w:spacing w:after="0"/>
        <w:rPr>
          <w:rFonts w:ascii="Book Antiqua" w:hAnsi="Book Antiqua" w:cs="宋体"/>
          <w:kern w:val="0"/>
          <w:sz w:val="22"/>
          <w:szCs w:val="22"/>
        </w:rPr>
      </w:pPr>
      <w:r>
        <w:rPr>
          <w:rFonts w:ascii="Book Antiqua" w:hAnsi="Book Antiqua" w:cs="宋体"/>
          <w:kern w:val="0"/>
          <w:sz w:val="22"/>
          <w:szCs w:val="22"/>
        </w:rPr>
        <w:t>就产品应用而言，目前通用商业印刷品是最主要的需求来源，占据大约79.2%的份额。</w:t>
      </w:r>
    </w:p>
    <w:p>
      <w:pPr>
        <w:pStyle w:val="145"/>
        <w:rPr>
          <w:lang w:val="en-US"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全球主要市场</w:t>
      </w:r>
      <w:r>
        <w:rPr>
          <w:lang w:eastAsia="zh-CN"/>
        </w:rPr>
        <w:t>数字印刷机</w:t>
      </w:r>
      <w:r>
        <w:rPr>
          <w:rFonts w:hint="eastAsia"/>
          <w:lang w:eastAsia="zh-CN"/>
        </w:rPr>
        <w:t>规模</w:t>
      </w:r>
    </w:p>
    <w:p>
      <w:pPr>
        <w:pStyle w:val="145"/>
        <w:rPr>
          <w:lang w:val="en-US" w:eastAsia="zh-CN"/>
        </w:rPr>
      </w:pPr>
      <w:r>
        <w:rPr>
          <w:lang w:val="en-US" w:eastAsia="zh-CN"/>
        </w:rPr>
        <w:drawing>
          <wp:inline distT="0" distB="0" distL="0" distR="0">
            <wp:extent cx="6188710" cy="2922270"/>
            <wp:effectExtent l="0" t="0" r="2540" b="0"/>
            <wp:docPr id="5" name="图表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数字印刷机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3"/>
        <w:rPr>
          <w:lang w:eastAsia="zh-CN"/>
        </w:rPr>
      </w:pPr>
    </w:p>
    <w:p>
      <w:pPr>
        <w:pStyle w:val="143"/>
        <w:rPr>
          <w:lang w:eastAsia="zh-CN"/>
        </w:rPr>
      </w:pPr>
    </w:p>
    <w:p>
      <w:pPr>
        <w:pStyle w:val="143"/>
        <w:rPr>
          <w:lang w:eastAsia="zh-CN"/>
        </w:rPr>
      </w:pPr>
    </w:p>
    <w:p>
      <w:pPr>
        <w:pStyle w:val="143"/>
        <w:rPr>
          <w:lang w:eastAsia="zh-CN"/>
        </w:rPr>
      </w:pPr>
    </w:p>
    <w:p>
      <w:pPr>
        <w:pStyle w:val="143"/>
        <w:rPr>
          <w:lang w:eastAsia="zh-CN"/>
        </w:rPr>
      </w:pPr>
    </w:p>
    <w:p>
      <w:pPr>
        <w:pStyle w:val="143"/>
        <w:rPr>
          <w:lang w:eastAsia="zh-CN"/>
        </w:rPr>
      </w:pPr>
    </w:p>
    <w:p>
      <w:pPr>
        <w:pStyle w:val="143"/>
        <w:rPr>
          <w:lang w:eastAsia="zh-CN"/>
        </w:rPr>
      </w:pPr>
    </w:p>
    <w:p>
      <w:pPr>
        <w:pStyle w:val="143"/>
        <w:rPr>
          <w:lang w:eastAsia="zh-CN"/>
        </w:rPr>
      </w:pPr>
    </w:p>
    <w:p>
      <w:pPr>
        <w:pStyle w:val="143"/>
        <w:rPr>
          <w:lang w:eastAsia="zh-CN"/>
        </w:rPr>
      </w:pPr>
    </w:p>
    <w:p>
      <w:pPr>
        <w:pStyle w:val="143"/>
        <w:rPr>
          <w:lang w:eastAsia="zh-CN"/>
        </w:rPr>
      </w:pPr>
    </w:p>
    <w:p>
      <w:pPr>
        <w:pStyle w:val="143"/>
        <w:rPr>
          <w:lang w:eastAsia="zh-CN"/>
        </w:rPr>
      </w:pPr>
    </w:p>
    <w:p>
      <w:pPr>
        <w:pStyle w:val="143"/>
        <w:rPr>
          <w:lang w:eastAsia="zh-CN"/>
        </w:rPr>
      </w:pPr>
    </w:p>
    <w:p>
      <w:pPr>
        <w:pStyle w:val="143"/>
        <w:rPr>
          <w:lang w:eastAsia="zh-CN"/>
        </w:rPr>
      </w:pPr>
    </w:p>
    <w:p>
      <w:pPr>
        <w:pStyle w:val="143"/>
        <w:rPr>
          <w:lang w:eastAsia="zh-CN"/>
        </w:rPr>
      </w:pPr>
    </w:p>
    <w:p>
      <w:pPr>
        <w:pStyle w:val="143"/>
        <w:rPr>
          <w:lang w:eastAsia="zh-CN"/>
        </w:rPr>
      </w:pPr>
    </w:p>
    <w:p>
      <w:pPr>
        <w:pStyle w:val="143"/>
        <w:rPr>
          <w:lang w:eastAsia="zh-CN"/>
        </w:rPr>
      </w:pPr>
    </w:p>
    <w:p>
      <w:pPr>
        <w:pStyle w:val="143"/>
        <w:rPr>
          <w:lang w:eastAsia="zh-CN"/>
        </w:rPr>
      </w:pPr>
    </w:p>
    <w:p>
      <w:pPr>
        <w:pStyle w:val="143"/>
        <w:rPr>
          <w:lang w:eastAsia="zh-CN"/>
        </w:r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67"/>
      </w:pPr>
      <w:r>
        <w:rPr>
          <w:rFonts w:hint="eastAsia"/>
          <w:lang w:eastAsia="zh-CN"/>
        </w:rPr>
        <w:t>本文作者</w:t>
      </w:r>
    </w:p>
    <w:tbl>
      <w:tblPr>
        <w:tblStyle w:val="35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6"/>
        <w:gridCol w:w="77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117" w:type="pct"/>
            <w:vMerge w:val="restart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drawing>
                <wp:inline distT="0" distB="0" distL="0" distR="0">
                  <wp:extent cx="1190625" cy="1724025"/>
                  <wp:effectExtent l="0" t="0" r="9525" b="9525"/>
                  <wp:docPr id="7" name="图片 7" descr="E:\宋斌\2020.1.14 职业照-宋斌\2寸 (3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E:\宋斌\2020.1.14 职业照-宋斌\2寸 (3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625" cy="1724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83" w:type="pct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宋斌</w:t>
            </w:r>
            <w:r>
              <w:rPr>
                <w:rFonts w:cs="Times New Roman"/>
                <w:kern w:val="0"/>
                <w:sz w:val="20"/>
                <w:szCs w:val="20"/>
              </w:rPr>
              <w:t xml:space="preserve"> – </w:t>
            </w:r>
            <w:r>
              <w:rPr>
                <w:rFonts w:hint="eastAsia" w:cs="Times New Roman"/>
                <w:kern w:val="0"/>
                <w:sz w:val="20"/>
                <w:szCs w:val="20"/>
              </w:rPr>
              <w:t>本文主要分析师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" w:hRule="atLeast"/>
        </w:trPr>
        <w:tc>
          <w:tcPr>
            <w:tcW w:w="1117" w:type="pct"/>
            <w:vMerge w:val="continue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83" w:type="pct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bookmarkStart w:id="19" w:name="_GoBack"/>
            <w:bookmarkEnd w:id="19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</w:trPr>
        <w:tc>
          <w:tcPr>
            <w:tcW w:w="1117" w:type="pct"/>
            <w:vMerge w:val="continue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83" w:type="pct"/>
            <w:vAlign w:val="center"/>
          </w:tcPr>
          <w:p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宋先生，具有</w:t>
            </w:r>
            <w:r>
              <w:rPr>
                <w:rFonts w:cs="Times New Roman"/>
                <w:kern w:val="0"/>
                <w:sz w:val="20"/>
                <w:szCs w:val="20"/>
              </w:rPr>
              <w:t>10</w:t>
            </w:r>
            <w:r>
              <w:rPr>
                <w:rFonts w:hint="eastAsia" w:cs="Times New Roman"/>
                <w:kern w:val="0"/>
                <w:sz w:val="20"/>
                <w:szCs w:val="20"/>
              </w:rPr>
              <w:t>年行业研究经验，专注于电子和</w:t>
            </w:r>
            <w:r>
              <w:rPr>
                <w:rFonts w:cs="Times New Roman"/>
                <w:kern w:val="0"/>
                <w:sz w:val="20"/>
                <w:szCs w:val="20"/>
              </w:rPr>
              <w:t>半导体</w:t>
            </w:r>
            <w:r>
              <w:rPr>
                <w:rFonts w:hint="eastAsia" w:cs="Times New Roman"/>
                <w:kern w:val="0"/>
                <w:sz w:val="20"/>
                <w:szCs w:val="20"/>
              </w:rPr>
              <w:t>等相关领域的研究，包括半导体设备及零部件、半导体材料、消费</w:t>
            </w:r>
            <w:r>
              <w:rPr>
                <w:rFonts w:cs="Times New Roman"/>
                <w:kern w:val="0"/>
                <w:sz w:val="20"/>
                <w:szCs w:val="20"/>
              </w:rPr>
              <w:t>电子</w:t>
            </w:r>
            <w:r>
              <w:rPr>
                <w:rFonts w:hint="eastAsia" w:cs="Times New Roman"/>
                <w:kern w:val="0"/>
                <w:sz w:val="20"/>
                <w:szCs w:val="20"/>
              </w:rPr>
              <w:t>、</w:t>
            </w:r>
            <w:r>
              <w:rPr>
                <w:rFonts w:cs="Times New Roman"/>
                <w:kern w:val="0"/>
                <w:sz w:val="20"/>
                <w:szCs w:val="20"/>
              </w:rPr>
              <w:t>新材料</w:t>
            </w:r>
            <w:r>
              <w:rPr>
                <w:rFonts w:hint="eastAsia" w:cs="Times New Roman"/>
                <w:kern w:val="0"/>
                <w:sz w:val="20"/>
                <w:szCs w:val="20"/>
              </w:rPr>
              <w:t>等。</w:t>
            </w:r>
          </w:p>
        </w:tc>
      </w:tr>
    </w:tbl>
    <w:p>
      <w:pPr>
        <w:pStyle w:val="145"/>
        <w:rPr>
          <w:lang w:val="en-US" w:eastAsia="zh-CN"/>
        </w:rPr>
      </w:pP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</w:pPr>
    <w:bookmarkStart w:id="13" w:name="_Hlk149300687"/>
    <w:bookmarkStart w:id="14" w:name="_Hlk149300692"/>
    <w:bookmarkStart w:id="15" w:name="_Hlk149300690"/>
    <w:bookmarkStart w:id="16" w:name="_Hlk149300691"/>
    <w:bookmarkStart w:id="17" w:name="_Hlk149300688"/>
    <w:bookmarkStart w:id="18" w:name="_Hlk149300689"/>
    <w:r>
      <w:t>Copyright © QYResearch | market@qyresearch.com | www.qyresearch.com</w:t>
    </w:r>
    <w:bookmarkEnd w:id="13"/>
    <w:bookmarkEnd w:id="14"/>
    <w:bookmarkEnd w:id="15"/>
    <w:bookmarkEnd w:id="16"/>
    <w:bookmarkEnd w:id="17"/>
    <w:bookmarkEnd w:id="18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MDYzNTE3ZmJhYmZjY2ZiNzUxNTI1ZTRkNzNkYTA1OT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7EF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3B54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2D2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DA9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5CBE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5F7EAD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0CA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527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9CD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406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1C6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954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0AF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7E9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35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1D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46C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3FF9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C78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971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51C50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iPriority="67" w:semiHidden="0" w:name="Medium Grid 1 Accent 3"/>
    <w:lsdException w:unhideWhenUsed="0" w:uiPriority="68" w:semiHidden="0" w:name="Medium Grid 2 Accent 3"/>
    <w:lsdException w:uiPriority="69" w:semiHidden="0" w:name="Medium Grid 3 Accent 3"/>
    <w:lsdException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iPriority="73" w:semiHidden="0" w:name="Colorful Grid Accent 3"/>
    <w:lsdException w:unhideWhenUsed="0" w:uiPriority="60" w:semiHidden="0" w:name="Light Shading Accent 4"/>
    <w:lsdException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iPriority="61" w:semiHidden="0" w:name="Light List Accent 5"/>
    <w:lsdException w:unhideWhenUsed="0" w:uiPriority="62" w:semiHidden="0" w:name="Light Grid Accent 5"/>
    <w:lsdException w:uiPriority="63" w:semiHidden="0" w:name="Medium Shading 1 Accent 5"/>
    <w:lsdException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uiPriority w:val="0"/>
    <w:rPr>
      <w:b/>
    </w:rPr>
  </w:style>
  <w:style w:type="table" w:customStyle="1" w:styleId="134">
    <w:name w:val="网格表 4 - 着色 13"/>
    <w:basedOn w:val="34"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1.xml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3.jpeg"/><Relationship Id="rId13" Type="http://schemas.openxmlformats.org/officeDocument/2006/relationships/chart" Target="charts/chart5.xml"/><Relationship Id="rId12" Type="http://schemas.openxmlformats.org/officeDocument/2006/relationships/chart" Target="charts/chart4.xml"/><Relationship Id="rId11" Type="http://schemas.openxmlformats.org/officeDocument/2006/relationships/chart" Target="charts/chart3.xml"/><Relationship Id="rId10" Type="http://schemas.openxmlformats.org/officeDocument/2006/relationships/chart" Target="charts/chart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lenovo\Desktop\&#23459;&#20256;&#26448;&#26009;\&#35266;&#28857;&#25968;&#25454;&#22270;&#34920;&#27169;&#26495;-&#27169;&#26495;%2020231106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lenovo\Desktop\&#23459;&#20256;&#26448;&#26009;\&#35266;&#28857;&#25968;&#25454;&#22270;&#34920;&#27169;&#26495;-&#27169;&#26495;%2020231106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oleObject" Target="file:///C:\Users\lenovo\Desktop\&#23459;&#20256;&#26448;&#26009;\&#35266;&#28857;&#25968;&#25454;&#22270;&#34920;&#27169;&#26495;-&#27169;&#26495;%2020231106.xlsx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microsoft.com/office/2011/relationships/chartColorStyle" Target="colors4.xml"/><Relationship Id="rId2" Type="http://schemas.microsoft.com/office/2011/relationships/chartStyle" Target="style4.xml"/><Relationship Id="rId1" Type="http://schemas.openxmlformats.org/officeDocument/2006/relationships/oleObject" Target="file:///C:\Users\lenovo\Desktop\&#23459;&#20256;&#26448;&#26009;\&#35266;&#28857;&#25968;&#25454;&#22270;&#34920;&#27169;&#26495;-&#27169;&#26495;%2020231106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5.xml"/><Relationship Id="rId2" Type="http://schemas.microsoft.com/office/2011/relationships/chartStyle" Target="style5.xml"/><Relationship Id="rId1" Type="http://schemas.openxmlformats.org/officeDocument/2006/relationships/oleObject" Target="file:///C:\Users\lenovo\Desktop\&#23459;&#20256;&#26448;&#26009;\&#35266;&#28857;&#25968;&#25454;&#22270;&#34920;&#27169;&#26495;-&#27169;&#26495;%2020231106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" charset="0"/>
              </a:rPr>
              <a:t>Global Market Size ($ Mn)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254884259259259"/>
          <c:y val="0.131440849673203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1232.2</c:v>
                </c:pt>
                <c:pt idx="1">
                  <c:v>1172.11</c:v>
                </c:pt>
                <c:pt idx="2">
                  <c:v>1419.22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企业收入!$M$1</c:f>
              <c:strCache>
                <c:ptCount val="1"/>
                <c:pt idx="0">
                  <c:v>2022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企业收入!$L$2:$L$7</c:f>
              <c:strCache>
                <c:ptCount val="6"/>
                <c:pt idx="0">
                  <c:v>Xerox</c:v>
                </c:pt>
                <c:pt idx="1">
                  <c:v>HP</c:v>
                </c:pt>
                <c:pt idx="2">
                  <c:v>Canon</c:v>
                </c:pt>
                <c:pt idx="3">
                  <c:v>Seiko Epson</c:v>
                </c:pt>
                <c:pt idx="4">
                  <c:v>Ricoh</c:v>
                </c:pt>
                <c:pt idx="5">
                  <c:v>Others</c:v>
                </c:pt>
              </c:strCache>
            </c:strRef>
          </c:cat>
          <c:val>
            <c:numRef>
              <c:f>企业收入!$M$2:$M$7</c:f>
              <c:numCache>
                <c:formatCode>0%</c:formatCode>
                <c:ptCount val="6"/>
                <c:pt idx="0">
                  <c:v>0.25681889925007</c:v>
                </c:pt>
                <c:pt idx="1">
                  <c:v>0.251239218162118</c:v>
                </c:pt>
                <c:pt idx="2">
                  <c:v>0.178856933222991</c:v>
                </c:pt>
                <c:pt idx="3">
                  <c:v>0.0773562208325157</c:v>
                </c:pt>
                <c:pt idx="4">
                  <c:v>0.0417025705778468</c:v>
                </c:pt>
                <c:pt idx="5">
                  <c:v>0.194026157954458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en-US" altLang="zh-CN" sz="1200">
                <a:latin typeface="Book Antiqua" panose="02040602050305030304" pitchFamily="1" charset="0"/>
              </a:rPr>
              <a:t>Market Size:</a:t>
            </a:r>
            <a:r>
              <a:rPr lang="en-US" altLang="zh-CN" sz="1200" baseline="0">
                <a:latin typeface="Book Antiqua" panose="02040602050305030304" pitchFamily="1" charset="0"/>
              </a:rPr>
              <a:t> </a:t>
            </a:r>
            <a:r>
              <a:rPr lang="en-US" altLang="zh-CN" sz="1200">
                <a:latin typeface="Book Antiqua" panose="02040602050305030304" pitchFamily="1" charset="0"/>
              </a:rPr>
              <a:t>2018 Vs 2022 VS 2029</a:t>
            </a:r>
            <a:endParaRPr lang="zh-CN" altLang="en-US" sz="12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分类!$AI$1</c:f>
              <c:strCache>
                <c:ptCount val="1"/>
                <c:pt idx="0">
                  <c:v>2018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分类!$AH$2:$AH$3</c:f>
              <c:strCache>
                <c:ptCount val="2"/>
                <c:pt idx="0">
                  <c:v>彩色数码印刷机</c:v>
                </c:pt>
                <c:pt idx="1">
                  <c:v>黑白数码印刷机</c:v>
                </c:pt>
              </c:strCache>
            </c:strRef>
          </c:cat>
          <c:val>
            <c:numRef>
              <c:f>分类!$AI$2:$AI$3</c:f>
              <c:numCache>
                <c:formatCode>#,##0_);[Red]\(#,##0\)</c:formatCode>
                <c:ptCount val="2"/>
                <c:pt idx="0">
                  <c:v>976.27198205046</c:v>
                </c:pt>
                <c:pt idx="1">
                  <c:v>255.92801794954</c:v>
                </c:pt>
              </c:numCache>
            </c:numRef>
          </c:val>
        </c:ser>
        <c:ser>
          <c:idx val="1"/>
          <c:order val="1"/>
          <c:tx>
            <c:strRef>
              <c:f>分类!$AJ$1</c:f>
              <c:strCache>
                <c:ptCount val="1"/>
                <c:pt idx="0">
                  <c:v>2022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分类!$AH$2:$AH$3</c:f>
              <c:strCache>
                <c:ptCount val="2"/>
                <c:pt idx="0">
                  <c:v>彩色数码印刷机</c:v>
                </c:pt>
                <c:pt idx="1">
                  <c:v>黑白数码印刷机</c:v>
                </c:pt>
              </c:strCache>
            </c:strRef>
          </c:cat>
          <c:val>
            <c:numRef>
              <c:f>分类!$AJ$2:$AJ$3</c:f>
              <c:numCache>
                <c:formatCode>#,##0_);[Red]\(#,##0\)</c:formatCode>
                <c:ptCount val="2"/>
                <c:pt idx="0">
                  <c:v>946.063799752045</c:v>
                </c:pt>
                <c:pt idx="1">
                  <c:v>226.046200247954</c:v>
                </c:pt>
              </c:numCache>
            </c:numRef>
          </c:val>
        </c:ser>
        <c:ser>
          <c:idx val="2"/>
          <c:order val="2"/>
          <c:tx>
            <c:strRef>
              <c:f>分类!$AK$1</c:f>
              <c:strCache>
                <c:ptCount val="1"/>
                <c:pt idx="0">
                  <c:v>2029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分类!$AH$2:$AH$3</c:f>
              <c:strCache>
                <c:ptCount val="2"/>
                <c:pt idx="0">
                  <c:v>彩色数码印刷机</c:v>
                </c:pt>
                <c:pt idx="1">
                  <c:v>黑白数码印刷机</c:v>
                </c:pt>
              </c:strCache>
            </c:strRef>
          </c:cat>
          <c:val>
            <c:numRef>
              <c:f>分类!$AK$2:$AK$3</c:f>
              <c:numCache>
                <c:formatCode>#,##0_);[Red]\(#,##0\)</c:formatCode>
                <c:ptCount val="2"/>
                <c:pt idx="0">
                  <c:v>1175.21018401953</c:v>
                </c:pt>
                <c:pt idx="1">
                  <c:v>244.00981598047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25844928"/>
        <c:axId val="1875643855"/>
      </c:barChart>
      <c:catAx>
        <c:axId val="258449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875643855"/>
        <c:crosses val="autoZero"/>
        <c:auto val="1"/>
        <c:lblAlgn val="ctr"/>
        <c:lblOffset val="100"/>
        <c:noMultiLvlLbl val="0"/>
      </c:catAx>
      <c:valAx>
        <c:axId val="1875643855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258449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Book Antiqua" panose="02040602050305030304" pitchFamily="1" charset="0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en-US" altLang="zh-CN" sz="1200">
                <a:latin typeface="Book Antiqua" panose="02040602050305030304" pitchFamily="1" charset="0"/>
              </a:rPr>
              <a:t>Market Size:</a:t>
            </a:r>
            <a:r>
              <a:rPr lang="en-US" altLang="zh-CN" sz="1200" baseline="0">
                <a:latin typeface="Book Antiqua" panose="02040602050305030304" pitchFamily="1" charset="0"/>
              </a:rPr>
              <a:t> </a:t>
            </a:r>
            <a:r>
              <a:rPr lang="en-US" altLang="zh-CN" sz="1200">
                <a:latin typeface="Book Antiqua" panose="02040602050305030304" pitchFamily="1" charset="0"/>
              </a:rPr>
              <a:t>2018 Vs 2022 VS 2029</a:t>
            </a:r>
            <a:endParaRPr lang="zh-CN" altLang="en-US" sz="12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应用!$AI$1</c:f>
              <c:strCache>
                <c:ptCount val="1"/>
                <c:pt idx="0">
                  <c:v>2018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应用!$AH$2:$AH$3</c:f>
              <c:strCache>
                <c:ptCount val="2"/>
                <c:pt idx="0">
                  <c:v>通用商业印刷品</c:v>
                </c:pt>
                <c:pt idx="1">
                  <c:v>标签和包装</c:v>
                </c:pt>
              </c:strCache>
            </c:strRef>
          </c:cat>
          <c:val>
            <c:numRef>
              <c:f>应用!$AI$2:$AI$3</c:f>
              <c:numCache>
                <c:formatCode>#,##0_);[Red]\(#,##0\)</c:formatCode>
                <c:ptCount val="2"/>
                <c:pt idx="0">
                  <c:v>973.696575893199</c:v>
                </c:pt>
                <c:pt idx="1">
                  <c:v>258.503424106801</c:v>
                </c:pt>
              </c:numCache>
            </c:numRef>
          </c:val>
        </c:ser>
        <c:ser>
          <c:idx val="1"/>
          <c:order val="1"/>
          <c:tx>
            <c:strRef>
              <c:f>应用!$AJ$1</c:f>
              <c:strCache>
                <c:ptCount val="1"/>
                <c:pt idx="0">
                  <c:v>2022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应用!$AH$2:$AH$3</c:f>
              <c:strCache>
                <c:ptCount val="2"/>
                <c:pt idx="0">
                  <c:v>通用商业印刷品</c:v>
                </c:pt>
                <c:pt idx="1">
                  <c:v>标签和包装</c:v>
                </c:pt>
              </c:strCache>
            </c:strRef>
          </c:cat>
          <c:val>
            <c:numRef>
              <c:f>应用!$AJ$2:$AJ$3</c:f>
              <c:numCache>
                <c:formatCode>#,##0_);[Red]\(#,##0\)</c:formatCode>
                <c:ptCount val="2"/>
                <c:pt idx="0">
                  <c:v>928.214183913966</c:v>
                </c:pt>
                <c:pt idx="1">
                  <c:v>243.895816086034</c:v>
                </c:pt>
              </c:numCache>
            </c:numRef>
          </c:val>
        </c:ser>
        <c:ser>
          <c:idx val="2"/>
          <c:order val="2"/>
          <c:tx>
            <c:strRef>
              <c:f>应用!$AK$1</c:f>
              <c:strCache>
                <c:ptCount val="1"/>
                <c:pt idx="0">
                  <c:v>2029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应用!$AH$2:$AH$3</c:f>
              <c:strCache>
                <c:ptCount val="2"/>
                <c:pt idx="0">
                  <c:v>通用商业印刷品</c:v>
                </c:pt>
                <c:pt idx="1">
                  <c:v>标签和包装</c:v>
                </c:pt>
              </c:strCache>
            </c:strRef>
          </c:cat>
          <c:val>
            <c:numRef>
              <c:f>应用!$AK$2:$AK$3</c:f>
              <c:numCache>
                <c:formatCode>#,##0_);[Red]\(#,##0\)</c:formatCode>
                <c:ptCount val="2"/>
                <c:pt idx="0">
                  <c:v>1132.68607954545</c:v>
                </c:pt>
                <c:pt idx="1">
                  <c:v>286.533920454552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25844928"/>
        <c:axId val="1875643855"/>
      </c:barChart>
      <c:catAx>
        <c:axId val="258449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875643855"/>
        <c:crosses val="autoZero"/>
        <c:auto val="1"/>
        <c:lblAlgn val="ctr"/>
        <c:lblOffset val="100"/>
        <c:noMultiLvlLbl val="0"/>
      </c:catAx>
      <c:valAx>
        <c:axId val="1875643855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258449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Book Antiqua" panose="02040602050305030304" pitchFamily="1" charset="0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en-US" altLang="zh-CN" sz="1200">
                <a:latin typeface="Book Antiqua" panose="02040602050305030304" pitchFamily="1" charset="0"/>
              </a:rPr>
              <a:t>Market Size By Region, 2018 Vs 2022 VS 2029</a:t>
            </a:r>
            <a:endParaRPr lang="zh-CN" altLang="en-US" sz="12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'地区-消费'!$AE$1</c:f>
              <c:strCache>
                <c:ptCount val="1"/>
                <c:pt idx="0">
                  <c:v>2018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'地区-消费'!$AD$2:$AD$6</c:f>
              <c:strCache>
                <c:ptCount val="5"/>
                <c:pt idx="0">
                  <c:v>北美</c:v>
                </c:pt>
                <c:pt idx="1">
                  <c:v>欧洲</c:v>
                </c:pt>
                <c:pt idx="2">
                  <c:v>亚太</c:v>
                </c:pt>
                <c:pt idx="3">
                  <c:v>拉美</c:v>
                </c:pt>
                <c:pt idx="4">
                  <c:v>中东和非洲</c:v>
                </c:pt>
              </c:strCache>
            </c:strRef>
          </c:cat>
          <c:val>
            <c:numRef>
              <c:f>'地区-消费'!$AE$2:$AE$6</c:f>
              <c:numCache>
                <c:formatCode>_ * #,##0_ ;_ * \-#,##0_ ;_ * "-"??_ ;_ @_ </c:formatCode>
                <c:ptCount val="5"/>
                <c:pt idx="0">
                  <c:v>313.546038856173</c:v>
                </c:pt>
                <c:pt idx="1">
                  <c:v>347.904093110192</c:v>
                </c:pt>
                <c:pt idx="2">
                  <c:v>505.835202572294</c:v>
                </c:pt>
                <c:pt idx="3">
                  <c:v>42.2923294793283</c:v>
                </c:pt>
                <c:pt idx="4">
                  <c:v>22.6223359820129</c:v>
                </c:pt>
              </c:numCache>
            </c:numRef>
          </c:val>
        </c:ser>
        <c:ser>
          <c:idx val="1"/>
          <c:order val="1"/>
          <c:tx>
            <c:strRef>
              <c:f>'地区-消费'!$AF$1</c:f>
              <c:strCache>
                <c:ptCount val="1"/>
                <c:pt idx="0">
                  <c:v>2022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'地区-消费'!$AD$2:$AD$6</c:f>
              <c:strCache>
                <c:ptCount val="5"/>
                <c:pt idx="0">
                  <c:v>北美</c:v>
                </c:pt>
                <c:pt idx="1">
                  <c:v>欧洲</c:v>
                </c:pt>
                <c:pt idx="2">
                  <c:v>亚太</c:v>
                </c:pt>
                <c:pt idx="3">
                  <c:v>拉美</c:v>
                </c:pt>
                <c:pt idx="4">
                  <c:v>中东和非洲</c:v>
                </c:pt>
              </c:strCache>
            </c:strRef>
          </c:cat>
          <c:val>
            <c:numRef>
              <c:f>'地区-消费'!$AF$2:$AF$6</c:f>
              <c:numCache>
                <c:formatCode>_ * #,##0_ ;_ * \-#,##0_ ;_ * "-"??_ ;_ @_ </c:formatCode>
                <c:ptCount val="5"/>
                <c:pt idx="0">
                  <c:v>280.998110705448</c:v>
                </c:pt>
                <c:pt idx="1">
                  <c:v>303.62509682476</c:v>
                </c:pt>
                <c:pt idx="2">
                  <c:v>531.014732379232</c:v>
                </c:pt>
                <c:pt idx="3">
                  <c:v>37.1508778001083</c:v>
                </c:pt>
                <c:pt idx="4">
                  <c:v>19.3211822904515</c:v>
                </c:pt>
              </c:numCache>
            </c:numRef>
          </c:val>
        </c:ser>
        <c:ser>
          <c:idx val="2"/>
          <c:order val="2"/>
          <c:tx>
            <c:strRef>
              <c:f>'地区-消费'!$AG$1</c:f>
              <c:strCache>
                <c:ptCount val="1"/>
                <c:pt idx="0">
                  <c:v>2029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'地区-消费'!$AD$2:$AD$6</c:f>
              <c:strCache>
                <c:ptCount val="5"/>
                <c:pt idx="0">
                  <c:v>北美</c:v>
                </c:pt>
                <c:pt idx="1">
                  <c:v>欧洲</c:v>
                </c:pt>
                <c:pt idx="2">
                  <c:v>亚太</c:v>
                </c:pt>
                <c:pt idx="3">
                  <c:v>拉美</c:v>
                </c:pt>
                <c:pt idx="4">
                  <c:v>中东和非洲</c:v>
                </c:pt>
              </c:strCache>
            </c:strRef>
          </c:cat>
          <c:val>
            <c:numRef>
              <c:f>'地区-消费'!$AG$2:$AG$6</c:f>
              <c:numCache>
                <c:formatCode>_ * #,##0_ ;_ * \-#,##0_ ;_ * "-"??_ ;_ @_ </c:formatCode>
                <c:ptCount val="5"/>
                <c:pt idx="0">
                  <c:v>319.83</c:v>
                </c:pt>
                <c:pt idx="1">
                  <c:v>328.68</c:v>
                </c:pt>
                <c:pt idx="2">
                  <c:v>703.57</c:v>
                </c:pt>
                <c:pt idx="3">
                  <c:v>43.36</c:v>
                </c:pt>
                <c:pt idx="4">
                  <c:v>23.78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25844928"/>
        <c:axId val="1875643855"/>
      </c:barChart>
      <c:catAx>
        <c:axId val="258449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875643855"/>
        <c:crosses val="autoZero"/>
        <c:auto val="1"/>
        <c:lblAlgn val="ctr"/>
        <c:lblOffset val="100"/>
        <c:noMultiLvlLbl val="0"/>
      </c:catAx>
      <c:valAx>
        <c:axId val="1875643855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_ * #,##0_ ;_ * \-#,##0_ ;_ * &quot;-&quot;??_ ;_ @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258449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Book Antiqua" panose="02040602050305030304" pitchFamily="1" charset="0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0.55072</cdr:x>
      <cdr:y>0.17174</cdr:y>
    </cdr:from>
    <cdr:to>
      <cdr:x>0.73057</cdr:x>
      <cdr:y>0.51416</cdr:y>
    </cdr:to>
    <cdr:grpSp>
      <cdr:nvGrpSpPr>
        <cdr:cNvPr id="2" name="组合 1"/>
        <cdr:cNvGrpSpPr/>
      </cdr:nvGrpSpPr>
      <cdr:grpSpPr xmlns:a="http://schemas.openxmlformats.org/drawingml/2006/main">
        <a:xfrm rot="439955">
          <a:off x="3408246" y="504379"/>
          <a:ext cx="1113039" cy="1005645"/>
          <a:chOff x="2859058" y="1061399"/>
          <a:chExt cx="759437" cy="826142"/>
        </a:xfrm>
        <a:solidFill>
          <a:srgbClr val="FFC000"/>
        </a:solidFill>
      </cdr:grpSpPr>
      <cdr:cxnSp>
        <cdr:nvCxnSpPr>
          <cdr:cNvPr id="3" name="直接箭头连接符 2"/>
          <cdr:cNvCxnSpPr/>
        </cdr:nvCxnSpPr>
        <cdr:spPr xmlns:a="http://schemas.openxmlformats.org/drawingml/2006/main">
          <a:xfrm xmlns:a="http://schemas.openxmlformats.org/drawingml/2006/main" rot="21160045" flipV="1">
            <a:off x="2859058" y="1061399"/>
            <a:ext cx="759437" cy="821673"/>
          </a:xfrm>
          <a:prstGeom xmlns:a="http://schemas.openxmlformats.org/drawingml/2006/main" prst="straightConnector1">
            <a:avLst/>
          </a:prstGeom>
          <a:grpFill/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4" name="椭圆 3"/>
          <cdr:cNvSpPr/>
        </cdr:nvSpPr>
        <cdr:spPr xmlns:a="http://schemas.openxmlformats.org/drawingml/2006/main">
          <a:xfrm xmlns:a="http://schemas.openxmlformats.org/drawingml/2006/main" rot="18649119">
            <a:off x="2854038" y="1415803"/>
            <a:ext cx="721696" cy="221779"/>
          </a:xfrm>
          <a:prstGeom xmlns:a="http://schemas.openxmlformats.org/drawingml/2006/main" prst="ellipse">
            <a:avLst/>
          </a:prstGeom>
          <a:grpFill/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baseline="0">
                <a:solidFill>
                  <a:sysClr val="windowText" lastClr="000000"/>
                </a:solidFill>
                <a:latin typeface="Book Antiqua" panose="02040602050305030304" pitchFamily="1" charset="0"/>
                <a:ea typeface="宋体" panose="02010600030101010101" charset="-122"/>
              </a:rPr>
              <a:t>2.79%</a:t>
            </a:r>
            <a:endParaRPr lang="zh-CN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endParaRPr>
          </a:p>
        </cdr:txBody>
      </cdr:sp>
    </cdr:grpSp>
  </cdr:relSizeAnchor>
  <cdr:relSizeAnchor xmlns:cdr="http://schemas.openxmlformats.org/drawingml/2006/chartDrawing">
    <cdr:from>
      <cdr:x>0.23453</cdr:x>
      <cdr:y>0.46718</cdr:y>
    </cdr:from>
    <cdr:to>
      <cdr:x>0.43167</cdr:x>
      <cdr:y>0.74636</cdr:y>
    </cdr:to>
    <cdr:grpSp>
      <cdr:nvGrpSpPr>
        <cdr:cNvPr id="5" name="组合 4"/>
        <cdr:cNvGrpSpPr/>
      </cdr:nvGrpSpPr>
      <cdr:grpSpPr xmlns:a="http://schemas.openxmlformats.org/drawingml/2006/main">
        <a:xfrm rot="1783323">
          <a:off x="1451438" y="1372049"/>
          <a:ext cx="1220042" cy="819917"/>
          <a:chOff x="3065378" y="1574118"/>
          <a:chExt cx="1010935" cy="864240"/>
        </a:xfrm>
      </cdr:grpSpPr>
      <cdr:cxnSp>
        <cdr:nvCxnSpPr>
          <cdr:cNvPr id="6" name="直接箭头连接符 5"/>
          <cdr:cNvCxnSpPr/>
        </cdr:nvCxnSpPr>
        <cdr:spPr xmlns:a="http://schemas.openxmlformats.org/drawingml/2006/main">
          <a:xfrm xmlns:a="http://schemas.openxmlformats.org/drawingml/2006/main" rot="19816677" flipV="1">
            <a:off x="3065378" y="1822248"/>
            <a:ext cx="1010935" cy="464804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7" name="椭圆 6"/>
          <cdr:cNvSpPr/>
        </cdr:nvSpPr>
        <cdr:spPr xmlns:a="http://schemas.openxmlformats.org/drawingml/2006/main">
          <a:xfrm xmlns:a="http://schemas.openxmlformats.org/drawingml/2006/main" rot="18584799">
            <a:off x="3125281" y="1921770"/>
            <a:ext cx="864240" cy="168936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>
                <a:solidFill>
                  <a:sysClr val="windowText" lastClr="000000"/>
                </a:solidFill>
              </a:rPr>
              <a:t>-1.24%</a:t>
            </a:r>
            <a:endParaRPr lang="zh-CN">
              <a:solidFill>
                <a:sysClr val="windowText" lastClr="000000"/>
              </a:solidFill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99988E6-3F85-4CEE-B0A9-B0DC49D1CA2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314</Words>
  <Characters>1794</Characters>
  <Lines>14</Lines>
  <Paragraphs>4</Paragraphs>
  <TotalTime>3</TotalTime>
  <ScaleCrop>false</ScaleCrop>
  <LinksUpToDate>false</LinksUpToDate>
  <CharactersWithSpaces>2104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2024-01-10T08:14:00Z</dcterms:created>
  <dc:creator>yangj</dc:creator>
  <cp:lastModifiedBy>*星*空夜@话</cp:lastModifiedBy>
  <dcterms:modified xsi:type="dcterms:W3CDTF">2024-02-29T03:56:26Z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CA506F0C07FD4328A324ECC6D05AD893_12</vt:lpwstr>
  </property>
</Properties>
</file>