
<file path=[Content_Types].xml><?xml version="1.0" encoding="utf-8"?>
<Types xmlns="http://schemas.openxmlformats.org/package/2006/content-types">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Types>
</file>

<file path=_rels/.rels><?xml version="1.0" encoding="UTF-8" standalone="yes"?>
<Relationships xmlns="http://schemas.openxmlformats.org/package/2006/relationships">
    <Relationship Target="word/document.xml" Type="http://schemas.openxmlformats.org/officeDocument/2006/relationships/officeDocument" Id="rId1"/>
    <Relationship Target="docProps/core.xml" Type="http://schemas.openxmlformats.org/package/2006/relationships/metadata/core-properties" Id="rId2"/>
    <Relationship Target="docProps/app.xml" Type="http://schemas.openxmlformats.org/officeDocument/2006/relationships/extended-properties" Id="rId3"/>
</Relationships>

</file>

<file path=word/document.xml><?xml version="1.0" encoding="utf-8"?>
<w:document xmlns:w="http://schemas.openxmlformats.org/wordprocessingml/2006/main" xmlns:w15="http://schemas.microsoft.com/office/word/2012/wordml" xmlns:w14="http://schemas.microsoft.com/office/word/2010/wordml" xmlns:r="http://schemas.openxmlformats.org/officeDocument/2006/relationships" xmlns:a="http://schemas.openxmlformats.org/drawingml/2006/main" xmlns:a14="http://schemas.microsoft.com/office/drawing/2010/main" xmlns:m="http://schemas.openxmlformats.org/officeDocument/2006/math" xmlns:wp="http://schemas.openxmlformats.org/drawingml/2006/wordprocessingDrawing" xmlns:wp14="http://schemas.microsoft.com/office/word/2010/wordprocessingDrawing" xmlns:mc="http://schemas.openxmlformats.org/markup-compatibility/2006"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body>
    <!-- Created by docx4j 8.2.8 (Apache licensed) using ORACLE_JRE JAXB in Oracle Java 1.8.0_45 on Linux -->
    <w:p>
      <w:pPr>
        <w:spacing w:line="240" w:lineRule="auto"/>
      </w:pPr>
      <w:r>
        <w:rPr>
          <w:rFonts w:hint="eastAsia"/>
          <w:noProof/>
          <w:color w:val="05073B"/>
          <w:sz w:val="23"/>
        </w:rPr>
        <w:t>法国Automation 2000油变继电器DGPT-2G是一款功能强大的变压器保护继电器，其两同步气触点功能在变压器保护中起着重要作用。以下是关于该继电器两同步气触点的详细介绍：</w:t>
      </w:r>
    </w:p>
    <w:p>
      <w:pPr>
        <w:pStyle w:val="Heading3"/>
        <w:spacing w:line="240" w:lineRule="auto"/>
      </w:pPr>
      <w:r>
        <w:rPr>
          <w:rFonts w:hint="eastAsia"/>
          <w:noProof/>
          <w:color w:val="05073B"/>
          <w:sz w:val="30"/>
        </w:rPr>
        <w:t>一、两同步气触点概述</w:t>
      </w:r>
    </w:p>
    <w:p>
      <w:pPr>
        <w:spacing w:line="240" w:lineRule="auto"/>
      </w:pPr>
      <w:r>
        <w:rPr>
          <w:rFonts w:hint="eastAsia"/>
          <w:noProof/>
          <w:color w:val="05073B"/>
          <w:sz w:val="23"/>
        </w:rPr>
        <w:t>法国Automation 2000的DGPT2-2G继电器配备了两个同步气触点（2G选项），这些触点用于检测变压器油中的气体释放或绝缘层（介电层）的下降情况。当检测到气体释放或绝缘层下降到一定程度时，触点会闭合或断开，从而触发相应的保护动作，如报警或跳闸，以保护变压器免受进一步损害。</w:t>
      </w:r>
    </w:p>
    <w:p>
      <w:pPr>
        <w:pStyle w:val="Heading3"/>
        <w:spacing w:line="240" w:lineRule="auto"/>
      </w:pPr>
      <w:r>
        <w:rPr>
          <w:rFonts w:hint="eastAsia"/>
          <w:noProof/>
          <w:color w:val="05073B"/>
          <w:sz w:val="30"/>
        </w:rPr>
        <w:t>二、功能特点</w:t>
      </w:r>
    </w:p>
    <w:p>
      <w:pPr>
        <w:pStyle w:val="ListParagraph"/>
        <w:numPr>
          <w:ilvl w:val="0"/>
          <w:numId w:val="1"/>
        </w:numPr>
        <w:spacing w:line="240" w:lineRule="auto"/>
        <w:rPr/>
      </w:pPr>
      <w:r>
        <w:rPr>
          <w:rFonts w:hint="eastAsia"/>
          <w:noProof/>
          <w:color w:val="05073B"/>
          <w:sz w:val="23"/>
        </w:rPr>
        <w:t>同步性：两个气触点同步工作，提高了检测的准确性和可靠性。当任一触点检测到异常时，都会触发保护动作，确保变压器得到及时保护。</w:t>
      </w:r>
    </w:p>
    <w:p>
      <w:pPr>
        <w:pStyle w:val="ListParagraph"/>
        <w:numPr>
          <w:ilvl w:val="0"/>
          <w:numId w:val="1"/>
        </w:numPr>
        <w:spacing w:line="240" w:lineRule="auto"/>
        <w:rPr/>
      </w:pPr>
      <w:r>
        <w:rPr>
          <w:rFonts w:hint="eastAsia"/>
          <w:noProof/>
          <w:color w:val="05073B"/>
          <w:sz w:val="23"/>
        </w:rPr>
        <w:t>灵敏性：气触点对气体释放或绝缘层下降非常敏感，能够在早期阶段检测到潜在问题，从而避免故障的扩大。</w:t>
      </w:r>
    </w:p>
    <w:p>
      <w:pPr>
        <w:pStyle w:val="ListParagraph"/>
        <w:numPr>
          <w:ilvl w:val="0"/>
          <w:numId w:val="1"/>
        </w:numPr>
        <w:spacing w:line="240" w:lineRule="auto"/>
        <w:rPr/>
      </w:pPr>
      <w:r>
        <w:rPr>
          <w:rFonts w:hint="eastAsia"/>
          <w:noProof/>
          <w:color w:val="05073B"/>
          <w:sz w:val="23"/>
        </w:rPr>
        <w:t>稳定性：DGPT2-2G继电器采用高质量的材料和先进的制造工艺，确保气触点在长期使用过程中保持稳定的性能。</w:t>
      </w:r>
    </w:p>
    <w:p>
      <w:pPr>
        <w:pStyle w:val="ListParagraph"/>
        <w:numPr>
          <w:ilvl w:val="0"/>
          <w:numId w:val="1"/>
        </w:numPr>
        <w:spacing w:line="240" w:lineRule="auto"/>
        <w:rPr/>
      </w:pPr>
      <w:r>
        <w:rPr>
          <w:rFonts w:hint="eastAsia"/>
          <w:noProof/>
          <w:color w:val="05073B"/>
          <w:sz w:val="23"/>
        </w:rPr>
        <w:t>易于安装和维护：继电器设计合理，便于用户进行安装和日常维护。同时，其模块化设计使得用户可以根据需要选择适当的选项和附件。</w:t>
      </w:r>
    </w:p>
    <w:p>
      <w:pPr>
        <w:pStyle w:val="Heading3"/>
        <w:spacing w:line="240" w:lineRule="auto"/>
      </w:pPr>
      <w:r>
        <w:rPr>
          <w:rFonts w:hint="eastAsia"/>
          <w:noProof/>
          <w:color w:val="05073B"/>
          <w:sz w:val="30"/>
        </w:rPr>
        <w:t>三、应用场景</w:t>
      </w:r>
    </w:p>
    <w:p>
      <w:pPr>
        <w:spacing w:line="240" w:lineRule="auto"/>
      </w:pPr>
      <w:r>
        <w:rPr>
          <w:rFonts w:hint="eastAsia"/>
          <w:noProof/>
          <w:color w:val="05073B"/>
          <w:sz w:val="23"/>
        </w:rPr>
        <w:t>DGPT2-2G继电器的两同步气触点功能特别适用于需要高可靠性和灵敏性保护的油浸变压器。在电力系统中，油浸变压器是关键的电力设备之一，其运行状态直接影响到整个系统的稳定性和安全性。因此，采用DGPT2-2G继电器进行保护具有重要意义。</w:t>
      </w:r>
    </w:p>
    <w:p>
      <w:pPr>
        <w:pStyle w:val="Heading3"/>
        <w:spacing w:line="240" w:lineRule="auto"/>
      </w:pPr>
      <w:r>
        <w:rPr>
          <w:rFonts w:hint="eastAsia"/>
          <w:noProof/>
          <w:color w:val="05073B"/>
          <w:sz w:val="30"/>
        </w:rPr>
        <w:t>四、注意事项</w:t>
      </w:r>
    </w:p>
    <w:p>
      <w:pPr>
        <w:pStyle w:val="ListParagraph"/>
        <w:numPr>
          <w:ilvl w:val="0"/>
          <w:numId w:val="2"/>
        </w:numPr>
        <w:spacing w:line="240" w:lineRule="auto"/>
        <w:rPr/>
      </w:pPr>
      <w:r>
        <w:rPr>
          <w:rFonts w:hint="eastAsia"/>
          <w:noProof/>
          <w:color w:val="05073B"/>
          <w:sz w:val="23"/>
        </w:rPr>
        <w:t>在安装和使用DGPT2-2G继电器时，请务必遵循产品说明书中的操作指南和安全注意事项。</w:t>
      </w:r>
    </w:p>
    <w:p>
      <w:pPr>
        <w:pStyle w:val="ListParagraph"/>
        <w:numPr>
          <w:ilvl w:val="0"/>
          <w:numId w:val="2"/>
        </w:numPr>
        <w:spacing w:line="240" w:lineRule="auto"/>
        <w:rPr/>
      </w:pPr>
      <w:r>
        <w:rPr>
          <w:rFonts w:hint="eastAsia"/>
          <w:noProof/>
          <w:color w:val="05073B"/>
          <w:sz w:val="23"/>
        </w:rPr>
        <w:t>定期对继电器进行检查和维护，确保其处于良好的工作状态。</w:t>
      </w:r>
    </w:p>
    <w:p>
      <w:pPr>
        <w:spacing w:line="240" w:lineRule="auto"/>
      </w:pPr>
      <w:r>
        <w:rPr>
          <w:rFonts w:hint="eastAsia"/>
          <w:noProof/>
          <w:color w:val="05073B"/>
          <w:sz w:val="23"/>
        </w:rPr>
        <w:t>总之，法国Automation 2000的DGPT2-2G油变继电器具有两同步气触点功能，能够准确、可靠地检测变压器油中的气体释放或绝缘层下降情况，为变压器的安全运行提供有力保障。</w:t>
      </w:r>
    </w:p>
    <w:sectPr>
      <w:pgSz w:w="11906" w:h="16838"/>
      <w:pgMar w:top="1440" w:right="1800" w:bottom="1440" w:left="1800" w:header="851" w:footer="992" w:gutter="0"/>
    </w:sectPr>
  </w:body>
</w:document>
</file>

<file path=word/numbering.xml><?xml version="1.0" encoding="utf-8"?>
<w:numbering xmlns:w="http://schemas.openxmlformats.org/wordprocessingml/2006/main" xmlns:m="http://schemas.openxmlformats.org/officeDocument/2006/math" xmlns:r="http://schemas.openxmlformats.org/officeDocument/2006/relationships" xmlns:w14="http://schemas.microsoft.com/office/word/2010/wordml"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w:abstractNum w:abstractNumId="1">
    <w:multiLevelType w:val="hybridMultilevel"/>
    <w:lvl w:ilvl="0">
      <w:start w:val="1"/>
      <w:numFmt w:val="decimal"/>
      <w:lvlText w:val="%1."/>
      <w:lvlJc w:val="left"/>
      <w:pPr>
        <w:ind w:left="440" w:hanging="440"/>
      </w:pPr>
      <w:rPr>
        <w:rFonts w:hint="default"/>
      </w:rPr>
    </w:lvl>
    <w:lvl w:ilvl="1">
      <w:start w:val="1"/>
      <w:numFmt w:val="lowerLetter"/>
      <w:lvlText w:val="%2)"/>
      <w:lvlJc w:val="left"/>
      <w:pPr>
        <w:ind w:left="880" w:hanging="440"/>
      </w:pPr>
      <w:rPr>
        <w:rFonts w:hint="default"/>
      </w:rPr>
    </w:lvl>
    <w:lvl w:ilvl="2">
      <w:start w:val="1"/>
      <w:numFmt w:val="upperRoman"/>
      <w:lvlText w:val="%3."/>
      <w:lvlJc w:val="right"/>
      <w:pPr>
        <w:ind w:left="1320" w:hanging="440"/>
      </w:pPr>
      <w:rPr>
        <w:rFonts w:hint="default"/>
      </w:rPr>
    </w:lvl>
    <w:lvl w:ilvl="3">
      <w:start w:val="1"/>
      <w:numFmt w:val="decimal"/>
      <w:lvlText w:val="%4."/>
      <w:lvlJc w:val="left"/>
      <w:pPr>
        <w:ind w:left="1760" w:hanging="440"/>
      </w:pPr>
      <w:rPr>
        <w:rFonts w:hint="default"/>
      </w:rPr>
    </w:lvl>
    <w:lvl w:ilvl="4">
      <w:start w:val="1"/>
      <w:numFmt w:val="lowerLetter"/>
      <w:lvlText w:val="%5)"/>
      <w:lvlJc w:val="left"/>
      <w:pPr>
        <w:ind w:left="2200" w:hanging="440"/>
      </w:pPr>
      <w:rPr>
        <w:rFonts w:hint="default"/>
      </w:rPr>
    </w:lvl>
    <w:lvl w:ilvl="5">
      <w:start w:val="1"/>
      <w:numFmt w:val="upperRoman"/>
      <w:lvlText w:val="%6."/>
      <w:lvlJc w:val="left"/>
      <w:pPr>
        <w:ind w:left="2640" w:hanging="440"/>
      </w:pPr>
      <w:rPr>
        <w:rFonts w:hint="default"/>
      </w:rPr>
    </w:lvl>
    <w:lvl w:ilvl="6">
      <w:start w:val="1"/>
      <w:numFmt w:val="decimal"/>
      <w:lvlText w:val="%7."/>
      <w:lvlJc w:val="left"/>
      <w:pPr>
        <w:ind w:left="3080" w:hanging="440"/>
      </w:pPr>
      <w:rPr>
        <w:rFonts w:hint="default"/>
      </w:rPr>
    </w:lvl>
    <w:lvl w:ilvl="7">
      <w:start w:val="1"/>
      <w:numFmt w:val="lowerLetter"/>
      <w:lvlText w:val="%8)"/>
      <w:lvlJc w:val="left"/>
      <w:pPr>
        <w:ind w:left="3520" w:hanging="440"/>
      </w:pPr>
      <w:rPr>
        <w:rFonts w:hint="default"/>
      </w:rPr>
    </w:lvl>
    <w:lvl w:ilvl="8">
      <w:start w:val="1"/>
      <w:numFmt w:val="upperRoman"/>
      <w:lvlText w:val="%9."/>
      <w:lvlJc w:val="left"/>
      <w:pPr>
        <w:ind w:left="3960" w:hanging="440"/>
      </w:pPr>
      <w:rPr>
        <w:rFonts w:hint="default"/>
      </w:rPr>
    </w:lvl>
  </w:abstractNum>
  <w:abstractNum w:abstractNumId="2">
    <w:multiLevelType w:val="hybridMultilevel"/>
    <w:lvl w:ilvl="0">
      <w:start w:val="1"/>
      <w:numFmt w:val="decimal"/>
      <w:lvlText w:val="%1."/>
      <w:lvlJc w:val="left"/>
      <w:pPr>
        <w:ind w:left="440" w:hanging="440"/>
      </w:pPr>
      <w:rPr>
        <w:rFonts w:hint="default"/>
      </w:rPr>
    </w:lvl>
    <w:lvl w:ilvl="1">
      <w:start w:val="1"/>
      <w:numFmt w:val="lowerLetter"/>
      <w:lvlText w:val="%2)"/>
      <w:lvlJc w:val="left"/>
      <w:pPr>
        <w:ind w:left="880" w:hanging="440"/>
      </w:pPr>
      <w:rPr>
        <w:rFonts w:hint="default"/>
      </w:rPr>
    </w:lvl>
    <w:lvl w:ilvl="2">
      <w:start w:val="1"/>
      <w:numFmt w:val="upperRoman"/>
      <w:lvlText w:val="%3."/>
      <w:lvlJc w:val="right"/>
      <w:pPr>
        <w:ind w:left="1320" w:hanging="440"/>
      </w:pPr>
      <w:rPr>
        <w:rFonts w:hint="default"/>
      </w:rPr>
    </w:lvl>
    <w:lvl w:ilvl="3">
      <w:start w:val="1"/>
      <w:numFmt w:val="decimal"/>
      <w:lvlText w:val="%4."/>
      <w:lvlJc w:val="left"/>
      <w:pPr>
        <w:ind w:left="1760" w:hanging="440"/>
      </w:pPr>
      <w:rPr>
        <w:rFonts w:hint="default"/>
      </w:rPr>
    </w:lvl>
    <w:lvl w:ilvl="4">
      <w:start w:val="1"/>
      <w:numFmt w:val="lowerLetter"/>
      <w:lvlText w:val="%5)"/>
      <w:lvlJc w:val="left"/>
      <w:pPr>
        <w:ind w:left="2200" w:hanging="440"/>
      </w:pPr>
      <w:rPr>
        <w:rFonts w:hint="default"/>
      </w:rPr>
    </w:lvl>
    <w:lvl w:ilvl="5">
      <w:start w:val="1"/>
      <w:numFmt w:val="upperRoman"/>
      <w:lvlText w:val="%6."/>
      <w:lvlJc w:val="left"/>
      <w:pPr>
        <w:ind w:left="2640" w:hanging="440"/>
      </w:pPr>
      <w:rPr>
        <w:rFonts w:hint="default"/>
      </w:rPr>
    </w:lvl>
    <w:lvl w:ilvl="6">
      <w:start w:val="1"/>
      <w:numFmt w:val="decimal"/>
      <w:lvlText w:val="%7."/>
      <w:lvlJc w:val="left"/>
      <w:pPr>
        <w:ind w:left="3080" w:hanging="440"/>
      </w:pPr>
      <w:rPr>
        <w:rFonts w:hint="default"/>
      </w:rPr>
    </w:lvl>
    <w:lvl w:ilvl="7">
      <w:start w:val="1"/>
      <w:numFmt w:val="lowerLetter"/>
      <w:lvlText w:val="%8)"/>
      <w:lvlJc w:val="left"/>
      <w:pPr>
        <w:ind w:left="3520" w:hanging="440"/>
      </w:pPr>
      <w:rPr>
        <w:rFonts w:hint="default"/>
      </w:rPr>
    </w:lvl>
    <w:lvl w:ilvl="8">
      <w:start w:val="1"/>
      <w:numFmt w:val="upperRoman"/>
      <w:lvlText w:val="%9."/>
      <w:lvlJc w:val="left"/>
      <w:pPr>
        <w:ind w:left="3960" w:hanging="440"/>
      </w:pPr>
      <w:rPr>
        <w:rFonts w:hint="default"/>
      </w:rPr>
    </w:lvl>
  </w:abstractNum>
  <w:num w:numId="1">
    <w:abstractNumId w:val="1"/>
  </w:num>
  <w:num w:numId="2">
    <w:abstractNumId w:val="2"/>
  </w:num>
</w:numbering>
</file>

<file path=word/settings.xml><?xml version="1.0" encoding="utf-8"?>
<w:settings xmlns:w="http://schemas.openxmlformats.org/wordprocessingml/2006/main" xmlns:w15="http://schemas.microsoft.com/office/word/2012/wordml" xmlns:w14="http://schemas.microsoft.com/office/word/2010/wordml" xmlns:r="http://schemas.openxmlformats.org/officeDocument/2006/relationships" xmlns:a="http://schemas.openxmlformats.org/drawingml/2006/main" xmlns:a14="http://schemas.microsoft.com/office/drawing/2010/main" xmlns:m="http://schemas.openxmlformats.org/officeDocument/2006/math" xmlns:wp="http://schemas.openxmlformats.org/drawingml/2006/wordprocessingDrawing" xmlns:wp14="http://schemas.microsoft.com/office/word/2010/wordprocessingDrawing" xmlns:mc="http://schemas.openxmlformats.org/markup-compatibility/2006"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
  <w:compat>
    <w:doNotExpandShiftReturn/>
    <w:compatSetting w:name="overrideTableStyleFontSizeAndJustification" w:uri="http://schemas.microsoft.com/office/word" w:val="1"/>
    <w:compatSetting w:name="compatibilityMode" w:uri="http://schemas.microsoft.com/office/word" w:val="16"/>
  </w:compat>
</w:settings>
</file>

<file path=word/styles.xml><?xml version="1.0" encoding="utf-8"?>
<w:styles xmlns:w="http://schemas.openxmlformats.org/wordprocessingml/2006/main" xmlns:w15="http://schemas.microsoft.com/office/word/2012/wordml" xmlns:w14="http://schemas.microsoft.com/office/word/2010/wordml" xmlns:r="http://schemas.openxmlformats.org/officeDocument/2006/relationships" xmlns:a="http://schemas.openxmlformats.org/drawingml/2006/main" xmlns:a14="http://schemas.microsoft.com/office/drawing/2010/main" xmlns:m="http://schemas.openxmlformats.org/officeDocument/2006/math" xmlns:wp="http://schemas.openxmlformats.org/drawingml/2006/wordprocessingDrawing" xmlns:wp14="http://schemas.microsoft.com/office/word/2010/wordprocessingDrawing" xmlns:mc="http://schemas.openxmlformats.org/markup-compatibility/2006"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qFormat/>
    <w:rsid w:val="004A3277"/>
    <w:pPr>
      <w:spacing w:before="0" w:beforeLines="0" w:after="0" w:afterLines="0" w:line="240"/>
      <w:jc w:val="both"/>
    </w:pPr>
    <w:rPr>
      <w:rFonts w:ascii="Calibri" w:hAnsi="Calibri" w:eastAsia="等线" w:cs="21"/>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hAnsiTheme="majorHAnsi" w:eastAsiaTheme="majorEastAsia" w:cstheme="majorBidi"/>
      <w:b/>
      <w:bCs/>
      <w:color w:val="black"/>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hAnsiTheme="majorHAnsi" w:eastAsiaTheme="majorEastAsia" w:cstheme="majorBidi"/>
      <w:b/>
      <w:bCs/>
      <w:color w:val="black"/>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hAnsiTheme="majorHAnsi" w:eastAsiaTheme="majorEastAsia" w:cstheme="majorBidi"/>
      <w:b/>
      <w:bCs/>
      <w:color w:val="black"/>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hAnsiTheme="majorHAnsi" w:eastAsiaTheme="majorEastAsia" w:cstheme="majorBidi"/>
      <w:b/>
      <w:bCs/>
      <w:i/>
      <w:iCs/>
      <w:color w:val="black"/>
    </w:rPr>
  </w:style>
  <w:style w:type="character" w:styleId="DefaultParagraphFont" w:default="true">
    <w:name w:val="Default Paragraph Font"/>
    <w:uiPriority w:val="1"/>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styleId="HeaderChar" w:customStyle="true">
    <w:name w:val="Header Char"/>
    <w:basedOn w:val="DefaultParagraphFont"/>
    <w:link w:val="Header"/>
    <w:uiPriority w:val="99"/>
    <w:rsid w:val="00841CD9"/>
  </w:style>
  <w:style w:type="character" w:styleId="Heading1Char" w:customStyle="true">
    <w:name w:val="Heading 1 Char"/>
    <w:basedOn w:val="DefaultParagraphFont"/>
    <w:link w:val="Heading1"/>
    <w:uiPriority w:val="9"/>
    <w:rsid w:val="00841CD9"/>
    <w:rPr>
      <w:rFonts w:asciiTheme="majorHAnsi" w:hAnsiTheme="majorHAnsi" w:eastAsiaTheme="majorEastAsia" w:cstheme="majorBidi"/>
      <w:b/>
      <w:bCs/>
      <w:color w:val="365F91" w:themeColor="accent1" w:themeShade="BF"/>
      <w:sz w:val="28"/>
      <w:szCs w:val="28"/>
    </w:rPr>
  </w:style>
  <w:style w:type="character" w:styleId="Heading2Char" w:customStyle="true">
    <w:name w:val="Heading 2 Char"/>
    <w:basedOn w:val="DefaultParagraphFont"/>
    <w:link w:val="Heading2"/>
    <w:uiPriority w:val="9"/>
    <w:rsid w:val="00841CD9"/>
    <w:rPr>
      <w:rFonts w:asciiTheme="majorHAnsi" w:hAnsiTheme="majorHAnsi" w:eastAsiaTheme="majorEastAsia" w:cstheme="majorBidi"/>
      <w:b/>
      <w:bCs/>
      <w:color w:val="4F81BD" w:themeColor="accent1"/>
      <w:sz w:val="26"/>
      <w:szCs w:val="26"/>
    </w:rPr>
  </w:style>
  <w:style w:type="character" w:styleId="Heading3Char" w:customStyle="true">
    <w:name w:val="Heading 3 Char"/>
    <w:basedOn w:val="DefaultParagraphFont"/>
    <w:link w:val="Heading3"/>
    <w:uiPriority w:val="9"/>
    <w:rsid w:val="00841CD9"/>
    <w:rPr>
      <w:rFonts w:asciiTheme="majorHAnsi" w:hAnsiTheme="majorHAnsi" w:eastAsiaTheme="majorEastAsia" w:cstheme="majorBidi"/>
      <w:b/>
      <w:bCs/>
      <w:color w:val="4F81BD" w:themeColor="accent1"/>
    </w:rPr>
  </w:style>
  <w:style w:type="character" w:styleId="Heading4Char" w:customStyle="true">
    <w:name w:val="Heading 4 Char"/>
    <w:basedOn w:val="DefaultParagraphFont"/>
    <w:link w:val="Heading4"/>
    <w:uiPriority w:val="9"/>
    <w:rsid w:val="00841CD9"/>
    <w:rPr>
      <w:rFonts w:asciiTheme="majorHAnsi" w:hAnsiTheme="majorHAnsi" w:eastAsiaTheme="majorEastAsia" w:cstheme="majorBidi"/>
      <w:b/>
      <w:bCs/>
      <w:i/>
      <w:iCs/>
      <w:color w:val="4F81BD"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hAnsiTheme="majorHAnsi" w:eastAsiaTheme="majorEastAsia" w:cstheme="majorBidi"/>
      <w:i/>
      <w:iCs/>
      <w:color w:val="4F81BD" w:themeColor="accent1"/>
      <w:spacing w:val="15"/>
      <w:sz w:val="24"/>
      <w:szCs w:val="24"/>
    </w:rPr>
  </w:style>
  <w:style w:type="character" w:styleId="SubtitleChar" w:customStyle="true">
    <w:name w:val="Subtitle Char"/>
    <w:basedOn w:val="DefaultParagraphFont"/>
    <w:link w:val="Subtitle"/>
    <w:uiPriority w:val="11"/>
    <w:rsid w:val="00841CD9"/>
    <w:rPr>
      <w:rFonts w:asciiTheme="majorHAnsi" w:hAnsiTheme="majorHAnsi" w:eastAsiaTheme="majorEastAsia" w:cstheme="majorBidi"/>
      <w:i/>
      <w:iCs/>
      <w:color w:val="4F81BD" w:themeColor="accent1"/>
      <w:spacing w:val="15"/>
      <w:sz w:val="24"/>
      <w:szCs w:val="24"/>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true">
    <w:name w:val="Title Char"/>
    <w:basedOn w:val="DefaultParagraphFont"/>
    <w:link w:val="Title"/>
    <w:uiPriority w:val="10"/>
    <w:rsid w:val="00841CD9"/>
    <w:rPr>
      <w:rFonts w:asciiTheme="majorHAnsi" w:hAnsiTheme="majorHAnsi" w:eastAsiaTheme="majorEastAsia" w:cstheme="majorBidi"/>
      <w:color w:val="17365D"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pPr>
      <w:spacing w:after="0" w:line="240" w:lineRule="auto"/>
    </w:p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b/>
      <w:bCs/>
      <w:color w:val="4F81BD" w:themeColor="accent1"/>
      <w:sz w:val="18"/>
      <w:szCs w:val="18"/>
    </w:rPr>
  </w:style>
</w:styles>
</file>

<file path=word/_rels/document.xml.rels><?xml version="1.0" encoding="UTF-8" standalone="yes"?>
<Relationships xmlns="http://schemas.openxmlformats.org/package/2006/relationships">
    <Relationship Target="styles.xml" Type="http://schemas.openxmlformats.org/officeDocument/2006/relationships/styles" Id="rId1"/>
    <Relationship Target="settings.xml" Type="http://schemas.openxmlformats.org/officeDocument/2006/relationships/settings" Id="rId2"/>
    <Relationship Target="numbering.xml" Type="http://schemas.openxmlformats.org/officeDocument/2006/relationships/numbering" Id="rId3"/>
</Relationships>

</file>

<file path=docProps/app.xml><?xml version="1.0" encoding="utf-8"?>
<properties:Properties xmlns:properties="http://schemas.openxmlformats.org/officeDocument/2006/extended-properties" xmlns:vt="http://schemas.openxmlformats.org/officeDocument/2006/docPropsVTypes">
  <properties:Company/>
  <properties:Application/>
  <properties:AppVersion>1.1</properties:AppVersion>
</properties:Properties>
</file>

<file path=docProps/core.xml><?xml version="1.0" encoding="utf-8"?>
<cp:coreProperties xmlns:cp="http://schemas.openxmlformats.org/package/2006/metadata/core-properties" xmlns:dcterms="http://purl.org/dc/terms/" xmlns:dc="http://purl.org/dc/elements/1.1/">
  <dc:creator/>
  <cp:lastModifiedBy/>
</cp:coreProperties>
</file>