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9D556D">
      <w:pPr>
        <w:pStyle w:val="167"/>
        <w:rPr>
          <w:lang w:eastAsia="zh-CN"/>
        </w:rPr>
      </w:pPr>
      <w:bookmarkStart w:id="0" w:name="_Hlk176269009"/>
      <w:bookmarkStart w:id="1" w:name="_Toc517262917"/>
      <w:bookmarkStart w:id="2" w:name="_Toc453597319"/>
      <w:bookmarkStart w:id="3" w:name="_Toc438987549"/>
      <w:bookmarkStart w:id="4" w:name="_Toc481801204"/>
      <w:bookmarkStart w:id="5" w:name="_Toc415142861"/>
      <w:bookmarkStart w:id="6" w:name="OLE_LINK40"/>
      <w:bookmarkStart w:id="7" w:name="OLE_LINK13"/>
      <w:bookmarkStart w:id="8" w:name="_Toc415818939"/>
      <w:bookmarkStart w:id="9" w:name="_Toc418070112"/>
      <w:bookmarkStart w:id="10" w:name="_Toc415143481"/>
      <w:bookmarkStart w:id="11" w:name="OLE_LINK15"/>
      <w:bookmarkStart w:id="12" w:name="OLE_LINK39"/>
      <w:bookmarkStart w:id="13" w:name="OLE_LINK24"/>
      <w:r>
        <w:rPr>
          <w:rFonts w:hint="eastAsia"/>
          <w:lang w:eastAsia="zh-CN"/>
        </w:rPr>
        <w:t>中空纤维膜氮氧分离系统市场</w:t>
      </w:r>
    </w:p>
    <w:p w14:paraId="1919978F">
      <w:pPr>
        <w:pStyle w:val="145"/>
        <w:spacing w:line="240" w:lineRule="atLeast"/>
        <w:rPr>
          <w:rFonts w:hint="eastAsia" w:cs="Arial"/>
          <w:b/>
          <w:color w:val="FF8200"/>
          <w:lang w:val="en-US" w:eastAsia="zh-CN"/>
        </w:rPr>
      </w:pPr>
      <w:r>
        <w:rPr>
          <w:rFonts w:hint="eastAsia"/>
          <w:lang w:eastAsia="zh-CN"/>
        </w:rPr>
        <w:t>中空纤维膜氮氧分离系统是一种基于中空纤维膜技术的气体分离系统，主要用于实现氮气和氧气的有效分离。中空纤维膜氮氧分离系统主要由中空纤维膜组件、压力容器、进气和出气系统、压力控制系统以及其他辅助设备组成。中空纤维膜组件是该系统的核心部分，由数十万根中空纤维膜丝组成，每根膜丝都是一个独立的分离单元。该系统的工作原理基于气体分子在中空纤维膜中的渗透和分子筛选作用。当氮氧混合气体在压力作用下通过中空纤维膜时，由于氧气和氮气分子在膜材料中的渗透速率不同，分子量较小的氧气将更快地通过膜孔到达膜的另一侧，而分子量较大的氮气则相对滞留在膜中。这样，在膜的两侧就可以分离出含有不同氧气浓度的氮氧气体。</w:t>
      </w:r>
    </w:p>
    <w:p w14:paraId="59E9CE2B">
      <w:pPr>
        <w:pStyle w:val="167"/>
        <w:rPr>
          <w:sz w:val="22"/>
          <w:szCs w:val="36"/>
          <w:lang w:eastAsia="zh-CN"/>
        </w:rPr>
      </w:pPr>
      <w:r>
        <w:rPr>
          <w:rFonts w:hint="eastAsia"/>
          <w:sz w:val="22"/>
          <w:szCs w:val="36"/>
          <w:lang w:eastAsia="zh-CN"/>
        </w:rPr>
        <w:t>中空纤维膜氮氧分离系统产品图片</w:t>
      </w:r>
    </w:p>
    <w:p w14:paraId="14434DA1">
      <w:pPr>
        <w:pStyle w:val="145"/>
        <w:rPr>
          <w:lang w:eastAsia="zh-CN"/>
        </w:rPr>
      </w:pPr>
      <w:r>
        <w:rPr>
          <w:lang w:eastAsia="zh-CN"/>
        </w:rPr>
        <w:drawing>
          <wp:inline distT="0" distB="0" distL="0" distR="0">
            <wp:extent cx="3499485" cy="1706880"/>
            <wp:effectExtent l="0" t="0" r="5715" b="7620"/>
            <wp:docPr id="9136049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604917"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499485" cy="1706880"/>
                    </a:xfrm>
                    <a:prstGeom prst="rect">
                      <a:avLst/>
                    </a:prstGeom>
                    <a:noFill/>
                  </pic:spPr>
                </pic:pic>
              </a:graphicData>
            </a:graphic>
          </wp:inline>
        </w:drawing>
      </w:r>
    </w:p>
    <w:bookmarkEnd w:id="0"/>
    <w:p w14:paraId="2304F7C2">
      <w:pPr>
        <w:pStyle w:val="145"/>
        <w:rPr>
          <w:lang w:eastAsia="zh-CN"/>
        </w:rPr>
      </w:pPr>
      <w:r>
        <w:rPr>
          <w:rFonts w:hint="eastAsia"/>
          <w:lang w:eastAsia="zh-CN"/>
        </w:rPr>
        <w:t>在石油化工行业中，中空纤维膜氮氧分离系统是一种关键的气体分离技术，广泛应用于多种工艺过程中。这种设备能够从空气中高效分离出高纯度的氮气，用于惰性保护、催化剂再生、管道吹扫和储罐填充等操作。例如，在炼油厂中，氮气可以用来防止可燃物质与空气中的氧气接触，从而避免爆炸风险；在催化裂化装置中，氮气则用于催化剂的再生过程，确保其活性和使用寿命。此外，氮气还可以用于管线和设备的吹扫，以清除残留的有害气体或液体，保证生产安全和产品质量。由于其操作简便、运行成本低以及可靠性高的特点，中空纤维膜氮氧分离系统已成为石油化工行业不可或缺的一部分。</w:t>
      </w:r>
    </w:p>
    <w:p w14:paraId="5BD65922">
      <w:pPr>
        <w:pStyle w:val="145"/>
        <w:rPr>
          <w:rFonts w:hint="eastAsia"/>
          <w:lang w:eastAsia="zh-CN"/>
        </w:rPr>
      </w:pPr>
      <w:r>
        <w:rPr>
          <w:rFonts w:hint="eastAsia"/>
          <w:lang w:eastAsia="zh-CN"/>
        </w:rPr>
        <w:t>在食品饮料行业中，中空纤维膜氮氧分离系统主要用于提供高纯度的氮气，以实现食品的保鲜、保护和填充。氮气作为一种惰性气体，可以有效排除包装内的氧气，防止食品氧化变质，延长保质期。例如，在气调包装（MAP）中，氮气可以调节包装内的气体组成，减少氧气含量，从而延长食品的货架期。此外，氮气还广泛用于饮料生产，如碳酸饮料中，以增加饮料的口感和稳定性。在烘焙行业，氮气用于面包、糕点等产品的包装，防止油脂氧化，保持产品的松软度。在肉类和海鲜的包装中，氮气可以防止氧化和微生物生长，确保产品的质量和安全性。</w:t>
      </w:r>
    </w:p>
    <w:p w14:paraId="1EE4AFB2">
      <w:pPr>
        <w:pStyle w:val="145"/>
        <w:rPr>
          <w:rFonts w:hint="eastAsia"/>
          <w:lang w:eastAsia="zh-CN"/>
        </w:rPr>
      </w:pPr>
      <w:r>
        <w:rPr>
          <w:rFonts w:hint="eastAsia"/>
          <w:lang w:eastAsia="zh-CN"/>
        </w:rPr>
        <w:t>随着材料科学和膜技术的不断进步，中空纤维膜在气体分离性能上得到了显著提升。新型膜材料的研发，如更耐用、选择性更强的膜材料，使得氮氧分离效率更高，能耗更低。此外，技术创新还包括优化膜组件设计，提高单位体积产气量，以及改进控制系统以实现自动化操作。</w:t>
      </w:r>
    </w:p>
    <w:p w14:paraId="58BBC101">
      <w:pPr>
        <w:pStyle w:val="145"/>
        <w:rPr>
          <w:rFonts w:hint="eastAsia"/>
          <w:lang w:eastAsia="zh-CN"/>
        </w:rPr>
      </w:pPr>
      <w:r>
        <w:rPr>
          <w:rFonts w:hint="eastAsia"/>
          <w:lang w:eastAsia="zh-CN"/>
        </w:rPr>
        <w:t>据QYResearch调研团队最新报告“全球中空纤维膜氮氧分离系统市场报告2024-2030”显示，预计2030年全球中空纤维膜氮氧分离系统市场规模将达到3.7亿美元，未来几年年复合增长率CAGR为7.2%。</w:t>
      </w:r>
    </w:p>
    <w:p w14:paraId="3F6C2722">
      <w:pPr>
        <w:pStyle w:val="148"/>
        <w:rPr>
          <w:lang w:eastAsia="zh-CN"/>
        </w:rPr>
      </w:pPr>
      <w:r>
        <w:rPr>
          <w:lang w:eastAsia="zh-CN"/>
        </w:rPr>
        <w:t>中空纤维膜氮氧分离系统</w:t>
      </w:r>
      <w:r>
        <w:rPr>
          <w:rFonts w:hint="eastAsia"/>
          <w:lang w:eastAsia="zh-CN"/>
        </w:rPr>
        <w:t>，全球市场总体规模</w:t>
      </w:r>
    </w:p>
    <w:p w14:paraId="33261207">
      <w:pPr>
        <w:pStyle w:val="145"/>
      </w:pPr>
      <w:r>
        <w:drawing>
          <wp:inline distT="0" distB="0" distL="0" distR="0">
            <wp:extent cx="6094730" cy="2818765"/>
            <wp:effectExtent l="0" t="0" r="1270" b="635"/>
            <wp:docPr id="14331270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127052" name="图片 1"/>
                    <pic:cNvPicPr>
                      <a:picLocks noChangeAspect="1"/>
                    </pic:cNvPicPr>
                  </pic:nvPicPr>
                  <pic:blipFill>
                    <a:blip r:embed="rId10"/>
                    <a:stretch>
                      <a:fillRect/>
                    </a:stretch>
                  </pic:blipFill>
                  <pic:spPr>
                    <a:xfrm>
                      <a:off x="0" y="0"/>
                      <a:ext cx="6095238" cy="2819048"/>
                    </a:xfrm>
                    <a:prstGeom prst="rect">
                      <a:avLst/>
                    </a:prstGeom>
                  </pic:spPr>
                </pic:pic>
              </a:graphicData>
            </a:graphic>
          </wp:inline>
        </w:drawing>
      </w:r>
    </w:p>
    <w:p w14:paraId="548964BA">
      <w:pPr>
        <w:pStyle w:val="143"/>
        <w:rPr>
          <w:lang w:eastAsia="zh-CN"/>
        </w:rPr>
      </w:pPr>
      <w:r>
        <w:rPr>
          <w:rFonts w:hint="eastAsia"/>
          <w:lang w:eastAsia="zh-CN"/>
        </w:rPr>
        <w:t>来源：QYResearch 机械研究中心</w:t>
      </w:r>
    </w:p>
    <w:p w14:paraId="12FD9BEF">
      <w:pPr>
        <w:pStyle w:val="145"/>
        <w:rPr>
          <w:lang w:eastAsia="zh-CN"/>
        </w:rPr>
      </w:pPr>
    </w:p>
    <w:p w14:paraId="720E31E2">
      <w:pPr>
        <w:pStyle w:val="148"/>
        <w:rPr>
          <w:lang w:eastAsia="zh-CN"/>
        </w:rPr>
      </w:pPr>
      <w:r>
        <w:rPr>
          <w:rFonts w:hint="eastAsia"/>
          <w:lang w:eastAsia="zh-CN"/>
        </w:rPr>
        <w:t>全球</w:t>
      </w:r>
      <w:r>
        <w:rPr>
          <w:lang w:eastAsia="zh-CN"/>
        </w:rPr>
        <w:t>中空纤维膜氮氧分离系统</w:t>
      </w:r>
      <w:r>
        <w:rPr>
          <w:rFonts w:hint="eastAsia"/>
          <w:lang w:eastAsia="zh-CN"/>
        </w:rPr>
        <w:t>市场前10强产商排名及市场占有率（基于2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drawing>
          <wp:inline distT="0" distB="0" distL="0" distR="0">
            <wp:extent cx="4190365" cy="3914140"/>
            <wp:effectExtent l="0" t="0" r="635" b="0"/>
            <wp:docPr id="5040098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009824" name="图片 1"/>
                    <pic:cNvPicPr>
                      <a:picLocks noChangeAspect="1"/>
                    </pic:cNvPicPr>
                  </pic:nvPicPr>
                  <pic:blipFill>
                    <a:blip r:embed="rId11"/>
                    <a:stretch>
                      <a:fillRect/>
                    </a:stretch>
                  </pic:blipFill>
                  <pic:spPr>
                    <a:xfrm>
                      <a:off x="0" y="0"/>
                      <a:ext cx="4190476" cy="3914286"/>
                    </a:xfrm>
                    <a:prstGeom prst="rect">
                      <a:avLst/>
                    </a:prstGeom>
                  </pic:spPr>
                </pic:pic>
              </a:graphicData>
            </a:graphic>
          </wp:inline>
        </w:drawing>
      </w:r>
    </w:p>
    <w:p w14:paraId="04A43543">
      <w:pPr>
        <w:pStyle w:val="143"/>
        <w:rPr>
          <w:lang w:eastAsia="zh-CN"/>
        </w:rPr>
      </w:pPr>
      <w:r>
        <w:rPr>
          <w:rFonts w:hint="eastAsia"/>
          <w:lang w:eastAsia="zh-CN"/>
        </w:rPr>
        <w:t>来源：QYResearch 机械研究中心。行业处于不断变动之中，最新数据请联系QYResearch咨询。</w:t>
      </w:r>
    </w:p>
    <w:p w14:paraId="3E66256B">
      <w:pPr>
        <w:pStyle w:val="145"/>
        <w:rPr>
          <w:rFonts w:hint="eastAsia"/>
          <w:lang w:eastAsia="zh-CN"/>
        </w:rPr>
      </w:pPr>
      <w:r>
        <w:rPr>
          <w:rFonts w:hint="eastAsia"/>
          <w:lang w:eastAsia="zh-CN"/>
        </w:rPr>
        <w:t>根据QYResearch头部企业研究中心调研，全球范围内中空纤维膜氮氧分离系统生产商主要包括GENERON、PCI Gases、Air Products Membrane Solutions、Advanced Gas Technologies、Holtec Gas Systems等。2023年，全球前四大厂商占有大约62%的市场份额。</w:t>
      </w:r>
    </w:p>
    <w:p w14:paraId="3E6DE9A8">
      <w:pPr>
        <w:pStyle w:val="148"/>
        <w:rPr>
          <w:lang w:eastAsia="zh-CN"/>
        </w:rPr>
      </w:pPr>
      <w:r>
        <w:rPr>
          <w:lang w:eastAsia="zh-CN"/>
        </w:rPr>
        <w:t>中空纤维膜氮氧分离系统</w:t>
      </w:r>
      <w:r>
        <w:rPr>
          <w:rFonts w:hint="eastAsia"/>
          <w:lang w:eastAsia="zh-CN"/>
        </w:rPr>
        <w:t>，全球市场规模，按产品类型细分，电动处于主导地位</w:t>
      </w:r>
    </w:p>
    <w:p w14:paraId="1DAC1641">
      <w:pPr>
        <w:pStyle w:val="145"/>
        <w:rPr>
          <w:lang w:eastAsia="zh-CN"/>
        </w:rPr>
      </w:pPr>
      <w:r>
        <w:drawing>
          <wp:inline distT="0" distB="0" distL="0" distR="0">
            <wp:extent cx="6085205" cy="2723515"/>
            <wp:effectExtent l="0" t="0" r="0" b="635"/>
            <wp:docPr id="11791211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121113" name="图片 1"/>
                    <pic:cNvPicPr>
                      <a:picLocks noChangeAspect="1"/>
                    </pic:cNvPicPr>
                  </pic:nvPicPr>
                  <pic:blipFill>
                    <a:blip r:embed="rId12"/>
                    <a:stretch>
                      <a:fillRect/>
                    </a:stretch>
                  </pic:blipFill>
                  <pic:spPr>
                    <a:xfrm>
                      <a:off x="0" y="0"/>
                      <a:ext cx="6085714" cy="2723809"/>
                    </a:xfrm>
                    <a:prstGeom prst="rect">
                      <a:avLst/>
                    </a:prstGeom>
                  </pic:spPr>
                </pic:pic>
              </a:graphicData>
            </a:graphic>
          </wp:inline>
        </w:drawing>
      </w:r>
    </w:p>
    <w:p w14:paraId="39AE0722">
      <w:pPr>
        <w:pStyle w:val="143"/>
        <w:rPr>
          <w:lang w:eastAsia="zh-CN"/>
        </w:rPr>
      </w:pPr>
      <w:r>
        <w:rPr>
          <w:rFonts w:hint="eastAsia"/>
          <w:lang w:eastAsia="zh-CN"/>
        </w:rPr>
        <w:t>来源：QYResearch 机械研究中心</w:t>
      </w:r>
    </w:p>
    <w:p w14:paraId="41C3AE68">
      <w:pPr>
        <w:pStyle w:val="145"/>
        <w:rPr>
          <w:lang w:eastAsia="zh-CN"/>
        </w:rPr>
      </w:pPr>
      <w:r>
        <w:rPr>
          <w:rFonts w:hint="eastAsia"/>
          <w:lang w:eastAsia="zh-CN"/>
        </w:rPr>
        <w:t>就产品类型而言，目前双碟是最主要的细分产品，占据大约60%的份额。</w:t>
      </w:r>
    </w:p>
    <w:p w14:paraId="0B069045">
      <w:pPr>
        <w:pStyle w:val="148"/>
        <w:rPr>
          <w:lang w:eastAsia="zh-CN"/>
        </w:rPr>
      </w:pPr>
      <w:r>
        <w:rPr>
          <w:lang w:eastAsia="zh-CN"/>
        </w:rPr>
        <w:t>中空纤维膜氮氧分离系统</w:t>
      </w:r>
      <w:r>
        <w:rPr>
          <w:rFonts w:hint="eastAsia"/>
          <w:lang w:eastAsia="zh-CN"/>
        </w:rPr>
        <w:t>，全球市场规模，按应用细分，石油化工是最大的下游市场。</w:t>
      </w:r>
    </w:p>
    <w:p w14:paraId="1F9213C6">
      <w:pPr>
        <w:widowControl/>
        <w:topLinePunct w:val="0"/>
        <w:spacing w:after="0"/>
        <w:jc w:val="center"/>
        <w:rPr>
          <w:rFonts w:hint="eastAsia" w:ascii="宋体" w:hAnsi="宋体" w:cs="宋体"/>
          <w:kern w:val="0"/>
          <w:sz w:val="24"/>
          <w:szCs w:val="24"/>
        </w:rPr>
      </w:pPr>
      <w:r>
        <w:drawing>
          <wp:inline distT="0" distB="0" distL="0" distR="0">
            <wp:extent cx="2999740" cy="2637790"/>
            <wp:effectExtent l="0" t="0" r="0" b="0"/>
            <wp:docPr id="348501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50173" name="图片 1"/>
                    <pic:cNvPicPr>
                      <a:picLocks noChangeAspect="1"/>
                    </pic:cNvPicPr>
                  </pic:nvPicPr>
                  <pic:blipFill>
                    <a:blip r:embed="rId13"/>
                    <a:stretch>
                      <a:fillRect/>
                    </a:stretch>
                  </pic:blipFill>
                  <pic:spPr>
                    <a:xfrm>
                      <a:off x="0" y="0"/>
                      <a:ext cx="3000000" cy="2638095"/>
                    </a:xfrm>
                    <a:prstGeom prst="rect">
                      <a:avLst/>
                    </a:prstGeom>
                  </pic:spPr>
                </pic:pic>
              </a:graphicData>
            </a:graphic>
          </wp:inline>
        </w:drawing>
      </w:r>
    </w:p>
    <w:p w14:paraId="08CA65EC">
      <w:pPr>
        <w:pStyle w:val="143"/>
        <w:rPr>
          <w:lang w:eastAsia="zh-CN"/>
        </w:rPr>
      </w:pPr>
      <w:r>
        <w:rPr>
          <w:rFonts w:hint="eastAsia"/>
          <w:lang w:eastAsia="zh-CN"/>
        </w:rPr>
        <w:t>来源：QYResearch 机械研究中心</w:t>
      </w:r>
    </w:p>
    <w:p w14:paraId="4B5D90DE">
      <w:pPr>
        <w:pStyle w:val="145"/>
        <w:rPr>
          <w:lang w:eastAsia="zh-CN"/>
        </w:rPr>
      </w:pPr>
      <w:r>
        <w:rPr>
          <w:rFonts w:hint="eastAsia"/>
          <w:lang w:eastAsia="zh-CN"/>
        </w:rPr>
        <w:t>就产品应用而言，目前石油化工是最主要的需求来源，占据大约27.15%的份额。</w:t>
      </w:r>
    </w:p>
    <w:p w14:paraId="0CD10F4E">
      <w:pPr>
        <w:pStyle w:val="148"/>
        <w:rPr>
          <w:lang w:eastAsia="zh-CN"/>
        </w:rPr>
      </w:pPr>
      <w:r>
        <w:rPr>
          <w:rFonts w:hint="eastAsia"/>
          <w:lang w:eastAsia="zh-CN"/>
        </w:rPr>
        <w:t>全球主要市场</w:t>
      </w:r>
      <w:r>
        <w:rPr>
          <w:lang w:eastAsia="zh-CN"/>
        </w:rPr>
        <w:t>中空纤维膜氮氧分离系统</w:t>
      </w:r>
      <w:r>
        <w:rPr>
          <w:rFonts w:hint="eastAsia"/>
          <w:lang w:eastAsia="zh-CN"/>
        </w:rPr>
        <w:t>规模</w:t>
      </w:r>
    </w:p>
    <w:p w14:paraId="4B44D8E9">
      <w:pPr>
        <w:pStyle w:val="145"/>
        <w:rPr>
          <w:lang w:val="en-US" w:eastAsia="zh-CN"/>
        </w:rPr>
      </w:pPr>
      <w:r>
        <w:drawing>
          <wp:inline distT="0" distB="0" distL="0" distR="0">
            <wp:extent cx="6094730" cy="2733040"/>
            <wp:effectExtent l="0" t="0" r="1270" b="0"/>
            <wp:docPr id="5847029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702966" name="图片 1"/>
                    <pic:cNvPicPr>
                      <a:picLocks noChangeAspect="1"/>
                    </pic:cNvPicPr>
                  </pic:nvPicPr>
                  <pic:blipFill>
                    <a:blip r:embed="rId14"/>
                    <a:stretch>
                      <a:fillRect/>
                    </a:stretch>
                  </pic:blipFill>
                  <pic:spPr>
                    <a:xfrm>
                      <a:off x="0" y="0"/>
                      <a:ext cx="6095238" cy="2733333"/>
                    </a:xfrm>
                    <a:prstGeom prst="rect">
                      <a:avLst/>
                    </a:prstGeom>
                  </pic:spPr>
                </pic:pic>
              </a:graphicData>
            </a:graphic>
          </wp:inline>
        </w:drawing>
      </w:r>
    </w:p>
    <w:p w14:paraId="771F8304">
      <w:pPr>
        <w:pStyle w:val="143"/>
        <w:rPr>
          <w:lang w:eastAsia="zh-CN"/>
        </w:rPr>
      </w:pPr>
      <w:r>
        <w:rPr>
          <w:rFonts w:hint="eastAsia"/>
          <w:lang w:eastAsia="zh-CN"/>
        </w:rPr>
        <w:t>来源：QYResearch 机械研究中心</w:t>
      </w:r>
    </w:p>
    <w:p w14:paraId="6875CE01">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14:paraId="4677FC25">
      <w:pPr>
        <w:pStyle w:val="167"/>
      </w:pPr>
      <w:r>
        <w:rPr>
          <w:rFonts w:hint="eastAsia"/>
          <w:lang w:eastAsia="zh-CN"/>
        </w:rPr>
        <w:t>本文作者</w:t>
      </w:r>
    </w:p>
    <w:bookmarkEnd w:id="1"/>
    <w:bookmarkEnd w:id="2"/>
    <w:bookmarkEnd w:id="3"/>
    <w:bookmarkEnd w:id="4"/>
    <w:bookmarkEnd w:id="5"/>
    <w:bookmarkEnd w:id="6"/>
    <w:bookmarkEnd w:id="7"/>
    <w:bookmarkEnd w:id="8"/>
    <w:bookmarkEnd w:id="9"/>
    <w:bookmarkEnd w:id="10"/>
    <w:bookmarkEnd w:id="11"/>
    <w:bookmarkEnd w:id="12"/>
    <w:bookmarkEnd w:id="13"/>
    <w:tbl>
      <w:tblPr>
        <w:tblStyle w:val="3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26"/>
        <w:gridCol w:w="7736"/>
      </w:tblGrid>
      <w:tr w14:paraId="03F56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50" w:hRule="atLeast"/>
        </w:trPr>
        <w:tc>
          <w:tcPr>
            <w:tcW w:w="1117" w:type="pct"/>
            <w:vMerge w:val="restart"/>
          </w:tcPr>
          <w:p w14:paraId="25F9EB87">
            <w:pPr>
              <w:rPr>
                <w:rFonts w:cs="Times New Roman"/>
                <w:kern w:val="0"/>
                <w:sz w:val="20"/>
                <w:szCs w:val="20"/>
              </w:rPr>
            </w:pPr>
            <w:bookmarkStart w:id="14" w:name="_Hlk160145936"/>
            <w:r>
              <w:rPr>
                <w:rFonts w:hint="eastAsia" w:cs="Times New Roman"/>
                <w:kern w:val="0"/>
                <w:sz w:val="20"/>
                <w:szCs w:val="20"/>
              </w:rPr>
              <w:drawing>
                <wp:inline distT="0" distB="0" distL="0" distR="0">
                  <wp:extent cx="1228725" cy="911860"/>
                  <wp:effectExtent l="0" t="0" r="0" b="2540"/>
                  <wp:docPr id="147918460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184607" name="图片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248160" cy="926552"/>
                          </a:xfrm>
                          <a:prstGeom prst="rect">
                            <a:avLst/>
                          </a:prstGeom>
                          <a:noFill/>
                          <a:ln>
                            <a:noFill/>
                          </a:ln>
                        </pic:spPr>
                      </pic:pic>
                    </a:graphicData>
                  </a:graphic>
                </wp:inline>
              </w:drawing>
            </w:r>
          </w:p>
        </w:tc>
        <w:tc>
          <w:tcPr>
            <w:tcW w:w="3883" w:type="pct"/>
            <w:vAlign w:val="center"/>
          </w:tcPr>
          <w:p w14:paraId="1E19F1A0">
            <w:pPr>
              <w:rPr>
                <w:rFonts w:cs="Times New Roman"/>
                <w:kern w:val="0"/>
                <w:sz w:val="20"/>
                <w:szCs w:val="20"/>
              </w:rPr>
            </w:pPr>
            <w:r>
              <w:rPr>
                <w:rFonts w:hint="eastAsia" w:cs="Times New Roman"/>
                <w:b/>
                <w:bCs/>
                <w:kern w:val="0"/>
                <w:sz w:val="20"/>
                <w:szCs w:val="20"/>
              </w:rPr>
              <w:t>吕志鹏</w:t>
            </w:r>
            <w:r>
              <w:rPr>
                <w:rFonts w:hint="eastAsia" w:cs="Times New Roman"/>
                <w:kern w:val="0"/>
                <w:sz w:val="20"/>
                <w:szCs w:val="20"/>
              </w:rPr>
              <w:t>——本文主要分析师</w:t>
            </w:r>
          </w:p>
          <w:p w14:paraId="7FCD59A7">
            <w:pPr>
              <w:rPr>
                <w:rFonts w:cs="Times New Roman"/>
                <w:kern w:val="0"/>
                <w:sz w:val="20"/>
                <w:szCs w:val="20"/>
              </w:rPr>
            </w:pPr>
          </w:p>
        </w:tc>
      </w:tr>
      <w:tr w14:paraId="2E096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 w:hRule="atLeast"/>
        </w:trPr>
        <w:tc>
          <w:tcPr>
            <w:tcW w:w="1117" w:type="pct"/>
            <w:vMerge w:val="continue"/>
          </w:tcPr>
          <w:p w14:paraId="780B9D95">
            <w:pPr>
              <w:rPr>
                <w:rFonts w:cs="Times New Roman"/>
                <w:kern w:val="0"/>
                <w:sz w:val="20"/>
                <w:szCs w:val="20"/>
              </w:rPr>
            </w:pPr>
          </w:p>
        </w:tc>
        <w:tc>
          <w:tcPr>
            <w:tcW w:w="3883" w:type="pct"/>
            <w:vAlign w:val="center"/>
          </w:tcPr>
          <w:p w14:paraId="70A9680B">
            <w:pPr>
              <w:rPr>
                <w:rFonts w:cs="Times New Roman"/>
                <w:kern w:val="0"/>
                <w:sz w:val="20"/>
                <w:szCs w:val="20"/>
              </w:rPr>
            </w:pPr>
          </w:p>
        </w:tc>
      </w:tr>
      <w:tr w14:paraId="34FE0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2" w:hRule="atLeast"/>
        </w:trPr>
        <w:tc>
          <w:tcPr>
            <w:tcW w:w="1117" w:type="pct"/>
            <w:vMerge w:val="continue"/>
          </w:tcPr>
          <w:p w14:paraId="397C7BCB">
            <w:pPr>
              <w:rPr>
                <w:rFonts w:cs="Times New Roman"/>
                <w:kern w:val="0"/>
                <w:sz w:val="20"/>
                <w:szCs w:val="20"/>
              </w:rPr>
            </w:pPr>
          </w:p>
        </w:tc>
        <w:tc>
          <w:tcPr>
            <w:tcW w:w="3883" w:type="pct"/>
            <w:vAlign w:val="center"/>
          </w:tcPr>
          <w:p w14:paraId="6FEFF802">
            <w:pPr>
              <w:rPr>
                <w:rFonts w:cs="Times New Roman"/>
                <w:kern w:val="0"/>
                <w:sz w:val="20"/>
                <w:szCs w:val="20"/>
              </w:rPr>
            </w:pPr>
            <w:r>
              <w:rPr>
                <w:rFonts w:hint="eastAsia" w:cs="Times New Roman"/>
                <w:kern w:val="0"/>
                <w:sz w:val="20"/>
                <w:szCs w:val="20"/>
              </w:rPr>
              <w:t>QYResearch中国企业研究部的市场分析师，在市场开发和分析方面拥有丰富的经验，对市场趋势、竞争和消费者行为有着独到的见解。</w:t>
            </w:r>
          </w:p>
          <w:p w14:paraId="513A4167">
            <w:pPr>
              <w:rPr>
                <w:rFonts w:cs="Times New Roman"/>
                <w:kern w:val="0"/>
                <w:sz w:val="20"/>
                <w:szCs w:val="20"/>
              </w:rPr>
            </w:pPr>
            <w:r>
              <w:rPr>
                <w:rFonts w:hint="eastAsia" w:cs="Times New Roman"/>
                <w:kern w:val="0"/>
                <w:sz w:val="20"/>
                <w:szCs w:val="20"/>
              </w:rPr>
              <w:t>擅长IT服务、云/托管服务、汽车领域的分析研究，提供相关领域的行业分析、预测和市场洞察。此外，协助汽车行业和第三方云管理服务的研究分析。</w:t>
            </w:r>
          </w:p>
          <w:p w14:paraId="77A5F6E8">
            <w:pPr>
              <w:rPr>
                <w:rFonts w:cs="Times New Roman"/>
                <w:kern w:val="0"/>
                <w:sz w:val="20"/>
                <w:szCs w:val="20"/>
              </w:rPr>
            </w:pPr>
            <w:r>
              <w:rPr>
                <w:rFonts w:hint="eastAsia" w:cs="Times New Roman"/>
                <w:kern w:val="0"/>
                <w:sz w:val="20"/>
                <w:szCs w:val="20"/>
              </w:rPr>
              <w:t>主要工作涉及深度访谈、数据收集、分析和市场洞察，以及参与相关市场的本地咨询和业务拓展。此外，还参与定制和咨询项目，与供应商和线上线下渠道建立良好的关系。</w:t>
            </w:r>
          </w:p>
        </w:tc>
      </w:tr>
      <w:bookmarkEnd w:id="14"/>
    </w:tbl>
    <w:p w14:paraId="05CB6500">
      <w:pPr>
        <w:pStyle w:val="145"/>
        <w:rPr>
          <w:lang w:eastAsia="zh-CN"/>
        </w:rPr>
      </w:pPr>
      <w:bookmarkStart w:id="15" w:name="_GoBack"/>
      <w:bookmarkEnd w:id="15"/>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6"/>
                    <a:stretch>
                      <a:fillRect/>
                    </a:stretch>
                  </pic:blipFill>
                  <pic:spPr>
                    <a:xfrm>
                      <a:off x="0" y="0"/>
                      <a:ext cx="1219048" cy="552381"/>
                    </a:xfrm>
                    <a:prstGeom prst="rect">
                      <a:avLst/>
                    </a:prstGeom>
                  </pic:spPr>
                </pic:pic>
              </a:graphicData>
            </a:graphic>
          </wp:inline>
        </w:drawing>
      </w:r>
    </w:p>
    <w:p w14:paraId="044563DD">
      <w:pPr>
        <w:pStyle w:val="145"/>
        <w:rPr>
          <w:lang w:eastAsia="zh-CN"/>
        </w:rPr>
      </w:pPr>
      <w:r>
        <w:rPr>
          <w:rFonts w:hint="eastAsia"/>
          <w:lang w:eastAsia="zh-CN"/>
        </w:rPr>
        <w:t>QYResearch（北京恒州博智国际信息咨询有限公司）成立于2007年，总部位于美国洛杉矶和中国北京。QYResearch专注为企业提供专业的市场调查报告、行业研究报告、可行性研究、IPO咨询（数据被国内招股说明书或年报大量引用）、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南宁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9F6"/>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6FBD"/>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B5B"/>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A9A"/>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895"/>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741"/>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EBB"/>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2B57"/>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60B"/>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2F87"/>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059"/>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3B86"/>
    <w:rsid w:val="0039461A"/>
    <w:rsid w:val="00394710"/>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AF2"/>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6C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949"/>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234"/>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20E"/>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01"/>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7C"/>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0F6"/>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318"/>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386"/>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F2"/>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312"/>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6C1"/>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B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2FD4"/>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3D6A"/>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05"/>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25B"/>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91"/>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43"/>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32"/>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57C"/>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C94"/>
    <w:rsid w:val="00BA5EC4"/>
    <w:rsid w:val="00BA623C"/>
    <w:rsid w:val="00BA6258"/>
    <w:rsid w:val="00BA6373"/>
    <w:rsid w:val="00BA683E"/>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701"/>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656"/>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2677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0.png"/><Relationship Id="rId15" Type="http://schemas.openxmlformats.org/officeDocument/2006/relationships/image" Target="media/image9.jpe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6</Pages>
  <Words>2170</Words>
  <Characters>2461</Characters>
  <Lines>17</Lines>
  <Paragraphs>5</Paragraphs>
  <TotalTime>53</TotalTime>
  <ScaleCrop>false</ScaleCrop>
  <LinksUpToDate>false</LinksUpToDate>
  <CharactersWithSpaces>2474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2024-09-29T07:36:00Z</dcterms:created>
  <dc:creator>yangj</dc:creator>
  <cp:lastModifiedBy>*星*空夜@话</cp:lastModifiedBy>
  <dcterms:modified xsi:type="dcterms:W3CDTF">2025-01-02T09:09:42Z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eyJoZGlkIjoiMDYzNTE3ZmJhYmZjY2ZiNzUxNTI1ZTRkNzNkYTA1OTIiLCJ1c2VySWQiOiIyMzk0NzU0OTUifQ==</vt:lpwstr>
  </property>
  <property fmtid="{D5CDD505-2E9C-101B-9397-08002B2CF9AE}" pid="3" name="KSOProductBuildVer">
    <vt:lpwstr>2052-12.1.0.19302</vt:lpwstr>
  </property>
  <property fmtid="{D5CDD505-2E9C-101B-9397-08002B2CF9AE}" pid="4" name="ICV">
    <vt:lpwstr>BF48303D6E894CA0BE6CABA4E8E5DB8A_12</vt:lpwstr>
  </property>
</Properties>
</file>