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a0"/>
        <w:keepNext w:val="0"/>
        <w:keepLines w:val="0"/>
        <w:widowControl w:val="0"/>
        <w:shd w:val="clear" w:color="auto" w:fill="auto"/>
        <w:bidi w:val="0"/>
        <w:spacing w:before="220" w:after="1160" w:line="240" w:lineRule="auto"/>
        <w:ind w:left="5140" w:right="0" w:firstLine="0"/>
        <w:jc w:val="left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6"/>
          <w:szCs w:val="46"/>
          <w:shd w:val="clear" w:color="auto" w:fill="auto"/>
        </w:rPr>
        <w:t>企业不得税前扣除的支出项</w:t>
      </w:r>
      <w:r>
        <w:rPr>
          <w:color w:val="000000"/>
          <w:spacing w:val="0"/>
          <w:w w:val="100"/>
          <w:position w:val="0"/>
          <w:shd w:val="clear" w:color="auto" w:fill="auto"/>
        </w:rPr>
        <w:t>本文的主要内容是梳理和介绍汇算清缴中一些事项的税务处理方法。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资产类特殊事项如何处理</w:t>
      </w:r>
      <w:r>
        <w:rPr>
          <w:color w:val="000000"/>
          <w:spacing w:val="0"/>
          <w:w w:val="100"/>
          <w:position w:val="0"/>
          <w:shd w:val="clear" w:color="auto" w:fill="auto"/>
        </w:rPr>
        <w:t>.初始资产为无偿划拨的，改制时是否可以评估入账？是否涉税?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如果企业的资产是无偿划拨的，划拨时没有按财政部规定计入国家资本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金，该资产的计税基础为零，税前不能扣除折旧；改制时由于没有改变 </w:t>
      </w:r>
      <w:r>
        <w:rPr>
          <w:color w:val="000000"/>
          <w:spacing w:val="0"/>
          <w:w w:val="100"/>
          <w:position w:val="0"/>
          <w:shd w:val="clear" w:color="auto" w:fill="auto"/>
        </w:rPr>
        <w:t>权属，根据资产的历史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计税原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，不能改变计税基础，不能按评估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值入账，也不确认所得，不得计提折旧，计税基础依然为零。当处置时 </w:t>
      </w:r>
      <w:r>
        <w:rPr>
          <w:color w:val="000000"/>
          <w:spacing w:val="0"/>
          <w:w w:val="100"/>
          <w:position w:val="0"/>
          <w:shd w:val="clear" w:color="auto" w:fill="auto"/>
        </w:rPr>
        <w:t>按转移资产的售价全额计征所得税。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法规依据：企业所得税法实施条例第五十六条。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55"/>
        </w:tabs>
        <w:bidi w:val="0"/>
        <w:spacing w:before="0" w:after="1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.股本溢价转增资本时，股东是否涉及企业所得税?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股本溢价是由于某股东投入的资本大于注册资本形成的，其来源于股东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投资，其金额包含在该股东的长期股权投资的计税基础里。股本溢价转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增资本时，对于该股东来说，其长期股权投资计税基础没有改变，没有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收益产生，不涉及企业所得税。对于其他股东来说，由于持股比例不变, </w:t>
      </w:r>
      <w:r>
        <w:rPr>
          <w:color w:val="000000"/>
          <w:spacing w:val="0"/>
          <w:w w:val="100"/>
          <w:position w:val="0"/>
          <w:shd w:val="clear" w:color="auto" w:fill="auto"/>
        </w:rPr>
        <w:t>获得的分红比例不变，即股东的权益没有发生变化，其长期投资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的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计税基础没有改变，没有收益产生，也不涉及企业所得税。如果收取投 </w:t>
      </w:r>
      <w:r>
        <w:rPr>
          <w:color w:val="000000"/>
          <w:spacing w:val="0"/>
          <w:w w:val="100"/>
          <w:position w:val="0"/>
          <w:shd w:val="clear" w:color="auto" w:fill="auto"/>
        </w:rPr>
        <w:t>资时，收回的投资大于当初的计税基础，其差额按投资转让所得征收企 业所得税。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0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法规依据：《国家税务总局关于企业所得税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干问题的公告》（国家税 务总局公告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2011</w:t>
      </w:r>
      <w:r>
        <w:rPr>
          <w:color w:val="000000"/>
          <w:spacing w:val="0"/>
          <w:w w:val="100"/>
          <w:position w:val="0"/>
          <w:shd w:val="clear" w:color="auto" w:fill="auto"/>
        </w:rPr>
        <w:t>年第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34</w:t>
      </w:r>
      <w:r>
        <w:rPr>
          <w:color w:val="000000"/>
          <w:spacing w:val="0"/>
          <w:w w:val="100"/>
          <w:position w:val="0"/>
          <w:shd w:val="clear" w:color="auto" w:fill="auto"/>
        </w:rPr>
        <w:t>号）,企业所得税法第十四条,企业所得税 法实施条例第五十六条、第七十一条。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33"/>
        </w:tabs>
        <w:bidi w:val="0"/>
        <w:spacing w:before="0" w:after="0" w:line="468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.国资委无偿划拨是否属于对外捐赠？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据笔者了解，该事项国家税务总局正在研究，北京目前与财政部门和国 资委的沟通结果是按投资方收回投资再投资处理，即划出方按账面价值 减少资产，同金额减少股东权益；划入方按账面价值增加资产、同金额 增加股东权益，股东调整长期股权投资明细，此方式下不按对外捐赠处 理，不征收企业所得税；如果同时满足以上条件，划出方按对外捐赠处 理，税前不得扣除；划入方按接受捐赠处理，按公允价值征税。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法规依据：企业所得税法第六条、第九条、第十条，企业所得税法实施 条例第十三条、第二十一条。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4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股票分红持有期的</w:t>
      </w:r>
      <w:r>
        <w:rPr>
          <w:rFonts w:ascii="Cambria" w:eastAsia="Cambria" w:hAnsi="Cambria" w:cs="Cambria"/>
          <w:b/>
          <w:bCs/>
          <w:color w:val="000000"/>
          <w:spacing w:val="0"/>
          <w:w w:val="100"/>
          <w:position w:val="0"/>
          <w:sz w:val="56"/>
          <w:szCs w:val="56"/>
          <w:shd w:val="clear" w:color="auto" w:fill="auto"/>
        </w:rPr>
        <w:t>12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个月如何确定</w:t>
      </w:r>
      <w:r>
        <w:rPr>
          <w:color w:val="000000"/>
          <w:spacing w:val="0"/>
          <w:w w:val="100"/>
          <w:position w:val="0"/>
          <w:shd w:val="clear" w:color="auto" w:fill="auto"/>
        </w:rPr>
        <w:t>企业所得税法实施条例第八十三条规定，企业所得税法第二十六条第 （二）项和第（三）项所称股息、红利等权益性投资收益，不包括连续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持有居民企业公开发行并上市流通的股票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个月取得的投资收益。 </w:t>
      </w:r>
      <w:r>
        <w:rPr>
          <w:color w:val="000000"/>
          <w:spacing w:val="0"/>
          <w:w w:val="100"/>
          <w:position w:val="0"/>
          <w:shd w:val="clear" w:color="auto" w:fill="auto"/>
        </w:rPr>
        <w:t>对此条款纳税人有两种观点，一是收到股票分红款或股权登记日时点距 购买日已满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个月才能免税；一是只要出售日距购买日满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个月， 在此期间获得的分红都可以免税。那么，企业所得税法实施条例所说的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line="1235" w:lineRule="exact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"足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个月"，最迟时点指的是分红时点还是出售时点？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试把企业所得税法实施条例第八十三条的文字从</w:t>
      </w:r>
      <w:r>
        <w:rPr>
          <w:color w:val="000000"/>
          <w:spacing w:val="0"/>
          <w:w w:val="100"/>
          <w:position w:val="0"/>
          <w:shd w:val="clear" w:color="auto" w:fill="auto"/>
        </w:rPr>
        <w:t>否认</w:t>
      </w:r>
      <w:r>
        <w:rPr>
          <w:color w:val="000000"/>
          <w:spacing w:val="0"/>
          <w:w w:val="100"/>
          <w:position w:val="0"/>
          <w:shd w:val="clear" w:color="auto" w:fill="auto"/>
        </w:rPr>
        <w:t>句改为肯定句，即 ”连续持有居民企业公开发行并上市流通的股票足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个月取得的投资 收益〃，再简化为"连续持有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个月及以上期间取得的投资收益〃。 也就是说，企业所得税法实施条例第八十三条中的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“12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个月"，指股 票连续持有期间的长度，而不是指分红时点的持有长度，持有期间应该 是出售日至购买日，而不是分红日至购买日，只有出售才会产生持有期 间的终止，而分红不会产生持有期间的终止。因此，企业取得股票分红， 只要该股票的持有期间超过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个月，就可以享受企业所得税免税优惠, 而</w:t>
      </w:r>
      <w:r>
        <w:rPr>
          <w:color w:val="000000"/>
          <w:spacing w:val="0"/>
          <w:w w:val="100"/>
          <w:position w:val="0"/>
          <w:shd w:val="clear" w:color="auto" w:fill="auto"/>
        </w:rPr>
        <w:t>不管</w:t>
      </w:r>
      <w:r>
        <w:rPr>
          <w:color w:val="000000"/>
          <w:spacing w:val="0"/>
          <w:w w:val="100"/>
          <w:position w:val="0"/>
          <w:shd w:val="clear" w:color="auto" w:fill="auto"/>
        </w:rPr>
        <w:t>分红时点时是否满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实际工作中，如果当年度企业所得税汇算清缴时持有期间</w:t>
      </w:r>
      <w:r>
        <w:rPr>
          <w:color w:val="000000"/>
          <w:spacing w:val="0"/>
          <w:w w:val="100"/>
          <w:position w:val="0"/>
          <w:shd w:val="clear" w:color="auto" w:fill="auto"/>
        </w:rPr>
        <w:t>缺乏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 收到的分红，应按征税收入计征，下一年度当满足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个月规定条件时 申请退税或抵减。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5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视同销售相关收入和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 xml:space="preserve">如何确认 </w:t>
      </w:r>
      <w:r>
        <w:rPr>
          <w:color w:val="000000"/>
          <w:spacing w:val="0"/>
          <w:w w:val="100"/>
          <w:position w:val="0"/>
          <w:shd w:val="clear" w:color="auto" w:fill="auto"/>
        </w:rPr>
        <w:t>视同销售，指会计上不确认收入，只确认费用或分配。税法上，视同销 售行为涉及收入和资产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确实</w:t>
      </w:r>
      <w:r>
        <w:rPr>
          <w:color w:val="000000"/>
          <w:spacing w:val="0"/>
          <w:w w:val="100"/>
          <w:position w:val="0"/>
          <w:shd w:val="clear" w:color="auto" w:fill="auto"/>
        </w:rPr>
        <w:t>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122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对于视同销售收入，《国家税务总局关于企业处置资产所得税处理问题 的通知》（国税函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[2008]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828</w:t>
      </w:r>
      <w:r>
        <w:rPr>
          <w:color w:val="000000"/>
          <w:spacing w:val="0"/>
          <w:w w:val="100"/>
          <w:position w:val="0"/>
          <w:shd w:val="clear" w:color="auto" w:fill="auto"/>
        </w:rPr>
        <w:t>号）第三条规定，属于企业自制的资 产，应按企业同类资产同期对外销售价格确定销售收入；属于外购的资 产，可按购入时的价格确定销售收入。即收入按市场公允价值确定，并 按此金额填列在企业所得税年度申报表附表一《收入明细表》第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行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2"/>
          <w:szCs w:val="42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第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对于视同销售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，如果该资产属于存货，企业所得税法实施条例第七 </w:t>
      </w:r>
      <w:r>
        <w:rPr>
          <w:color w:val="000000"/>
          <w:spacing w:val="0"/>
          <w:w w:val="100"/>
          <w:position w:val="0"/>
          <w:shd w:val="clear" w:color="auto" w:fill="auto"/>
        </w:rPr>
        <w:t>十二条规定，存货按照以下方法确定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：通过支付现金方式取得的存 </w:t>
      </w:r>
      <w:r>
        <w:rPr>
          <w:color w:val="000000"/>
          <w:spacing w:val="0"/>
          <w:w w:val="100"/>
          <w:position w:val="0"/>
          <w:shd w:val="clear" w:color="auto" w:fill="auto"/>
        </w:rPr>
        <w:t>货，以购买价款和支付的相关税费为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；通过支付现金以外的方式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 xml:space="preserve">F </w:t>
      </w:r>
      <w:r>
        <w:rPr>
          <w:color w:val="000000"/>
          <w:spacing w:val="0"/>
          <w:w w:val="100"/>
          <w:position w:val="0"/>
          <w:shd w:val="clear" w:color="auto" w:fill="auto"/>
        </w:rPr>
        <w:t>得的存货，以该存货的公允价值和支付的相关税费为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；生产性生物 资产收获的农产品，以产出或者采收过程中发生的材料费、人工费和分 </w:t>
      </w:r>
      <w:r>
        <w:rPr>
          <w:color w:val="000000"/>
          <w:spacing w:val="0"/>
          <w:w w:val="100"/>
          <w:position w:val="0"/>
          <w:shd w:val="clear" w:color="auto" w:fill="auto"/>
        </w:rPr>
        <w:t>摊的间接费用等必要支出为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。即自制的按生产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确定，外购的按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购买价格确定，投入的按评估确认投资金额确定。如果该资产属于固定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资产，企业所得税法实施条例第五十八条规定，固定资产按照以下方法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确定计税基础：外购的固定资产，以购买价款和支付的相关税费以及直 </w:t>
      </w:r>
      <w:r>
        <w:rPr>
          <w:color w:val="000000"/>
          <w:spacing w:val="0"/>
          <w:w w:val="100"/>
          <w:position w:val="0"/>
          <w:shd w:val="clear" w:color="auto" w:fill="auto"/>
        </w:rPr>
        <w:t>接归属于使该资产</w:t>
      </w:r>
      <w:r>
        <w:rPr>
          <w:color w:val="000000"/>
          <w:spacing w:val="0"/>
          <w:w w:val="100"/>
          <w:position w:val="0"/>
          <w:shd w:val="clear" w:color="auto" w:fill="auto"/>
        </w:rPr>
        <w:t>到达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预定用途发生的其他支出为计税基础；自行建造 的固定资产，以竣工结算前发生的支出为计税基础。即外购的按买价,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自建按实际发生的。总之，如果该资产取得时账面价值与计税基础没有 </w:t>
      </w:r>
      <w:r>
        <w:rPr>
          <w:color w:val="000000"/>
          <w:spacing w:val="0"/>
          <w:w w:val="100"/>
          <w:position w:val="0"/>
          <w:shd w:val="clear" w:color="auto" w:fill="auto"/>
        </w:rPr>
        <w:t>差异，发生视同销售时，对应结转的</w:t>
      </w:r>
      <w:r>
        <w:rPr>
          <w:color w:val="000000"/>
          <w:spacing w:val="0"/>
          <w:w w:val="100"/>
          <w:position w:val="0"/>
          <w:shd w:val="clear" w:color="auto" w:fill="auto"/>
        </w:rPr>
        <w:t>本钱</w:t>
      </w:r>
      <w:r>
        <w:rPr>
          <w:color w:val="000000"/>
          <w:spacing w:val="0"/>
          <w:w w:val="100"/>
          <w:position w:val="0"/>
          <w:shd w:val="clear" w:color="auto" w:fill="auto"/>
        </w:rPr>
        <w:t>就是账面净值。</w:t>
      </w:r>
    </w:p>
    <w:sectPr>
      <w:pgSz w:w="21209" w:h="29984"/>
      <w:pgMar w:top="1666" w:right="2195" w:bottom="2362" w:left="2274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35FF8AF"/>
    <w:multiLevelType w:val="multilevel"/>
    <w:tmpl w:val="00000000"/>
    <w:lvl w:ilvl="0">
      <w:start w:val="1"/>
      <w:numFmt w:val="decimal"/>
      <w:lvlText w:val="%1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4"/>
        <w:szCs w:val="54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Hei" w:eastAsia="SimHei" w:hAnsi="SimHei" w:cs="SimHei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after="600" w:line="480" w:lineRule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50"/>
      <w:szCs w:val="5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