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15"/>
      <w:bookmarkStart w:id="2" w:name="OLE_LINK40"/>
      <w:bookmarkStart w:id="3" w:name="_Toc415143481"/>
      <w:bookmarkStart w:id="4" w:name="_Toc438987549"/>
      <w:bookmarkStart w:id="5" w:name="_Toc415142861"/>
      <w:bookmarkStart w:id="6" w:name="_Toc418070112"/>
      <w:bookmarkStart w:id="7" w:name="_Toc415818939"/>
      <w:bookmarkStart w:id="8" w:name="_Toc517262917"/>
      <w:bookmarkStart w:id="9" w:name="OLE_LINK13"/>
      <w:bookmarkStart w:id="10" w:name="_Toc453597319"/>
      <w:bookmarkStart w:id="11" w:name="_Toc481801204"/>
      <w:bookmarkStart w:id="12" w:name="_Hlk23501351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全球及中国刺槐豆胶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全球及中国刺槐豆胶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25695" cy="3165475"/>
            <wp:effectExtent l="0" t="0" r="8255" b="15875"/>
            <wp:docPr id="58" name="图片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据调研团队最新报告“全球刺槐豆胶市场报告2023-2029”显示，预计2029年全球刺槐豆胶市场规模将达到2.6亿美元，未来几年年复合增长率CAGR为-9.4%。</w:t>
      </w:r>
    </w:p>
    <w:p>
      <w:pPr>
        <w:pStyle w:val="148"/>
        <w:rPr>
          <w:lang w:eastAsia="zh-CN"/>
        </w:rPr>
      </w:pPr>
      <w:r>
        <w:rPr>
          <w:lang w:eastAsia="zh-CN"/>
        </w:rPr>
        <w:t>刺槐豆胶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刺槐豆胶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刺槐豆胶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如上图表/数据，摘自QYResearch报告“全球刺槐豆胶市场研究报告2023-2029，排名基于2022数据。目前最新数据，以本公司最新调研数据为准。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  <w:rPr>
          <w:rFonts w:hint="eastAsia"/>
        </w:rPr>
      </w:pPr>
      <w:r>
        <w:rPr>
          <w:rFonts w:hint="eastAsia"/>
        </w:rPr>
        <w:t>全球范围内刺槐豆胶生产商主要包括</w:t>
      </w:r>
      <w:r>
        <w:t>DuPont</w:t>
      </w:r>
      <w:r>
        <w:rPr>
          <w:rFonts w:hint="eastAsia"/>
        </w:rPr>
        <w:t>、</w:t>
      </w:r>
      <w:r>
        <w:t>LBG Sicilia Ingredients</w:t>
      </w:r>
      <w:r>
        <w:rPr>
          <w:rFonts w:hint="eastAsia"/>
        </w:rPr>
        <w:t>、</w:t>
      </w:r>
      <w:r>
        <w:t>Carob, S. A.</w:t>
      </w:r>
      <w:r>
        <w:rPr>
          <w:rFonts w:hint="eastAsia"/>
        </w:rPr>
        <w:t>、</w:t>
      </w:r>
      <w:r>
        <w:t>Cargill</w:t>
      </w:r>
      <w:r>
        <w:rPr>
          <w:rFonts w:hint="eastAsia"/>
        </w:rPr>
        <w:t>、</w:t>
      </w:r>
      <w:r>
        <w:t>INCOM A. Ş.</w:t>
      </w:r>
      <w:r>
        <w:rPr>
          <w:rFonts w:hint="eastAsia"/>
        </w:rPr>
        <w:t>、</w:t>
      </w:r>
      <w:r>
        <w:t>GKM Co.</w:t>
      </w:r>
      <w:r>
        <w:rPr>
          <w:rFonts w:hint="eastAsia"/>
        </w:rPr>
        <w:t>、</w:t>
      </w:r>
      <w:r>
        <w:t>GA Torres</w:t>
      </w:r>
      <w:r>
        <w:rPr>
          <w:rFonts w:hint="eastAsia"/>
        </w:rPr>
        <w:t>、</w:t>
      </w:r>
      <w:r>
        <w:t>Polygal AG</w:t>
      </w:r>
      <w:r>
        <w:rPr>
          <w:rFonts w:hint="eastAsia"/>
        </w:rPr>
        <w:t>、</w:t>
      </w:r>
      <w:r>
        <w:t>Industrial Farense</w:t>
      </w:r>
      <w:r>
        <w:rPr>
          <w:rFonts w:hint="eastAsia"/>
        </w:rPr>
        <w:t>、</w:t>
      </w:r>
      <w:r>
        <w:t>Carob Ingredient</w:t>
      </w:r>
      <w:r>
        <w:rPr>
          <w:rFonts w:hint="eastAsia"/>
        </w:rPr>
        <w:t>等。</w:t>
      </w:r>
      <w:r>
        <w:t>2021</w:t>
      </w:r>
      <w:r>
        <w:rPr>
          <w:rFonts w:hint="eastAsia"/>
        </w:rPr>
        <w:t>年，全球前十强厂商占有大约</w:t>
      </w:r>
      <w:r>
        <w:t>92.0%</w:t>
      </w:r>
      <w:r>
        <w:rPr>
          <w:rFonts w:hint="eastAsia"/>
        </w:rPr>
        <w:t>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8A15138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E2A3E4A"/>
    <w:rsid w:val="0E550512"/>
    <w:rsid w:val="0F5116AE"/>
    <w:rsid w:val="100B4360"/>
    <w:rsid w:val="101C7E7E"/>
    <w:rsid w:val="10231A07"/>
    <w:rsid w:val="103A162C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920887"/>
    <w:rsid w:val="12A32D1F"/>
    <w:rsid w:val="12B442BF"/>
    <w:rsid w:val="132135EE"/>
    <w:rsid w:val="13453BAE"/>
    <w:rsid w:val="13573AC8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C5A0892"/>
    <w:rsid w:val="1C8D7DE8"/>
    <w:rsid w:val="1CB26D23"/>
    <w:rsid w:val="1CD736DF"/>
    <w:rsid w:val="1D120041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3D6E16"/>
    <w:rsid w:val="214210A0"/>
    <w:rsid w:val="216215D5"/>
    <w:rsid w:val="218E591C"/>
    <w:rsid w:val="21C42573"/>
    <w:rsid w:val="224E6C54"/>
    <w:rsid w:val="229F5759"/>
    <w:rsid w:val="22D20532"/>
    <w:rsid w:val="236D70AB"/>
    <w:rsid w:val="24356AF4"/>
    <w:rsid w:val="243B67FF"/>
    <w:rsid w:val="24710ED7"/>
    <w:rsid w:val="250F7ADC"/>
    <w:rsid w:val="25AE4162"/>
    <w:rsid w:val="25B22B68"/>
    <w:rsid w:val="26126405"/>
    <w:rsid w:val="265B761D"/>
    <w:rsid w:val="266723B6"/>
    <w:rsid w:val="27054714"/>
    <w:rsid w:val="27372964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2C2488"/>
    <w:rsid w:val="2C856399"/>
    <w:rsid w:val="2D090B71"/>
    <w:rsid w:val="2D373C3F"/>
    <w:rsid w:val="2D9A265E"/>
    <w:rsid w:val="2DC35A21"/>
    <w:rsid w:val="2E3737E1"/>
    <w:rsid w:val="2E807459"/>
    <w:rsid w:val="2ED33660"/>
    <w:rsid w:val="2EF9001C"/>
    <w:rsid w:val="2EFA1321"/>
    <w:rsid w:val="2F107C41"/>
    <w:rsid w:val="2F7431E9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8F64D8"/>
    <w:rsid w:val="3F9F0CF0"/>
    <w:rsid w:val="4000420D"/>
    <w:rsid w:val="40202543"/>
    <w:rsid w:val="407441CC"/>
    <w:rsid w:val="40D31FE7"/>
    <w:rsid w:val="4222518C"/>
    <w:rsid w:val="425311DE"/>
    <w:rsid w:val="42677E7F"/>
    <w:rsid w:val="43212B30"/>
    <w:rsid w:val="436E2C30"/>
    <w:rsid w:val="437525BA"/>
    <w:rsid w:val="439E377F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5D4FC6"/>
    <w:rsid w:val="48847404"/>
    <w:rsid w:val="488B4811"/>
    <w:rsid w:val="48F77743"/>
    <w:rsid w:val="494574C2"/>
    <w:rsid w:val="4A4A12EF"/>
    <w:rsid w:val="4A4D7CF5"/>
    <w:rsid w:val="4A6E3AAD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5D67B1"/>
    <w:rsid w:val="52817C6A"/>
    <w:rsid w:val="52D41C73"/>
    <w:rsid w:val="53121757"/>
    <w:rsid w:val="53362C11"/>
    <w:rsid w:val="53AB3ED4"/>
    <w:rsid w:val="546A778A"/>
    <w:rsid w:val="547C2F28"/>
    <w:rsid w:val="54AD6F7A"/>
    <w:rsid w:val="54D87DBE"/>
    <w:rsid w:val="5510379B"/>
    <w:rsid w:val="551769A9"/>
    <w:rsid w:val="554503F2"/>
    <w:rsid w:val="55671C2C"/>
    <w:rsid w:val="55902DF0"/>
    <w:rsid w:val="560A4CB8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8516EC"/>
    <w:rsid w:val="59943F04"/>
    <w:rsid w:val="59F70726"/>
    <w:rsid w:val="5A5874C6"/>
    <w:rsid w:val="5A7979FA"/>
    <w:rsid w:val="5A897C95"/>
    <w:rsid w:val="5AE738B1"/>
    <w:rsid w:val="5BCD41FA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8A104C"/>
    <w:rsid w:val="5FBF6023"/>
    <w:rsid w:val="5FDF73FB"/>
    <w:rsid w:val="60060996"/>
    <w:rsid w:val="60534318"/>
    <w:rsid w:val="608060E1"/>
    <w:rsid w:val="60B146B2"/>
    <w:rsid w:val="60C36BF4"/>
    <w:rsid w:val="615E224C"/>
    <w:rsid w:val="61A62640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974A38"/>
    <w:rsid w:val="6CC07DFA"/>
    <w:rsid w:val="6CDE15A9"/>
    <w:rsid w:val="6CE1026C"/>
    <w:rsid w:val="6D0475EA"/>
    <w:rsid w:val="6D282CA2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3E00E2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Carob%20Bean%20Gum%20&#21050;&#27088;&#35910;&#33014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Carob%20Bean%20Gum%20&#21050;&#27088;&#35910;&#33014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172.25</c:v>
                </c:pt>
                <c:pt idx="1">
                  <c:v>491.41</c:v>
                </c:pt>
                <c:pt idx="2">
                  <c:v>264.831724821233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0"/>
                <c:pt idx="0">
                  <c:v>Carob Ingredient</c:v>
                </c:pt>
                <c:pt idx="1">
                  <c:v>Industrial Farense</c:v>
                </c:pt>
                <c:pt idx="2">
                  <c:v>Polygal AG</c:v>
                </c:pt>
                <c:pt idx="3">
                  <c:v>GA Torres</c:v>
                </c:pt>
                <c:pt idx="4">
                  <c:v>GKM Co.</c:v>
                </c:pt>
                <c:pt idx="5">
                  <c:v>INCOM A. Ş.</c:v>
                </c:pt>
                <c:pt idx="6">
                  <c:v>Cargill</c:v>
                </c:pt>
                <c:pt idx="7">
                  <c:v>Carob, S. A.</c:v>
                </c:pt>
                <c:pt idx="8">
                  <c:v>LBG Sicilia Ingredients</c:v>
                </c:pt>
                <c:pt idx="9">
                  <c:v>DuPont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0"/>
                <c:pt idx="0">
                  <c:v>1.36</c:v>
                </c:pt>
                <c:pt idx="1">
                  <c:v>4.4</c:v>
                </c:pt>
                <c:pt idx="2">
                  <c:v>10.61</c:v>
                </c:pt>
                <c:pt idx="3">
                  <c:v>14.78</c:v>
                </c:pt>
                <c:pt idx="4">
                  <c:v>16.86</c:v>
                </c:pt>
                <c:pt idx="5">
                  <c:v>25.41</c:v>
                </c:pt>
                <c:pt idx="6">
                  <c:v>40.22</c:v>
                </c:pt>
                <c:pt idx="7">
                  <c:v>48.68</c:v>
                </c:pt>
                <c:pt idx="8">
                  <c:v>75.94</c:v>
                </c:pt>
                <c:pt idx="9">
                  <c:v>96.25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0.57495</cdr:x>
      <cdr:y>0.28161</cdr:y>
    </cdr:from>
    <cdr:to>
      <cdr:x>0.75948</cdr:x>
      <cdr:y>0.44641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>
          <a:off x="3770781" y="861735"/>
          <a:ext cx="1210235" cy="504265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0.59058</cdr:x>
      <cdr:y>0.3114</cdr:y>
    </cdr:from>
    <cdr:to>
      <cdr:x>0.72609</cdr:x>
      <cdr:y>0.40457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981597">
          <a:off x="3873259" y="952871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-9.4%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0.19975</cdr:x>
      <cdr:y>0.31936</cdr:y>
    </cdr:from>
    <cdr:to>
      <cdr:x>0.42802</cdr:x>
      <cdr:y>0.58261</cdr:y>
    </cdr:to>
    <cdr:grpSp>
      <cdr:nvGrpSpPr>
        <cdr:cNvPr id="4" name="组合 3"/>
        <cdr:cNvGrpSpPr/>
      </cdr:nvGrpSpPr>
      <cdr:grpSpPr xmlns:a="http://schemas.openxmlformats.org/drawingml/2006/main">
        <a:xfrm rot="591821">
          <a:off x="1236195" y="921900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30.0%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2024-01-02T08:59:14Z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E13E0F504A214EB3B7871E8C5D06A723_13</vt:lpwstr>
  </property>
</Properties>
</file>