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4C7" w:rsidRDefault="00AD06B5" w:rsidP="008544C7">
      <w:pPr>
        <w:shd w:val="clear" w:color="auto" w:fill="FFFFFF"/>
        <w:rPr>
          <w:rFonts w:ascii="Calibri" w:hAnsi="Calibri"/>
          <w:color w:val="333333"/>
          <w:sz w:val="18"/>
          <w:szCs w:val="18"/>
        </w:rPr>
      </w:pPr>
      <w:r>
        <w:rPr>
          <w:rFonts w:ascii="Calibri" w:hAnsi="Calibri"/>
          <w:b/>
          <w:bCs/>
          <w:color w:val="333333"/>
          <w:sz w:val="18"/>
          <w:szCs w:val="18"/>
        </w:rPr>
        <w:t>堆肥式厕所</w:t>
      </w:r>
      <w:r w:rsidR="008544C7">
        <w:rPr>
          <w:rFonts w:ascii="Calibri" w:hAnsi="Calibri"/>
          <w:b/>
          <w:bCs/>
          <w:color w:val="333333"/>
          <w:sz w:val="18"/>
          <w:szCs w:val="18"/>
        </w:rPr>
        <w:t>市场</w:t>
      </w:r>
      <w:r w:rsidR="008544C7">
        <w:rPr>
          <w:rFonts w:hint="eastAsia"/>
          <w:b/>
          <w:bCs/>
          <w:color w:val="333333"/>
          <w:sz w:val="18"/>
          <w:szCs w:val="18"/>
        </w:rPr>
        <w:t>报告主要研究：</w:t>
      </w:r>
    </w:p>
    <w:p w:rsidR="008544C7" w:rsidRDefault="00AD06B5" w:rsidP="008544C7">
      <w:pPr>
        <w:shd w:val="clear" w:color="auto" w:fill="FFFFFF"/>
        <w:rPr>
          <w:rFonts w:ascii="Calibri" w:hAnsi="Calibri"/>
          <w:color w:val="333333"/>
          <w:sz w:val="18"/>
          <w:szCs w:val="18"/>
        </w:rPr>
      </w:pPr>
      <w:r>
        <w:rPr>
          <w:rFonts w:ascii="Calibri" w:hAnsi="Calibri"/>
          <w:color w:val="333333"/>
          <w:sz w:val="18"/>
          <w:szCs w:val="18"/>
        </w:rPr>
        <w:t>堆肥式厕所</w:t>
      </w:r>
      <w:r w:rsidR="008544C7">
        <w:rPr>
          <w:rFonts w:ascii="Calibri" w:hAnsi="Calibri"/>
          <w:color w:val="333333"/>
          <w:sz w:val="18"/>
          <w:szCs w:val="18"/>
        </w:rPr>
        <w:t>市场规模：</w:t>
      </w:r>
      <w:r w:rsidR="008544C7">
        <w:rPr>
          <w:rFonts w:ascii="Calibri" w:hAnsi="Calibri"/>
          <w:color w:val="333333"/>
          <w:sz w:val="18"/>
          <w:szCs w:val="18"/>
        </w:rPr>
        <w:t xml:space="preserve"> </w:t>
      </w:r>
      <w:r w:rsidR="008544C7">
        <w:rPr>
          <w:rFonts w:ascii="Calibri" w:hAnsi="Calibri"/>
          <w:color w:val="333333"/>
          <w:sz w:val="18"/>
          <w:szCs w:val="18"/>
        </w:rPr>
        <w:t>产能、产量、销售、产值、价格、成本、利润等</w:t>
      </w:r>
    </w:p>
    <w:p w:rsidR="00362F48" w:rsidRDefault="00AD06B5" w:rsidP="00362F48">
      <w:pPr>
        <w:shd w:val="clear" w:color="auto" w:fill="FFFFFF"/>
        <w:rPr>
          <w:rFonts w:ascii="Calibri" w:hAnsi="Calibri" w:hint="eastAsia"/>
          <w:color w:val="333333"/>
          <w:sz w:val="18"/>
          <w:szCs w:val="18"/>
        </w:rPr>
      </w:pPr>
      <w:r>
        <w:rPr>
          <w:rFonts w:ascii="Calibri" w:hAnsi="Calibri"/>
          <w:color w:val="333333"/>
          <w:sz w:val="18"/>
          <w:szCs w:val="18"/>
        </w:rPr>
        <w:t>堆肥式厕所</w:t>
      </w:r>
      <w:r w:rsidR="008544C7">
        <w:rPr>
          <w:rFonts w:ascii="Calibri" w:hAnsi="Calibri"/>
          <w:color w:val="333333"/>
          <w:sz w:val="18"/>
          <w:szCs w:val="18"/>
        </w:rPr>
        <w:t>行业竞争分析：原材料、市场应用、产品种类、市场需求、市场供给，下游市场分析、供应链分析、主要企业情况、市场份额、并购、扩张等</w:t>
      </w:r>
    </w:p>
    <w:p w:rsidR="00362F48" w:rsidRDefault="00362F48" w:rsidP="00362F48">
      <w:pPr>
        <w:shd w:val="clear" w:color="auto" w:fill="FFFFFF"/>
        <w:rPr>
          <w:rFonts w:ascii="Calibri" w:hAnsi="Calibri" w:hint="eastAsia"/>
          <w:color w:val="333333"/>
          <w:sz w:val="18"/>
          <w:szCs w:val="18"/>
        </w:rPr>
      </w:pPr>
    </w:p>
    <w:p w:rsidR="00AD06B5" w:rsidRPr="00AD06B5" w:rsidRDefault="00AD06B5" w:rsidP="00AD06B5">
      <w:pPr>
        <w:shd w:val="clear" w:color="auto" w:fill="FFFFFF"/>
        <w:rPr>
          <w:rFonts w:ascii="Calibri" w:hAnsi="Calibri"/>
          <w:color w:val="333333"/>
          <w:sz w:val="18"/>
          <w:szCs w:val="18"/>
        </w:rPr>
      </w:pPr>
      <w:r w:rsidRPr="00AD06B5">
        <w:rPr>
          <w:rFonts w:ascii="Calibri" w:hAnsi="Calibri" w:hint="eastAsia"/>
          <w:color w:val="333333"/>
          <w:sz w:val="18"/>
          <w:szCs w:val="18"/>
        </w:rPr>
        <w:t>堆肥式厕所（英语：</w:t>
      </w:r>
      <w:r w:rsidRPr="00AD06B5">
        <w:rPr>
          <w:rFonts w:ascii="Calibri" w:hAnsi="Calibri" w:hint="eastAsia"/>
          <w:color w:val="333333"/>
          <w:sz w:val="18"/>
          <w:szCs w:val="18"/>
        </w:rPr>
        <w:t>compostingtoilet</w:t>
      </w:r>
      <w:r w:rsidRPr="00AD06B5">
        <w:rPr>
          <w:rFonts w:ascii="Calibri" w:hAnsi="Calibri" w:hint="eastAsia"/>
          <w:color w:val="333333"/>
          <w:sz w:val="18"/>
          <w:szCs w:val="18"/>
        </w:rPr>
        <w:t>）是一种以极少水量冲厕甚至是无水的厕所，排泄物流入便池中混合木糠、椰棕或泥炭藓等物质带氧分解成堆肥。</w:t>
      </w:r>
    </w:p>
    <w:p w:rsidR="00AD06B5" w:rsidRPr="00AD06B5" w:rsidRDefault="00AD06B5" w:rsidP="00AD06B5">
      <w:pPr>
        <w:shd w:val="clear" w:color="auto" w:fill="FFFFFF"/>
        <w:rPr>
          <w:rFonts w:ascii="Calibri" w:hAnsi="Calibri" w:hint="eastAsia"/>
          <w:color w:val="333333"/>
          <w:sz w:val="18"/>
          <w:szCs w:val="18"/>
        </w:rPr>
      </w:pPr>
      <w:r w:rsidRPr="00AD06B5">
        <w:rPr>
          <w:rFonts w:ascii="Calibri" w:hAnsi="Calibri" w:hint="eastAsia"/>
          <w:color w:val="333333"/>
          <w:sz w:val="18"/>
          <w:szCs w:val="18"/>
        </w:rPr>
        <w:t>堆肥式厕所主要应用于缺乏供水及集体排污系统的地方以取代传统的冲水式厕所，又或者是方便将人类排泄物循环再做成肥料使用，主要对非食用植物施肥。堆肥式公厕在瑞典许多的公路旁及英美的国家公园得到广泛应用。排泄物混合的额外物质有助分解、吸水及减少臭味挥发，分解的速度亦比传统厌氧分解的化粪池要高。</w:t>
      </w:r>
    </w:p>
    <w:p w:rsidR="00AD06B5" w:rsidRPr="00AD06B5" w:rsidRDefault="00AD06B5" w:rsidP="00AD06B5">
      <w:pPr>
        <w:shd w:val="clear" w:color="auto" w:fill="FFFFFF"/>
        <w:rPr>
          <w:rFonts w:ascii="Calibri" w:hAnsi="Calibri" w:hint="eastAsia"/>
          <w:color w:val="333333"/>
          <w:sz w:val="18"/>
          <w:szCs w:val="18"/>
        </w:rPr>
      </w:pPr>
      <w:r w:rsidRPr="00AD06B5">
        <w:rPr>
          <w:rFonts w:ascii="Calibri" w:hAnsi="Calibri" w:hint="eastAsia"/>
          <w:color w:val="333333"/>
          <w:sz w:val="18"/>
          <w:szCs w:val="18"/>
        </w:rPr>
        <w:t>（</w:t>
      </w:r>
      <w:r w:rsidRPr="00AD06B5">
        <w:rPr>
          <w:rFonts w:ascii="Calibri" w:hAnsi="Calibri" w:hint="eastAsia"/>
          <w:color w:val="333333"/>
          <w:sz w:val="18"/>
          <w:szCs w:val="18"/>
        </w:rPr>
        <w:t>Win Market Research</w:t>
      </w:r>
      <w:r w:rsidRPr="00AD06B5">
        <w:rPr>
          <w:rFonts w:ascii="Calibri" w:hAnsi="Calibri" w:hint="eastAsia"/>
          <w:color w:val="333333"/>
          <w:sz w:val="18"/>
          <w:szCs w:val="18"/>
        </w:rPr>
        <w:t>）辰宇信息</w:t>
      </w:r>
      <w:r w:rsidRPr="00AD06B5">
        <w:rPr>
          <w:rFonts w:ascii="Calibri" w:hAnsi="Calibri" w:hint="eastAsia"/>
          <w:color w:val="333333"/>
          <w:sz w:val="18"/>
          <w:szCs w:val="18"/>
        </w:rPr>
        <w:t>-</w:t>
      </w:r>
      <w:r w:rsidRPr="00AD06B5">
        <w:rPr>
          <w:rFonts w:ascii="Calibri" w:hAnsi="Calibri" w:hint="eastAsia"/>
          <w:color w:val="333333"/>
          <w:sz w:val="18"/>
          <w:szCs w:val="18"/>
        </w:rPr>
        <w:t>报告显示，</w:t>
      </w:r>
      <w:r w:rsidRPr="00AD06B5">
        <w:rPr>
          <w:rFonts w:ascii="Calibri" w:hAnsi="Calibri" w:hint="eastAsia"/>
          <w:color w:val="333333"/>
          <w:sz w:val="18"/>
          <w:szCs w:val="18"/>
        </w:rPr>
        <w:t>2023</w:t>
      </w:r>
      <w:r w:rsidRPr="00AD06B5">
        <w:rPr>
          <w:rFonts w:ascii="Calibri" w:hAnsi="Calibri" w:hint="eastAsia"/>
          <w:color w:val="333333"/>
          <w:sz w:val="18"/>
          <w:szCs w:val="18"/>
        </w:rPr>
        <w:t>年全球堆肥式厕所市场规模大约为</w:t>
      </w:r>
      <w:r w:rsidRPr="00AD06B5">
        <w:rPr>
          <w:rFonts w:ascii="Calibri" w:hAnsi="Calibri" w:hint="eastAsia"/>
          <w:color w:val="333333"/>
          <w:sz w:val="18"/>
          <w:szCs w:val="18"/>
        </w:rPr>
        <w:t>2.9</w:t>
      </w:r>
      <w:r w:rsidRPr="00AD06B5">
        <w:rPr>
          <w:rFonts w:ascii="Calibri" w:hAnsi="Calibri" w:hint="eastAsia"/>
          <w:color w:val="333333"/>
          <w:sz w:val="18"/>
          <w:szCs w:val="18"/>
        </w:rPr>
        <w:t>亿元（人民币），预计</w:t>
      </w:r>
      <w:r w:rsidRPr="00AD06B5">
        <w:rPr>
          <w:rFonts w:ascii="Calibri" w:hAnsi="Calibri" w:hint="eastAsia"/>
          <w:color w:val="333333"/>
          <w:sz w:val="18"/>
          <w:szCs w:val="18"/>
        </w:rPr>
        <w:t>2030</w:t>
      </w:r>
      <w:r w:rsidRPr="00AD06B5">
        <w:rPr>
          <w:rFonts w:ascii="Calibri" w:hAnsi="Calibri" w:hint="eastAsia"/>
          <w:color w:val="333333"/>
          <w:sz w:val="18"/>
          <w:szCs w:val="18"/>
        </w:rPr>
        <w:t>年将达到</w:t>
      </w:r>
      <w:r w:rsidRPr="00AD06B5">
        <w:rPr>
          <w:rFonts w:ascii="Calibri" w:hAnsi="Calibri" w:hint="eastAsia"/>
          <w:color w:val="333333"/>
          <w:sz w:val="18"/>
          <w:szCs w:val="18"/>
        </w:rPr>
        <w:t>4.2</w:t>
      </w:r>
      <w:r w:rsidRPr="00AD06B5">
        <w:rPr>
          <w:rFonts w:ascii="Calibri" w:hAnsi="Calibri" w:hint="eastAsia"/>
          <w:color w:val="333333"/>
          <w:sz w:val="18"/>
          <w:szCs w:val="18"/>
        </w:rPr>
        <w:t>亿元，</w:t>
      </w:r>
      <w:r w:rsidRPr="00AD06B5">
        <w:rPr>
          <w:rFonts w:ascii="Calibri" w:hAnsi="Calibri" w:hint="eastAsia"/>
          <w:color w:val="333333"/>
          <w:sz w:val="18"/>
          <w:szCs w:val="18"/>
        </w:rPr>
        <w:t>2024-2030</w:t>
      </w:r>
      <w:r w:rsidRPr="00AD06B5">
        <w:rPr>
          <w:rFonts w:ascii="Calibri" w:hAnsi="Calibri" w:hint="eastAsia"/>
          <w:color w:val="333333"/>
          <w:sz w:val="18"/>
          <w:szCs w:val="18"/>
        </w:rPr>
        <w:t>期间年复合增长率（</w:t>
      </w:r>
      <w:r w:rsidRPr="00AD06B5">
        <w:rPr>
          <w:rFonts w:ascii="Calibri" w:hAnsi="Calibri" w:hint="eastAsia"/>
          <w:color w:val="333333"/>
          <w:sz w:val="18"/>
          <w:szCs w:val="18"/>
        </w:rPr>
        <w:t>CAGR</w:t>
      </w:r>
      <w:r w:rsidRPr="00AD06B5">
        <w:rPr>
          <w:rFonts w:ascii="Calibri" w:hAnsi="Calibri" w:hint="eastAsia"/>
          <w:color w:val="333333"/>
          <w:sz w:val="18"/>
          <w:szCs w:val="18"/>
        </w:rPr>
        <w:t>）为</w:t>
      </w:r>
      <w:r w:rsidRPr="00AD06B5">
        <w:rPr>
          <w:rFonts w:ascii="Calibri" w:hAnsi="Calibri" w:hint="eastAsia"/>
          <w:color w:val="333333"/>
          <w:sz w:val="18"/>
          <w:szCs w:val="18"/>
        </w:rPr>
        <w:t>5.7%</w:t>
      </w:r>
      <w:r w:rsidRPr="00AD06B5">
        <w:rPr>
          <w:rFonts w:ascii="Calibri" w:hAnsi="Calibri" w:hint="eastAsia"/>
          <w:color w:val="333333"/>
          <w:sz w:val="18"/>
          <w:szCs w:val="18"/>
        </w:rPr>
        <w:t>。</w:t>
      </w:r>
    </w:p>
    <w:p w:rsidR="00AD06B5" w:rsidRPr="00AD06B5" w:rsidRDefault="00AD06B5" w:rsidP="00AD06B5">
      <w:pPr>
        <w:shd w:val="clear" w:color="auto" w:fill="FFFFFF"/>
        <w:rPr>
          <w:rFonts w:ascii="Calibri" w:hAnsi="Calibri" w:hint="eastAsia"/>
          <w:color w:val="333333"/>
          <w:sz w:val="18"/>
          <w:szCs w:val="18"/>
        </w:rPr>
      </w:pPr>
      <w:r w:rsidRPr="00AD06B5">
        <w:rPr>
          <w:rFonts w:ascii="Calibri" w:hAnsi="Calibri" w:hint="eastAsia"/>
          <w:color w:val="333333"/>
          <w:sz w:val="18"/>
          <w:szCs w:val="18"/>
        </w:rPr>
        <w:t>全球堆肥厕所（</w:t>
      </w:r>
      <w:r w:rsidRPr="00AD06B5">
        <w:rPr>
          <w:rFonts w:ascii="Calibri" w:hAnsi="Calibri" w:hint="eastAsia"/>
          <w:color w:val="333333"/>
          <w:sz w:val="18"/>
          <w:szCs w:val="18"/>
        </w:rPr>
        <w:t>Composting Toilet</w:t>
      </w:r>
      <w:r w:rsidRPr="00AD06B5">
        <w:rPr>
          <w:rFonts w:ascii="Calibri" w:hAnsi="Calibri" w:hint="eastAsia"/>
          <w:color w:val="333333"/>
          <w:sz w:val="18"/>
          <w:szCs w:val="18"/>
        </w:rPr>
        <w:t>）的核心厂商包括</w:t>
      </w:r>
      <w:r w:rsidRPr="00AD06B5">
        <w:rPr>
          <w:rFonts w:ascii="Calibri" w:hAnsi="Calibri" w:hint="eastAsia"/>
          <w:color w:val="333333"/>
          <w:sz w:val="18"/>
          <w:szCs w:val="18"/>
        </w:rPr>
        <w:t>Separett</w:t>
      </w:r>
      <w:r w:rsidRPr="00AD06B5">
        <w:rPr>
          <w:rFonts w:ascii="Calibri" w:hAnsi="Calibri" w:hint="eastAsia"/>
          <w:color w:val="333333"/>
          <w:sz w:val="18"/>
          <w:szCs w:val="18"/>
        </w:rPr>
        <w:t>、</w:t>
      </w:r>
      <w:r w:rsidRPr="00AD06B5">
        <w:rPr>
          <w:rFonts w:ascii="Calibri" w:hAnsi="Calibri" w:hint="eastAsia"/>
          <w:color w:val="333333"/>
          <w:sz w:val="18"/>
          <w:szCs w:val="18"/>
        </w:rPr>
        <w:t>Nature's Head</w:t>
      </w:r>
      <w:r w:rsidRPr="00AD06B5">
        <w:rPr>
          <w:rFonts w:ascii="Calibri" w:hAnsi="Calibri" w:hint="eastAsia"/>
          <w:color w:val="333333"/>
          <w:sz w:val="18"/>
          <w:szCs w:val="18"/>
        </w:rPr>
        <w:t>、</w:t>
      </w:r>
      <w:r w:rsidRPr="00AD06B5">
        <w:rPr>
          <w:rFonts w:ascii="Calibri" w:hAnsi="Calibri" w:hint="eastAsia"/>
          <w:color w:val="333333"/>
          <w:sz w:val="18"/>
          <w:szCs w:val="18"/>
        </w:rPr>
        <w:t>Inc.</w:t>
      </w:r>
      <w:r w:rsidRPr="00AD06B5">
        <w:rPr>
          <w:rFonts w:ascii="Calibri" w:hAnsi="Calibri" w:hint="eastAsia"/>
          <w:color w:val="333333"/>
          <w:sz w:val="18"/>
          <w:szCs w:val="18"/>
        </w:rPr>
        <w:t>和</w:t>
      </w:r>
      <w:r w:rsidRPr="00AD06B5">
        <w:rPr>
          <w:rFonts w:ascii="Calibri" w:hAnsi="Calibri" w:hint="eastAsia"/>
          <w:color w:val="333333"/>
          <w:sz w:val="18"/>
          <w:szCs w:val="18"/>
        </w:rPr>
        <w:t>Green Loo Pty Ltd</w:t>
      </w:r>
      <w:r w:rsidRPr="00AD06B5">
        <w:rPr>
          <w:rFonts w:ascii="Calibri" w:hAnsi="Calibri" w:hint="eastAsia"/>
          <w:color w:val="333333"/>
          <w:sz w:val="18"/>
          <w:szCs w:val="18"/>
        </w:rPr>
        <w:t>等。前三大厂商占据了</w:t>
      </w:r>
      <w:r w:rsidRPr="00AD06B5">
        <w:rPr>
          <w:rFonts w:ascii="Calibri" w:hAnsi="Calibri" w:hint="eastAsia"/>
          <w:color w:val="333333"/>
          <w:sz w:val="18"/>
          <w:szCs w:val="18"/>
        </w:rPr>
        <w:t>40%</w:t>
      </w:r>
      <w:r w:rsidRPr="00AD06B5">
        <w:rPr>
          <w:rFonts w:ascii="Calibri" w:hAnsi="Calibri" w:hint="eastAsia"/>
          <w:color w:val="333333"/>
          <w:sz w:val="18"/>
          <w:szCs w:val="18"/>
        </w:rPr>
        <w:t>以上的份额。全球堆肥厕所主要在北美和欧洲生产，它们占据了超过</w:t>
      </w:r>
      <w:r w:rsidRPr="00AD06B5">
        <w:rPr>
          <w:rFonts w:ascii="Calibri" w:hAnsi="Calibri" w:hint="eastAsia"/>
          <w:color w:val="333333"/>
          <w:sz w:val="18"/>
          <w:szCs w:val="18"/>
        </w:rPr>
        <w:t>70%</w:t>
      </w:r>
      <w:r w:rsidRPr="00AD06B5">
        <w:rPr>
          <w:rFonts w:ascii="Calibri" w:hAnsi="Calibri" w:hint="eastAsia"/>
          <w:color w:val="333333"/>
          <w:sz w:val="18"/>
          <w:szCs w:val="18"/>
        </w:rPr>
        <w:t>的份额。北美是最大的市场，占有约</w:t>
      </w:r>
      <w:r w:rsidRPr="00AD06B5">
        <w:rPr>
          <w:rFonts w:ascii="Calibri" w:hAnsi="Calibri" w:hint="eastAsia"/>
          <w:color w:val="333333"/>
          <w:sz w:val="18"/>
          <w:szCs w:val="18"/>
        </w:rPr>
        <w:t>42%</w:t>
      </w:r>
      <w:r w:rsidRPr="00AD06B5">
        <w:rPr>
          <w:rFonts w:ascii="Calibri" w:hAnsi="Calibri" w:hint="eastAsia"/>
          <w:color w:val="333333"/>
          <w:sz w:val="18"/>
          <w:szCs w:val="18"/>
        </w:rPr>
        <w:t>的份额，其次是欧洲和亚太地区，分别约占</w:t>
      </w:r>
      <w:r w:rsidRPr="00AD06B5">
        <w:rPr>
          <w:rFonts w:ascii="Calibri" w:hAnsi="Calibri" w:hint="eastAsia"/>
          <w:color w:val="333333"/>
          <w:sz w:val="18"/>
          <w:szCs w:val="18"/>
        </w:rPr>
        <w:t>33%</w:t>
      </w:r>
      <w:r w:rsidRPr="00AD06B5">
        <w:rPr>
          <w:rFonts w:ascii="Calibri" w:hAnsi="Calibri" w:hint="eastAsia"/>
          <w:color w:val="333333"/>
          <w:sz w:val="18"/>
          <w:szCs w:val="18"/>
        </w:rPr>
        <w:t>和</w:t>
      </w:r>
      <w:r w:rsidRPr="00AD06B5">
        <w:rPr>
          <w:rFonts w:ascii="Calibri" w:hAnsi="Calibri" w:hint="eastAsia"/>
          <w:color w:val="333333"/>
          <w:sz w:val="18"/>
          <w:szCs w:val="18"/>
        </w:rPr>
        <w:t>18%</w:t>
      </w:r>
      <w:r w:rsidRPr="00AD06B5">
        <w:rPr>
          <w:rFonts w:ascii="Calibri" w:hAnsi="Calibri" w:hint="eastAsia"/>
          <w:color w:val="333333"/>
          <w:sz w:val="18"/>
          <w:szCs w:val="18"/>
        </w:rPr>
        <w:t>。就产品类型而言，一体式堆肥厕所是最大的细分，占有大约</w:t>
      </w:r>
      <w:r w:rsidRPr="00AD06B5">
        <w:rPr>
          <w:rFonts w:ascii="Calibri" w:hAnsi="Calibri" w:hint="eastAsia"/>
          <w:color w:val="333333"/>
          <w:sz w:val="18"/>
          <w:szCs w:val="18"/>
        </w:rPr>
        <w:t>58%</w:t>
      </w:r>
      <w:r w:rsidRPr="00AD06B5">
        <w:rPr>
          <w:rFonts w:ascii="Calibri" w:hAnsi="Calibri" w:hint="eastAsia"/>
          <w:color w:val="333333"/>
          <w:sz w:val="18"/>
          <w:szCs w:val="18"/>
        </w:rPr>
        <w:t>的份额，</w:t>
      </w:r>
    </w:p>
    <w:p w:rsidR="00362F48" w:rsidRDefault="00362F48" w:rsidP="00362F48">
      <w:pPr>
        <w:shd w:val="clear" w:color="auto" w:fill="FFFFFF"/>
        <w:rPr>
          <w:rFonts w:ascii="Calibri" w:hAnsi="Calibri" w:hint="eastAsia"/>
          <w:color w:val="333333"/>
          <w:sz w:val="18"/>
          <w:szCs w:val="18"/>
        </w:rPr>
      </w:pPr>
    </w:p>
    <w:p w:rsidR="000B429F" w:rsidRDefault="005141CD" w:rsidP="00362F48">
      <w:pPr>
        <w:shd w:val="clear" w:color="auto" w:fill="FFFFFF"/>
      </w:pPr>
      <w:r>
        <w:t>着重分析</w:t>
      </w:r>
      <w:r w:rsidR="00AD06B5">
        <w:rPr>
          <w:rFonts w:hint="eastAsia"/>
        </w:rPr>
        <w:t>堆肥式厕所</w:t>
      </w:r>
      <w:r>
        <w:t>行业竞争格局，包括全球市场主要厂商竞争格局和中国本土市场主要厂商竞争格局，重点分析全球主要厂商</w:t>
      </w:r>
      <w:r w:rsidR="00AD06B5">
        <w:rPr>
          <w:rFonts w:hint="eastAsia"/>
        </w:rPr>
        <w:t>堆肥式厕所</w:t>
      </w:r>
      <w:r>
        <w:t>产能、销量、收入、价格和市场份额，全球</w:t>
      </w:r>
      <w:r w:rsidR="00AD06B5">
        <w:rPr>
          <w:rFonts w:hint="eastAsia"/>
        </w:rPr>
        <w:t>堆肥式厕所</w:t>
      </w:r>
      <w:r>
        <w:t>产地分布情况、中国</w:t>
      </w:r>
      <w:r w:rsidR="00AD06B5">
        <w:rPr>
          <w:rFonts w:hint="eastAsia"/>
        </w:rPr>
        <w:t>堆肥式厕所</w:t>
      </w:r>
      <w:r>
        <w:t>进出口情况以及行业并购情况等。</w:t>
      </w:r>
      <w:r>
        <w:rPr>
          <w:rFonts w:hint="eastAsia"/>
        </w:rPr>
        <w:t>针对</w:t>
      </w:r>
      <w:r w:rsidR="00AD06B5">
        <w:rPr>
          <w:rFonts w:hint="eastAsia"/>
        </w:rPr>
        <w:t>堆肥式厕所</w:t>
      </w:r>
      <w:r>
        <w:rPr>
          <w:rFonts w:hint="eastAsia"/>
        </w:rPr>
        <w:t>行业产品分类、应用、行业政策、产业链、生产模式、销售模式、行业发展有利因素、不利因素和进入壁垒也做了详细分析。</w:t>
      </w:r>
      <w:r w:rsidR="00362F48" w:rsidRPr="00362F48">
        <w:rPr>
          <w:rFonts w:hint="eastAsia"/>
        </w:rPr>
        <w:t>如果您有兴趣了解详情，薇</w:t>
      </w:r>
      <w:r w:rsidR="00362F48" w:rsidRPr="00362F48">
        <w:rPr>
          <w:rFonts w:hint="eastAsia"/>
        </w:rPr>
        <w:t xml:space="preserve"> joie  </w:t>
      </w:r>
      <w:r w:rsidR="00362F48" w:rsidRPr="00362F48">
        <w:rPr>
          <w:rFonts w:hint="eastAsia"/>
        </w:rPr>
        <w:t>：</w:t>
      </w:r>
      <w:r w:rsidR="00362F48" w:rsidRPr="00362F48">
        <w:rPr>
          <w:rFonts w:hint="eastAsia"/>
        </w:rPr>
        <w:t>chenyu-joie</w:t>
      </w:r>
    </w:p>
    <w:p w:rsidR="000B429F" w:rsidRDefault="005141CD">
      <w:pPr>
        <w:pStyle w:val="a5"/>
        <w:widowControl/>
        <w:spacing w:before="240" w:beforeAutospacing="0" w:after="240" w:afterAutospacing="0" w:line="420" w:lineRule="atLeast"/>
        <w:jc w:val="both"/>
        <w:rPr>
          <w:b/>
          <w:szCs w:val="24"/>
        </w:rPr>
      </w:pPr>
      <w:r>
        <w:rPr>
          <w:rFonts w:hint="eastAsia"/>
          <w:b/>
          <w:szCs w:val="24"/>
        </w:rPr>
        <w:t>全球及中国主要厂商包括：</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Separett</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Nature’s Head, Inc.</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Green Loo Pty Ltd</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Sun-Mar</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BioLet</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TROBOLO</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OGO Ltd</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Clivus Multrum</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lastRenderedPageBreak/>
        <w:t xml:space="preserve">    Nature Loo</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Biolan Oy</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Eos Design LLC</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Kazuba</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Trelino</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Simploo</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NatSol</w:t>
      </w:r>
    </w:p>
    <w:p w:rsidR="00AD06B5" w:rsidRPr="00AD06B5" w:rsidRDefault="00AD06B5" w:rsidP="00AD06B5">
      <w:pPr>
        <w:pStyle w:val="a5"/>
        <w:spacing w:before="240" w:after="240" w:line="420" w:lineRule="atLeast"/>
        <w:rPr>
          <w:rFonts w:ascii="Helvetica" w:eastAsia="Helvetica" w:hAnsi="Helvetica" w:cs="Helvetica"/>
          <w:b/>
          <w:color w:val="333333"/>
          <w:sz w:val="19"/>
          <w:szCs w:val="19"/>
        </w:rPr>
      </w:pPr>
      <w:r w:rsidRPr="00AD06B5">
        <w:rPr>
          <w:rFonts w:ascii="Helvetica" w:eastAsia="Helvetica" w:hAnsi="Helvetica" w:cs="Helvetica"/>
          <w:b/>
          <w:color w:val="333333"/>
          <w:sz w:val="19"/>
          <w:szCs w:val="19"/>
        </w:rPr>
        <w:t>按照不同产品类型，包括如下几个类别：</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一体式堆肥厕所</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分体式堆肥厕所</w:t>
      </w:r>
    </w:p>
    <w:p w:rsidR="00AD06B5" w:rsidRPr="00AD06B5" w:rsidRDefault="00AD06B5" w:rsidP="00AD06B5">
      <w:pPr>
        <w:pStyle w:val="a5"/>
        <w:spacing w:before="240" w:after="240" w:line="420" w:lineRule="atLeast"/>
        <w:rPr>
          <w:rFonts w:ascii="Helvetica" w:eastAsia="Helvetica" w:hAnsi="Helvetica" w:cs="Helvetica"/>
          <w:b/>
          <w:color w:val="333333"/>
          <w:sz w:val="19"/>
          <w:szCs w:val="19"/>
        </w:rPr>
      </w:pPr>
      <w:r w:rsidRPr="00AD06B5">
        <w:rPr>
          <w:rFonts w:ascii="Helvetica" w:eastAsia="Helvetica" w:hAnsi="Helvetica" w:cs="Helvetica"/>
          <w:b/>
          <w:color w:val="333333"/>
          <w:sz w:val="19"/>
          <w:szCs w:val="19"/>
        </w:rPr>
        <w:t>按照不同应用，主要包括如下几个方面：</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住宅</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商业</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房车和露营车</w:t>
      </w:r>
    </w:p>
    <w:p w:rsidR="00AD06B5" w:rsidRPr="00AD06B5" w:rsidRDefault="00AD06B5" w:rsidP="00AD06B5">
      <w:pPr>
        <w:pStyle w:val="a5"/>
        <w:spacing w:before="240" w:after="240" w:line="420" w:lineRule="atLeast"/>
        <w:rPr>
          <w:rFonts w:ascii="Helvetica" w:eastAsia="Helvetica" w:hAnsi="Helvetica" w:cs="Helvetica"/>
          <w:color w:val="333333"/>
          <w:sz w:val="19"/>
          <w:szCs w:val="19"/>
        </w:rPr>
      </w:pPr>
      <w:r w:rsidRPr="00AD06B5">
        <w:rPr>
          <w:rFonts w:ascii="Helvetica" w:eastAsia="Helvetica" w:hAnsi="Helvetica" w:cs="Helvetica"/>
          <w:color w:val="333333"/>
          <w:sz w:val="19"/>
          <w:szCs w:val="19"/>
        </w:rPr>
        <w:t xml:space="preserve">    其他</w:t>
      </w:r>
    </w:p>
    <w:p w:rsidR="000B429F" w:rsidRDefault="005141CD" w:rsidP="00362F48">
      <w:pPr>
        <w:pStyle w:val="a5"/>
        <w:widowControl/>
        <w:spacing w:before="240" w:after="240" w:line="420" w:lineRule="atLeast"/>
        <w:rPr>
          <w:b/>
          <w:szCs w:val="24"/>
        </w:rPr>
      </w:pPr>
      <w:r>
        <w:rPr>
          <w:b/>
          <w:szCs w:val="24"/>
        </w:rPr>
        <w:t>报告包含的主要地区和国家：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报告正文共</w:t>
      </w:r>
      <w:r>
        <w:rPr>
          <w:rFonts w:hint="eastAsia"/>
          <w:b/>
          <w:szCs w:val="24"/>
        </w:rPr>
        <w:t>11</w:t>
      </w:r>
      <w:r>
        <w:rPr>
          <w:rFonts w:hint="eastAsia"/>
          <w:b/>
          <w:szCs w:val="24"/>
        </w:rPr>
        <w:t>章，各章节主要内容如下：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第1章：报告统计范围、产品细分、下游应用领域，以及行业发展总体概况、有利和不利因素、进入壁垒等；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第2章：全球市场供需情况、中国地区供需情况，包括主要地区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产量、销量、收入、价格及市场份额等；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第3章：全球主要地区和国家，</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销量和销售收入，</w:t>
      </w:r>
      <w:r w:rsidR="00743420">
        <w:rPr>
          <w:rFonts w:ascii="Helvetica" w:eastAsia="Helvetica" w:hAnsi="Helvetica" w:cs="Helvetica"/>
          <w:color w:val="333333"/>
          <w:sz w:val="19"/>
          <w:szCs w:val="19"/>
        </w:rPr>
        <w:t>2019-2023</w:t>
      </w:r>
      <w:r w:rsidR="00743420">
        <w:rPr>
          <w:rFonts w:ascii="宋体" w:eastAsia="宋体" w:hAnsi="宋体" w:cs="宋体" w:hint="eastAsia"/>
          <w:color w:val="333333"/>
          <w:sz w:val="19"/>
          <w:szCs w:val="19"/>
        </w:rPr>
        <w:t>，及预测</w:t>
      </w:r>
      <w:r w:rsidR="00743420">
        <w:rPr>
          <w:rFonts w:ascii="Helvetica" w:eastAsia="Helvetica" w:hAnsi="Helvetica" w:cs="Helvetica"/>
          <w:color w:val="333333"/>
          <w:sz w:val="19"/>
          <w:szCs w:val="19"/>
        </w:rPr>
        <w:t>2024</w:t>
      </w:r>
      <w:r w:rsidR="00743420">
        <w:rPr>
          <w:rFonts w:ascii="宋体" w:eastAsia="宋体" w:hAnsi="宋体" w:cs="宋体" w:hint="eastAsia"/>
          <w:color w:val="333333"/>
          <w:sz w:val="19"/>
          <w:szCs w:val="19"/>
        </w:rPr>
        <w:t>到</w:t>
      </w:r>
      <w:r w:rsidR="00743420">
        <w:rPr>
          <w:rFonts w:ascii="Helvetica" w:eastAsia="Helvetica" w:hAnsi="Helvetica" w:cs="Helvetica"/>
          <w:color w:val="333333"/>
          <w:sz w:val="19"/>
          <w:szCs w:val="19"/>
        </w:rPr>
        <w:t>2030</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第4章：行业竞争格局分析，包括全球市场企业排名及市场份额、中国市场企业排名和份额、主要厂商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销量、收入、价格和市场份额等；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第5章：全球市场不同类型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第6章：全球市场不同应用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第7章：行业发展环境分析，包括政策、增长驱动因素、技术趋势、营销等；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第8章：行业供应链分析，包括产业链、主要原料供应情况、下游应用情况、行业采购模式、生产模式、销售模式及销售渠道等；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第9章：全球市场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主要厂商基本情况介绍，包括公司简介、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产品规格型号、销量、价格、收入及公司最新动态等；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第10章：中国市场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进出口情况分析；</w:t>
      </w:r>
    </w:p>
    <w:p w:rsidR="000B429F" w:rsidRDefault="005141CD">
      <w:pPr>
        <w:pStyle w:val="a5"/>
        <w:widowControl/>
        <w:spacing w:before="240" w:beforeAutospacing="0" w:after="240" w:afterAutospacing="0" w:line="420" w:lineRule="atLeast"/>
        <w:jc w:val="both"/>
        <w:rPr>
          <w:rFonts w:ascii="Helvetica" w:eastAsia="宋体" w:hAnsi="Helvetica" w:cs="Helvetica"/>
          <w:color w:val="333333"/>
          <w:sz w:val="19"/>
          <w:szCs w:val="19"/>
        </w:rPr>
      </w:pPr>
      <w:r>
        <w:rPr>
          <w:rFonts w:ascii="Helvetica" w:eastAsia="Helvetica" w:hAnsi="Helvetica" w:cs="Helvetica"/>
          <w:color w:val="333333"/>
          <w:sz w:val="19"/>
          <w:szCs w:val="19"/>
        </w:rPr>
        <w:t>第11章：中国市场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主要生产和消费地区分布</w:t>
      </w:r>
      <w:r>
        <w:rPr>
          <w:rFonts w:ascii="Helvetica" w:eastAsia="宋体" w:hAnsi="Helvetica" w:cs="Helvetica" w:hint="eastAsia"/>
          <w:color w:val="333333"/>
          <w:sz w:val="19"/>
          <w:szCs w:val="19"/>
        </w:rPr>
        <w:t>。</w:t>
      </w:r>
    </w:p>
    <w:p w:rsidR="00B15258" w:rsidRPr="00C725DF" w:rsidRDefault="00B15258" w:rsidP="00B15258">
      <w:pPr>
        <w:rPr>
          <w:b/>
        </w:rPr>
      </w:pPr>
      <w:r w:rsidRPr="00C725DF">
        <w:rPr>
          <w:rFonts w:hint="eastAsia"/>
          <w:b/>
        </w:rPr>
        <w:t>内容选自《辰宇信息咨询</w:t>
      </w:r>
      <w:r w:rsidRPr="00C725DF">
        <w:rPr>
          <w:rFonts w:hint="eastAsia"/>
          <w:b/>
        </w:rPr>
        <w:t xml:space="preserve"> /</w:t>
      </w:r>
      <w:r w:rsidRPr="00C725DF">
        <w:rPr>
          <w:rFonts w:hint="eastAsia"/>
          <w:b/>
        </w:rPr>
        <w:t>全球及中国</w:t>
      </w:r>
      <w:r w:rsidR="00AD06B5">
        <w:rPr>
          <w:rFonts w:hint="eastAsia"/>
          <w:b/>
          <w:bCs/>
        </w:rPr>
        <w:t>堆肥式厕所</w:t>
      </w:r>
      <w:r w:rsidRPr="00C725DF">
        <w:rPr>
          <w:rFonts w:hint="eastAsia"/>
          <w:b/>
        </w:rPr>
        <w:t>行业研究及十</w:t>
      </w:r>
      <w:r w:rsidR="004857F7">
        <w:rPr>
          <w:rFonts w:hint="eastAsia"/>
          <w:b/>
        </w:rPr>
        <w:t>五</w:t>
      </w:r>
      <w:r w:rsidRPr="00C725DF">
        <w:rPr>
          <w:rFonts w:hint="eastAsia"/>
          <w:b/>
        </w:rPr>
        <w:t>五规划分析报告》</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0B429F" w:rsidRDefault="005141CD">
      <w:pPr>
        <w:pStyle w:val="a5"/>
        <w:widowControl/>
        <w:spacing w:before="240" w:beforeAutospacing="0" w:after="240" w:afterAutospacing="0" w:line="420" w:lineRule="atLeast"/>
        <w:jc w:val="both"/>
        <w:rPr>
          <w:b/>
          <w:szCs w:val="24"/>
        </w:rPr>
      </w:pPr>
      <w:r>
        <w:rPr>
          <w:rFonts w:hint="eastAsia"/>
          <w:b/>
          <w:szCs w:val="24"/>
        </w:rPr>
        <w:t xml:space="preserve">1 </w:t>
      </w:r>
      <w:r w:rsidR="00AD06B5">
        <w:rPr>
          <w:rFonts w:hint="eastAsia"/>
          <w:b/>
          <w:szCs w:val="24"/>
        </w:rPr>
        <w:t>堆肥式厕所</w:t>
      </w:r>
      <w:r>
        <w:rPr>
          <w:rFonts w:hint="eastAsia"/>
          <w:b/>
          <w:szCs w:val="24"/>
        </w:rPr>
        <w:t>市场概述</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1.1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行业概述及统计范围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 按照不同类型，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主要可以分为如下几个类别</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1.2.1 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 从不同</w:t>
      </w:r>
      <w:r>
        <w:rPr>
          <w:rFonts w:ascii="Helvetica" w:eastAsia="宋体" w:hAnsi="Helvetica" w:cs="Helvetica" w:hint="eastAsia"/>
          <w:color w:val="333333"/>
          <w:sz w:val="19"/>
          <w:szCs w:val="19"/>
        </w:rPr>
        <w:t>尺寸或应用</w:t>
      </w:r>
      <w:r>
        <w:rPr>
          <w:rFonts w:ascii="Helvetica" w:eastAsia="Helvetica" w:hAnsi="Helvetica" w:cs="Helvetica"/>
          <w:color w:val="333333"/>
          <w:sz w:val="19"/>
          <w:szCs w:val="19"/>
        </w:rPr>
        <w:t>，</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主要包括如下几个方面</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1.3.1 不同</w:t>
      </w:r>
      <w:r>
        <w:rPr>
          <w:rFonts w:ascii="Helvetica" w:eastAsia="宋体" w:hAnsi="Helvetica" w:cs="Helvetica" w:hint="eastAsia"/>
          <w:color w:val="333333"/>
          <w:sz w:val="19"/>
          <w:szCs w:val="19"/>
        </w:rPr>
        <w:t>尺寸或应用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 行业发展现状分析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1.4.1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行业发展总体概况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1.4.2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行业发展主要特点</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1.4.3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行业发展影响因素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1.4.4 进入行业壁垒</w:t>
      </w:r>
    </w:p>
    <w:p w:rsidR="000B429F" w:rsidRDefault="005141CD">
      <w:pPr>
        <w:pStyle w:val="a5"/>
        <w:widowControl/>
        <w:spacing w:before="240" w:beforeAutospacing="0" w:after="240" w:afterAutospacing="0" w:line="420" w:lineRule="atLeast"/>
        <w:jc w:val="both"/>
        <w:rPr>
          <w:b/>
          <w:szCs w:val="24"/>
        </w:rPr>
      </w:pPr>
      <w:r>
        <w:rPr>
          <w:b/>
          <w:szCs w:val="24"/>
        </w:rPr>
        <w:t xml:space="preserve">2 </w:t>
      </w:r>
      <w:r>
        <w:rPr>
          <w:b/>
          <w:szCs w:val="24"/>
        </w:rPr>
        <w:t>行业发展现状及</w:t>
      </w:r>
      <w:r>
        <w:rPr>
          <w:b/>
          <w:szCs w:val="24"/>
        </w:rPr>
        <w:t>“</w:t>
      </w:r>
      <w:r>
        <w:rPr>
          <w:b/>
          <w:szCs w:val="24"/>
        </w:rPr>
        <w:t>十四五</w:t>
      </w:r>
      <w:r>
        <w:rPr>
          <w:b/>
          <w:szCs w:val="24"/>
        </w:rPr>
        <w:t>”</w:t>
      </w:r>
      <w:r>
        <w:rPr>
          <w:b/>
          <w:szCs w:val="24"/>
        </w:rPr>
        <w:t>前景预测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 全球</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2.1.1 全球</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2.1.2 全球</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产量、需求量及发展趋势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2.1.3 全球主要地区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 中国</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2.2.1 中国</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2.2.2 中国</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产量、市场需求量及发展趋势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2.2.3 中国</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产能和产量占全球的比重</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 全球</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2.3.1 全球市场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2.3.2 全球市场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2.3.3 全球市场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价格趋势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 中国</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2.4.1 中国市场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2.4.2 中国市场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2.4.3 中国市场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销量和收入占全球的比重</w:t>
      </w:r>
    </w:p>
    <w:p w:rsidR="000B429F" w:rsidRDefault="005141CD">
      <w:pPr>
        <w:pStyle w:val="a5"/>
        <w:widowControl/>
        <w:spacing w:before="240" w:beforeAutospacing="0" w:after="240" w:afterAutospacing="0" w:line="420" w:lineRule="atLeast"/>
        <w:jc w:val="both"/>
        <w:rPr>
          <w:b/>
          <w:szCs w:val="24"/>
        </w:rPr>
      </w:pPr>
      <w:r>
        <w:rPr>
          <w:b/>
          <w:szCs w:val="24"/>
        </w:rPr>
        <w:t xml:space="preserve">3 </w:t>
      </w:r>
      <w:r>
        <w:rPr>
          <w:b/>
          <w:szCs w:val="24"/>
        </w:rPr>
        <w:t>全球</w:t>
      </w:r>
      <w:r w:rsidR="00AD06B5">
        <w:rPr>
          <w:rFonts w:hint="eastAsia"/>
          <w:b/>
          <w:szCs w:val="24"/>
        </w:rPr>
        <w:t>堆肥式厕所</w:t>
      </w:r>
      <w:r>
        <w:rPr>
          <w:b/>
          <w:szCs w:val="24"/>
        </w:rPr>
        <w:t>主要地区分析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 全球主要地区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市场规模分析：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3.1.1 全球主要地区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销售收入及市场份额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3.1.2 全球主要地区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销售收入预测（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 全球主要地区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3.2.1 全球主要地区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3.2.2 全球主要地区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销量及市场份额预测（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 北美（美国和加拿大）</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3.3.1 北美（美国和加拿大）</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3.3.2 北美（美国和加拿大）</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 欧洲（德国、英国、法国和意大利等国家）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3.4.1 欧洲（德国、英国、法国和意大利等国家）</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3.4.2 欧洲（德国、英国、法国和意大利等国家）</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 亚太地区（中国、日本、韩国、中国台湾、印度和东南亚等）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3.5.1 亚太（中国、日本、韩国、中国台湾、印度和东南亚等）</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3.5.2 亚太（中国、日本、韩国、中国台湾、印度和东南亚等）</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 拉美地区（墨西哥、巴西等国家）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3.6.1 拉美地区（墨西哥、巴西等国家）</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3.6.2 拉美地区（墨西哥、巴西等国家）</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 中东及非洲</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3.7.1 中东及非洲（土耳其、沙特等国家）</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3.7.2 中东及非洲（土耳其、沙特等国家）</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4 </w:t>
      </w:r>
      <w:r>
        <w:rPr>
          <w:b/>
          <w:szCs w:val="24"/>
        </w:rPr>
        <w:t>行业竞争格局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 全球市场竞争格局分析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4.1.1 全球市场主要厂商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产能市场份额</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4.1.2 全球市场主要厂商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4.1.3 全球市场主要厂商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4.1.4 全球市场主要厂商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4.1.5 2021年全球主要生产商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 中国市场竞争格局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4.2.1 中国市场主要厂商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4.2.2 中国市场主要厂商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4.2.3 中国市场主要厂商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4.2.4 2021年中国主要生产商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4.3 全球主要厂商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产地分布及商业化日期</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4.4 全球主要厂商</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产品类型列表</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行业集中度、竞争程度分析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4.5.1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行业集中度分析：全球头部厂商份额（Top 5）</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4.5.2 全球</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第一梯队、第二梯队和第三梯队生产商（品牌）及市场份额</w:t>
      </w:r>
    </w:p>
    <w:p w:rsidR="000B429F" w:rsidRDefault="005141CD">
      <w:pPr>
        <w:pStyle w:val="a5"/>
        <w:widowControl/>
        <w:spacing w:before="240" w:beforeAutospacing="0" w:after="240" w:afterAutospacing="0" w:line="420" w:lineRule="atLeast"/>
        <w:jc w:val="both"/>
        <w:rPr>
          <w:b/>
          <w:szCs w:val="24"/>
        </w:rPr>
      </w:pPr>
      <w:r>
        <w:rPr>
          <w:b/>
          <w:szCs w:val="24"/>
        </w:rPr>
        <w:t xml:space="preserve">5 </w:t>
      </w:r>
      <w:r>
        <w:rPr>
          <w:b/>
          <w:szCs w:val="24"/>
        </w:rPr>
        <w:t>不同类型</w:t>
      </w:r>
      <w:r w:rsidR="00AD06B5">
        <w:rPr>
          <w:rFonts w:hint="eastAsia"/>
          <w:b/>
          <w:szCs w:val="24"/>
        </w:rPr>
        <w:t>堆肥式厕所</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 全球市场不同类型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5.1.1 全球市场不同类型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5.1.2 全球市场不同类型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 全球市场不同类型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5.2.1 全球市场不同类型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5.2.2 全球市场不同类型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5.3 全球市场不同类型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 中国市场不同类型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5.4.1 中国市场不同类型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5.4.2 中国市场不同类型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 中国市场不同类型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5.5.1 中国市场不同类型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5.5.2 中国市场不同类型</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6 </w:t>
      </w:r>
      <w:r>
        <w:rPr>
          <w:b/>
          <w:szCs w:val="24"/>
        </w:rPr>
        <w:t>不同</w:t>
      </w:r>
      <w:r>
        <w:rPr>
          <w:rFonts w:hint="eastAsia"/>
          <w:b/>
          <w:szCs w:val="24"/>
        </w:rPr>
        <w:t>应用</w:t>
      </w:r>
      <w:r w:rsidR="00AD06B5">
        <w:rPr>
          <w:rFonts w:hint="eastAsia"/>
          <w:b/>
          <w:szCs w:val="24"/>
        </w:rPr>
        <w:t>堆肥式厕所</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 全球市场不同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6.1.1 全球市场不同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6.1.2 全球市场不同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 全球市场不同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6.2.1 全球市场不同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6.2.2 全球市场不同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6.3 全球市场不同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 中国市场不同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6.4.1 中国市场不同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6.4.2 中国市场不同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 中国市场不同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6.5.1 中国市场不同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6.5.2 中国市场不同</w:t>
      </w:r>
      <w:r>
        <w:rPr>
          <w:rFonts w:ascii="Helvetica" w:eastAsia="宋体" w:hAnsi="Helvetica" w:cs="Helvetica" w:hint="eastAsia"/>
          <w:color w:val="333333"/>
          <w:sz w:val="19"/>
          <w:szCs w:val="19"/>
        </w:rPr>
        <w:t>应用</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7 </w:t>
      </w:r>
      <w:r>
        <w:rPr>
          <w:b/>
          <w:szCs w:val="24"/>
        </w:rPr>
        <w:t>行业发展环境分析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7.1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行业发展趋势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7.2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行业主要驱动因素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7.3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中国企业SWOT分析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 中国</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行业政策环境分析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7.4.1 行业主管部门及监管体制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7.4.2 行业相关政策动向</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7.4.3 行业相关规划</w:t>
      </w:r>
    </w:p>
    <w:p w:rsidR="000B429F" w:rsidRDefault="005141CD">
      <w:pPr>
        <w:pStyle w:val="a5"/>
        <w:widowControl/>
        <w:spacing w:before="240" w:beforeAutospacing="0" w:after="240" w:afterAutospacing="0" w:line="420" w:lineRule="atLeast"/>
        <w:jc w:val="both"/>
        <w:rPr>
          <w:b/>
          <w:szCs w:val="24"/>
        </w:rPr>
      </w:pPr>
      <w:r>
        <w:rPr>
          <w:b/>
          <w:szCs w:val="24"/>
        </w:rPr>
        <w:t xml:space="preserve">8 </w:t>
      </w:r>
      <w:r>
        <w:rPr>
          <w:b/>
          <w:szCs w:val="24"/>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8.1 全球产业链趋势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行业产业链简介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8.2.1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8.2.2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主要原料及供应情况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8.2.3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行业主要下游客户</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8.3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行业采购模式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8.4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行业生产模式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8.5 </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行业销售模式及销售渠道</w:t>
      </w:r>
    </w:p>
    <w:p w:rsidR="000B429F" w:rsidRDefault="005141CD">
      <w:pPr>
        <w:pStyle w:val="a5"/>
        <w:widowControl/>
        <w:spacing w:before="240" w:beforeAutospacing="0" w:after="240" w:afterAutospacing="0" w:line="420" w:lineRule="atLeast"/>
        <w:jc w:val="both"/>
        <w:rPr>
          <w:b/>
          <w:szCs w:val="24"/>
        </w:rPr>
      </w:pPr>
      <w:r>
        <w:rPr>
          <w:b/>
          <w:szCs w:val="24"/>
        </w:rPr>
        <w:t xml:space="preserve">9 </w:t>
      </w:r>
      <w:r>
        <w:rPr>
          <w:b/>
          <w:szCs w:val="24"/>
        </w:rPr>
        <w:t>全球市场主要</w:t>
      </w:r>
      <w:r w:rsidR="00AD06B5">
        <w:rPr>
          <w:rFonts w:hint="eastAsia"/>
          <w:b/>
          <w:szCs w:val="24"/>
        </w:rPr>
        <w:t>堆肥式厕所</w:t>
      </w:r>
      <w:r>
        <w:rPr>
          <w:b/>
          <w:szCs w:val="24"/>
        </w:rPr>
        <w:t>厂商简介</w:t>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Pr="00743420">
        <w:rPr>
          <w:rFonts w:ascii="Helvetica" w:hAnsi="Helvetica" w:cs="Helvetic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企业一公司信息、</w:t>
      </w:r>
      <w:r w:rsidR="00AD06B5">
        <w:rPr>
          <w:rFonts w:ascii="Helvetica" w:hAnsi="Helvetica" w:cs="Helvetica" w:hint="eastAsia"/>
          <w:color w:val="333333"/>
          <w:sz w:val="19"/>
          <w:szCs w:val="19"/>
        </w:rPr>
        <w:t>堆肥式厕所</w:t>
      </w:r>
      <w:r w:rsidRPr="00743420">
        <w:rPr>
          <w:rFonts w:ascii="Helvetica" w:hAnsi="Helvetica" w:cs="Helvetica" w:hint="eastAsia"/>
          <w:color w:val="333333"/>
          <w:sz w:val="19"/>
          <w:szCs w:val="19"/>
        </w:rPr>
        <w:t>生产基地、销售区域、竞争对手及市场地位</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AD06B5">
        <w:rPr>
          <w:rFonts w:ascii="Helvetica" w:hAnsi="Helvetica" w:cs="Helvetica" w:hint="eastAsia"/>
          <w:color w:val="333333"/>
          <w:sz w:val="19"/>
          <w:szCs w:val="19"/>
        </w:rPr>
        <w:t>堆肥式厕所</w:t>
      </w:r>
      <w:r w:rsidRPr="00743420">
        <w:rPr>
          <w:rFonts w:ascii="Helvetica" w:hAnsi="Helvetica" w:cs="Helvetica" w:hint="eastAsia"/>
          <w:color w:val="333333"/>
          <w:sz w:val="19"/>
          <w:szCs w:val="19"/>
        </w:rPr>
        <w:t>产品规格、参数及市场应用</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AD06B5">
        <w:rPr>
          <w:rFonts w:ascii="Helvetica" w:hAnsi="Helvetica" w:cs="Helvetica" w:hint="eastAsia"/>
          <w:color w:val="333333"/>
          <w:sz w:val="19"/>
          <w:szCs w:val="19"/>
        </w:rPr>
        <w:t>堆肥式厕所</w:t>
      </w:r>
      <w:r w:rsidRPr="00743420">
        <w:rPr>
          <w:rFonts w:ascii="Helvetica" w:hAnsi="Helvetica" w:cs="Helvetica" w:hint="eastAsia"/>
          <w:color w:val="333333"/>
          <w:sz w:val="19"/>
          <w:szCs w:val="19"/>
        </w:rPr>
        <w:t>销量、收入、价格及毛利率（</w:t>
      </w:r>
      <w:r w:rsidRPr="00743420">
        <w:rPr>
          <w:rFonts w:ascii="Helvetica" w:hAnsi="Helvetica" w:cs="Helvetica" w:hint="eastAsia"/>
          <w:color w:val="333333"/>
          <w:sz w:val="19"/>
          <w:szCs w:val="19"/>
        </w:rPr>
        <w:t>2019-2024</w:t>
      </w:r>
      <w:r w:rsidRPr="00743420">
        <w:rPr>
          <w:rFonts w:ascii="Helvetica" w:hAnsi="Helvetica" w:cs="Helvetica" w:hint="eastAsia"/>
          <w:color w:val="333333"/>
          <w:sz w:val="19"/>
          <w:szCs w:val="19"/>
        </w:rPr>
        <w:t>）</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企业一公司简介及主要业务</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企业一企业最新动态</w:t>
      </w:r>
      <w:r w:rsidRPr="00743420">
        <w:rPr>
          <w:rFonts w:ascii="Helvetica" w:hAnsi="Helvetica" w:cs="Helvetica" w:hint="eastAsia"/>
          <w:color w:val="333333"/>
          <w:sz w:val="19"/>
          <w:szCs w:val="19"/>
        </w:rPr>
        <w:tab/>
      </w:r>
    </w:p>
    <w:p w:rsidR="000B429F" w:rsidRDefault="005141CD">
      <w:pPr>
        <w:pStyle w:val="a5"/>
        <w:widowControl/>
        <w:spacing w:before="240" w:beforeAutospacing="0" w:after="240" w:afterAutospacing="0" w:line="420" w:lineRule="atLeast"/>
        <w:jc w:val="both"/>
        <w:rPr>
          <w:b/>
          <w:szCs w:val="24"/>
        </w:rPr>
      </w:pPr>
      <w:r>
        <w:rPr>
          <w:b/>
          <w:szCs w:val="24"/>
        </w:rPr>
        <w:t xml:space="preserve">10 </w:t>
      </w:r>
      <w:r>
        <w:rPr>
          <w:b/>
          <w:szCs w:val="24"/>
        </w:rPr>
        <w:t>中国市场</w:t>
      </w:r>
      <w:r w:rsidR="00AD06B5">
        <w:rPr>
          <w:rFonts w:hint="eastAsia"/>
          <w:b/>
          <w:szCs w:val="24"/>
        </w:rPr>
        <w:t>堆肥式厕所</w:t>
      </w:r>
      <w:r>
        <w:rPr>
          <w:b/>
          <w:szCs w:val="24"/>
        </w:rPr>
        <w:t>产量、销量、进出口分析及未来趋势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10.1 中国市场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产量、销量、进出口分析及未来趋势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10.2 中国市场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进出口贸易趋势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10.3 中国市场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主要进口来源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10.4 中国市场</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主要出口目的地</w:t>
      </w:r>
    </w:p>
    <w:p w:rsidR="000B429F" w:rsidRDefault="005141CD">
      <w:pPr>
        <w:pStyle w:val="a5"/>
        <w:widowControl/>
        <w:spacing w:before="240" w:beforeAutospacing="0" w:after="240" w:afterAutospacing="0" w:line="420" w:lineRule="atLeast"/>
        <w:jc w:val="both"/>
        <w:rPr>
          <w:b/>
          <w:szCs w:val="24"/>
        </w:rPr>
      </w:pPr>
      <w:r>
        <w:rPr>
          <w:b/>
          <w:szCs w:val="24"/>
        </w:rPr>
        <w:t xml:space="preserve">11 </w:t>
      </w:r>
      <w:r>
        <w:rPr>
          <w:b/>
          <w:szCs w:val="24"/>
        </w:rPr>
        <w:t>中国市场</w:t>
      </w:r>
      <w:r w:rsidR="00AD06B5">
        <w:rPr>
          <w:rFonts w:hint="eastAsia"/>
          <w:b/>
          <w:szCs w:val="24"/>
        </w:rPr>
        <w:t>堆肥式厕所</w:t>
      </w:r>
      <w:r>
        <w:rPr>
          <w:b/>
          <w:szCs w:val="24"/>
        </w:rPr>
        <w:t>主要地区分布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11.1 中国</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生产地区分布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11.2 中国</w:t>
      </w:r>
      <w:r w:rsidR="00AD06B5">
        <w:rPr>
          <w:rFonts w:ascii="Helvetica" w:eastAsia="宋体" w:hAnsi="Helvetica" w:cs="Helvetica" w:hint="eastAsia"/>
          <w:color w:val="333333"/>
          <w:sz w:val="19"/>
          <w:szCs w:val="19"/>
        </w:rPr>
        <w:t>堆肥式厕所</w:t>
      </w:r>
      <w:r>
        <w:rPr>
          <w:rFonts w:ascii="Helvetica" w:eastAsia="Helvetica" w:hAnsi="Helvetica" w:cs="Helvetica"/>
          <w:color w:val="333333"/>
          <w:sz w:val="19"/>
          <w:szCs w:val="19"/>
        </w:rPr>
        <w:t>消费地区分布</w:t>
      </w:r>
    </w:p>
    <w:p w:rsidR="000B429F" w:rsidRDefault="005141CD">
      <w:pPr>
        <w:rPr>
          <w:b/>
        </w:rPr>
      </w:pPr>
      <w:r>
        <w:rPr>
          <w:rFonts w:hint="eastAsia"/>
          <w:b/>
        </w:rPr>
        <w:t>▲资料来源：辰宇信息咨询整理，更多资料请参考辰宇信息咨询发布的《全球及中国</w:t>
      </w:r>
      <w:r w:rsidR="00AD06B5">
        <w:rPr>
          <w:rFonts w:hint="eastAsia"/>
          <w:b/>
          <w:bCs/>
        </w:rPr>
        <w:t>堆肥式厕所</w:t>
      </w:r>
      <w:r>
        <w:rPr>
          <w:rFonts w:hint="eastAsia"/>
          <w:b/>
        </w:rPr>
        <w:t>行业研究及十</w:t>
      </w:r>
      <w:r w:rsidR="004857F7">
        <w:rPr>
          <w:rFonts w:hint="eastAsia"/>
          <w:b/>
        </w:rPr>
        <w:t>五</w:t>
      </w:r>
      <w:r>
        <w:rPr>
          <w:rFonts w:hint="eastAsia"/>
          <w:b/>
        </w:rPr>
        <w:t>五规划分析报告》</w:t>
      </w:r>
    </w:p>
    <w:p w:rsidR="000B429F" w:rsidRDefault="005141CD">
      <w:r>
        <w:rPr>
          <w:rFonts w:hint="eastAsia"/>
        </w:rPr>
        <w:t>同时，辰宇信息咨询专注于全球和中国细分市场研究，在化工材料、机械设备、医疗设备及耗材、电子半导体、软件、包装、网络及通信、汽</w:t>
      </w:r>
      <w:r w:rsidR="00B455B6">
        <w:rPr>
          <w:rFonts w:hint="eastAsia"/>
        </w:rPr>
        <w:t>车交通、医疗护理、原料药品及保健品等领域具有丰富的市场调研经验，提供专业市场调研报告、</w:t>
      </w:r>
      <w:r w:rsidR="00B455B6">
        <w:t>制造业单项冠军申请和</w:t>
      </w:r>
      <w:r w:rsidR="008D317A">
        <w:rPr>
          <w:rFonts w:hint="eastAsia"/>
        </w:rPr>
        <w:t>专精</w:t>
      </w:r>
      <w:r w:rsidR="00B455B6">
        <w:t>特新</w:t>
      </w:r>
      <w:r w:rsidR="00B455B6">
        <w:t>“</w:t>
      </w:r>
      <w:r w:rsidR="00B455B6">
        <w:t>小巨人</w:t>
      </w:r>
      <w:r w:rsidR="00B455B6">
        <w:t>”</w:t>
      </w:r>
      <w:r w:rsidR="00B455B6">
        <w:t>申请</w:t>
      </w:r>
      <w:r w:rsidR="00B455B6">
        <w:rPr>
          <w:rFonts w:hint="eastAsia"/>
        </w:rPr>
        <w:t>市占率等服务。</w:t>
      </w:r>
    </w:p>
    <w:sectPr w:rsidR="000B429F" w:rsidSect="000B42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5DB5" w:rsidRDefault="00D15DB5" w:rsidP="00316DFB">
      <w:r>
        <w:separator/>
      </w:r>
    </w:p>
  </w:endnote>
  <w:endnote w:type="continuationSeparator" w:id="0">
    <w:p w:rsidR="00D15DB5" w:rsidRDefault="00D15DB5" w:rsidP="00316D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icrosoft YaHei UI">
    <w:altName w:val="微软雅黑"/>
    <w:charset w:val="86"/>
    <w:family w:val="swiss"/>
    <w:pitch w:val="variable"/>
    <w:sig w:usb0="00000000" w:usb1="28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5DB5" w:rsidRDefault="00D15DB5" w:rsidP="00316DFB">
      <w:r>
        <w:separator/>
      </w:r>
    </w:p>
  </w:footnote>
  <w:footnote w:type="continuationSeparator" w:id="0">
    <w:p w:rsidR="00D15DB5" w:rsidRDefault="00D15DB5" w:rsidP="00316D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savePreviewPicture/>
  <w:hdrShapeDefaults>
    <o:shapedefaults v:ext="edit" spidmax="5222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07E76"/>
    <w:rsid w:val="00013678"/>
    <w:rsid w:val="00036AFB"/>
    <w:rsid w:val="000714FC"/>
    <w:rsid w:val="00090EF7"/>
    <w:rsid w:val="000B429F"/>
    <w:rsid w:val="000B7EC1"/>
    <w:rsid w:val="000D0E8B"/>
    <w:rsid w:val="000E00F4"/>
    <w:rsid w:val="000F5347"/>
    <w:rsid w:val="001162CA"/>
    <w:rsid w:val="00160D57"/>
    <w:rsid w:val="0016528F"/>
    <w:rsid w:val="00174AFE"/>
    <w:rsid w:val="00177BC6"/>
    <w:rsid w:val="001830D9"/>
    <w:rsid w:val="00191133"/>
    <w:rsid w:val="00194515"/>
    <w:rsid w:val="001A1682"/>
    <w:rsid w:val="002C4FB4"/>
    <w:rsid w:val="002D1BF8"/>
    <w:rsid w:val="002D3366"/>
    <w:rsid w:val="002D6458"/>
    <w:rsid w:val="002E60F0"/>
    <w:rsid w:val="002F2AAF"/>
    <w:rsid w:val="00316DFB"/>
    <w:rsid w:val="00362568"/>
    <w:rsid w:val="00362F48"/>
    <w:rsid w:val="0037039B"/>
    <w:rsid w:val="00387ABE"/>
    <w:rsid w:val="003C713C"/>
    <w:rsid w:val="003D1808"/>
    <w:rsid w:val="003D4BE0"/>
    <w:rsid w:val="003E5578"/>
    <w:rsid w:val="003F1699"/>
    <w:rsid w:val="003F2E19"/>
    <w:rsid w:val="003F6501"/>
    <w:rsid w:val="004225AE"/>
    <w:rsid w:val="00430D2E"/>
    <w:rsid w:val="00445880"/>
    <w:rsid w:val="00480A5B"/>
    <w:rsid w:val="00483C79"/>
    <w:rsid w:val="004857F7"/>
    <w:rsid w:val="004A1559"/>
    <w:rsid w:val="004A331F"/>
    <w:rsid w:val="004B3FBE"/>
    <w:rsid w:val="004C323A"/>
    <w:rsid w:val="004C4E46"/>
    <w:rsid w:val="0051395F"/>
    <w:rsid w:val="005141CD"/>
    <w:rsid w:val="0052551C"/>
    <w:rsid w:val="00534C26"/>
    <w:rsid w:val="005355E8"/>
    <w:rsid w:val="00545B2D"/>
    <w:rsid w:val="00552B35"/>
    <w:rsid w:val="0056202C"/>
    <w:rsid w:val="00587118"/>
    <w:rsid w:val="005922F6"/>
    <w:rsid w:val="005B38CC"/>
    <w:rsid w:val="005C0C1E"/>
    <w:rsid w:val="006056B3"/>
    <w:rsid w:val="0061565F"/>
    <w:rsid w:val="0062774F"/>
    <w:rsid w:val="00630A86"/>
    <w:rsid w:val="00633577"/>
    <w:rsid w:val="00634D87"/>
    <w:rsid w:val="00651252"/>
    <w:rsid w:val="006B3636"/>
    <w:rsid w:val="007344C5"/>
    <w:rsid w:val="00740748"/>
    <w:rsid w:val="00743420"/>
    <w:rsid w:val="00744ADC"/>
    <w:rsid w:val="00786892"/>
    <w:rsid w:val="007C0E2C"/>
    <w:rsid w:val="007D56AB"/>
    <w:rsid w:val="008027E1"/>
    <w:rsid w:val="00812D7C"/>
    <w:rsid w:val="008353CE"/>
    <w:rsid w:val="00837CF8"/>
    <w:rsid w:val="00840EBE"/>
    <w:rsid w:val="008544C7"/>
    <w:rsid w:val="008B1449"/>
    <w:rsid w:val="008C0F49"/>
    <w:rsid w:val="008D0545"/>
    <w:rsid w:val="008D317A"/>
    <w:rsid w:val="008D5FAC"/>
    <w:rsid w:val="00900DF9"/>
    <w:rsid w:val="0091483E"/>
    <w:rsid w:val="00923974"/>
    <w:rsid w:val="00931034"/>
    <w:rsid w:val="00963D43"/>
    <w:rsid w:val="009E2232"/>
    <w:rsid w:val="009F136B"/>
    <w:rsid w:val="00A10920"/>
    <w:rsid w:val="00A11CE2"/>
    <w:rsid w:val="00A13F17"/>
    <w:rsid w:val="00A478C6"/>
    <w:rsid w:val="00A5074D"/>
    <w:rsid w:val="00A95EBA"/>
    <w:rsid w:val="00AB2C53"/>
    <w:rsid w:val="00AD0261"/>
    <w:rsid w:val="00AD06B5"/>
    <w:rsid w:val="00AD1F63"/>
    <w:rsid w:val="00AE0C5E"/>
    <w:rsid w:val="00AE6CB4"/>
    <w:rsid w:val="00B15258"/>
    <w:rsid w:val="00B4219C"/>
    <w:rsid w:val="00B455B6"/>
    <w:rsid w:val="00B54BBD"/>
    <w:rsid w:val="00B65DB9"/>
    <w:rsid w:val="00C00D08"/>
    <w:rsid w:val="00C22187"/>
    <w:rsid w:val="00C72CCF"/>
    <w:rsid w:val="00C90B8B"/>
    <w:rsid w:val="00C9275B"/>
    <w:rsid w:val="00CC5F77"/>
    <w:rsid w:val="00CE23FD"/>
    <w:rsid w:val="00CF0C62"/>
    <w:rsid w:val="00CF6406"/>
    <w:rsid w:val="00D01E35"/>
    <w:rsid w:val="00D10A06"/>
    <w:rsid w:val="00D15DB5"/>
    <w:rsid w:val="00D47BB5"/>
    <w:rsid w:val="00D64AF2"/>
    <w:rsid w:val="00DA4F05"/>
    <w:rsid w:val="00DD0D9D"/>
    <w:rsid w:val="00DD5376"/>
    <w:rsid w:val="00DD73E8"/>
    <w:rsid w:val="00DD77D9"/>
    <w:rsid w:val="00E044D3"/>
    <w:rsid w:val="00E208EA"/>
    <w:rsid w:val="00E47E30"/>
    <w:rsid w:val="00E775C0"/>
    <w:rsid w:val="00ED4A22"/>
    <w:rsid w:val="00EE1515"/>
    <w:rsid w:val="00F31D3E"/>
    <w:rsid w:val="00F56791"/>
    <w:rsid w:val="00F631A3"/>
    <w:rsid w:val="00F64054"/>
    <w:rsid w:val="00F82B62"/>
    <w:rsid w:val="00F87090"/>
    <w:rsid w:val="00FF1B4D"/>
    <w:rsid w:val="00FF201B"/>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29F"/>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0B429F"/>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316D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B429F"/>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B429F"/>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0B429F"/>
    <w:pPr>
      <w:spacing w:beforeAutospacing="1" w:afterAutospacing="1"/>
      <w:jc w:val="left"/>
    </w:pPr>
    <w:rPr>
      <w:rFonts w:cs="Times New Roman"/>
      <w:kern w:val="0"/>
      <w:sz w:val="24"/>
    </w:rPr>
  </w:style>
  <w:style w:type="character" w:styleId="a6">
    <w:name w:val="Hyperlink"/>
    <w:basedOn w:val="a0"/>
    <w:uiPriority w:val="99"/>
    <w:unhideWhenUsed/>
    <w:qFormat/>
    <w:rsid w:val="000B429F"/>
    <w:rPr>
      <w:color w:val="0000FF" w:themeColor="hyperlink"/>
      <w:u w:val="single"/>
    </w:rPr>
  </w:style>
  <w:style w:type="character" w:customStyle="1" w:styleId="Char0">
    <w:name w:val="页眉 Char"/>
    <w:basedOn w:val="a0"/>
    <w:link w:val="a4"/>
    <w:uiPriority w:val="99"/>
    <w:semiHidden/>
    <w:qFormat/>
    <w:rsid w:val="000B429F"/>
    <w:rPr>
      <w:sz w:val="18"/>
      <w:szCs w:val="18"/>
    </w:rPr>
  </w:style>
  <w:style w:type="character" w:customStyle="1" w:styleId="Char">
    <w:name w:val="页脚 Char"/>
    <w:basedOn w:val="a0"/>
    <w:link w:val="a3"/>
    <w:uiPriority w:val="99"/>
    <w:semiHidden/>
    <w:qFormat/>
    <w:rsid w:val="000B429F"/>
    <w:rPr>
      <w:sz w:val="18"/>
      <w:szCs w:val="18"/>
    </w:rPr>
  </w:style>
  <w:style w:type="character" w:customStyle="1" w:styleId="2Char">
    <w:name w:val="标题 2 Char"/>
    <w:basedOn w:val="a0"/>
    <w:link w:val="2"/>
    <w:uiPriority w:val="9"/>
    <w:semiHidden/>
    <w:rsid w:val="00316DFB"/>
    <w:rPr>
      <w:rFonts w:asciiTheme="majorHAnsi" w:eastAsiaTheme="majorEastAsia" w:hAnsiTheme="majorHAnsi" w:cstheme="majorBidi"/>
      <w:b/>
      <w:bCs/>
      <w:kern w:val="2"/>
      <w:sz w:val="32"/>
      <w:szCs w:val="32"/>
    </w:rPr>
  </w:style>
  <w:style w:type="paragraph" w:styleId="HTML">
    <w:name w:val="HTML Preformatted"/>
    <w:basedOn w:val="a"/>
    <w:link w:val="HTMLChar"/>
    <w:uiPriority w:val="99"/>
    <w:semiHidden/>
    <w:unhideWhenUsed/>
    <w:rsid w:val="00362F48"/>
    <w:rPr>
      <w:rFonts w:ascii="Courier New" w:hAnsi="Courier New" w:cs="Courier New"/>
      <w:sz w:val="20"/>
      <w:szCs w:val="20"/>
    </w:rPr>
  </w:style>
  <w:style w:type="character" w:customStyle="1" w:styleId="HTMLChar">
    <w:name w:val="HTML 预设格式 Char"/>
    <w:basedOn w:val="a0"/>
    <w:link w:val="HTML"/>
    <w:uiPriority w:val="99"/>
    <w:semiHidden/>
    <w:rsid w:val="00362F48"/>
    <w:rPr>
      <w:rFonts w:ascii="Courier New" w:eastAsiaTheme="minorEastAsia" w:hAnsi="Courier New" w:cs="Courier New"/>
      <w:kern w:val="2"/>
    </w:rPr>
  </w:style>
</w:styles>
</file>

<file path=word/webSettings.xml><?xml version="1.0" encoding="utf-8"?>
<w:webSettings xmlns:r="http://schemas.openxmlformats.org/officeDocument/2006/relationships" xmlns:w="http://schemas.openxmlformats.org/wordprocessingml/2006/main">
  <w:divs>
    <w:div w:id="31271427">
      <w:bodyDiv w:val="1"/>
      <w:marLeft w:val="0"/>
      <w:marRight w:val="0"/>
      <w:marTop w:val="0"/>
      <w:marBottom w:val="0"/>
      <w:divBdr>
        <w:top w:val="none" w:sz="0" w:space="0" w:color="auto"/>
        <w:left w:val="none" w:sz="0" w:space="0" w:color="auto"/>
        <w:bottom w:val="none" w:sz="0" w:space="0" w:color="auto"/>
        <w:right w:val="none" w:sz="0" w:space="0" w:color="auto"/>
      </w:divBdr>
    </w:div>
    <w:div w:id="135222312">
      <w:bodyDiv w:val="1"/>
      <w:marLeft w:val="0"/>
      <w:marRight w:val="0"/>
      <w:marTop w:val="0"/>
      <w:marBottom w:val="0"/>
      <w:divBdr>
        <w:top w:val="none" w:sz="0" w:space="0" w:color="auto"/>
        <w:left w:val="none" w:sz="0" w:space="0" w:color="auto"/>
        <w:bottom w:val="none" w:sz="0" w:space="0" w:color="auto"/>
        <w:right w:val="none" w:sz="0" w:space="0" w:color="auto"/>
      </w:divBdr>
    </w:div>
    <w:div w:id="337928688">
      <w:bodyDiv w:val="1"/>
      <w:marLeft w:val="0"/>
      <w:marRight w:val="0"/>
      <w:marTop w:val="0"/>
      <w:marBottom w:val="0"/>
      <w:divBdr>
        <w:top w:val="none" w:sz="0" w:space="0" w:color="auto"/>
        <w:left w:val="none" w:sz="0" w:space="0" w:color="auto"/>
        <w:bottom w:val="none" w:sz="0" w:space="0" w:color="auto"/>
        <w:right w:val="none" w:sz="0" w:space="0" w:color="auto"/>
      </w:divBdr>
    </w:div>
    <w:div w:id="432677022">
      <w:bodyDiv w:val="1"/>
      <w:marLeft w:val="0"/>
      <w:marRight w:val="0"/>
      <w:marTop w:val="0"/>
      <w:marBottom w:val="0"/>
      <w:divBdr>
        <w:top w:val="none" w:sz="0" w:space="0" w:color="auto"/>
        <w:left w:val="none" w:sz="0" w:space="0" w:color="auto"/>
        <w:bottom w:val="none" w:sz="0" w:space="0" w:color="auto"/>
        <w:right w:val="none" w:sz="0" w:space="0" w:color="auto"/>
      </w:divBdr>
    </w:div>
    <w:div w:id="523445597">
      <w:bodyDiv w:val="1"/>
      <w:marLeft w:val="0"/>
      <w:marRight w:val="0"/>
      <w:marTop w:val="0"/>
      <w:marBottom w:val="0"/>
      <w:divBdr>
        <w:top w:val="none" w:sz="0" w:space="0" w:color="auto"/>
        <w:left w:val="none" w:sz="0" w:space="0" w:color="auto"/>
        <w:bottom w:val="none" w:sz="0" w:space="0" w:color="auto"/>
        <w:right w:val="none" w:sz="0" w:space="0" w:color="auto"/>
      </w:divBdr>
    </w:div>
    <w:div w:id="567110625">
      <w:bodyDiv w:val="1"/>
      <w:marLeft w:val="0"/>
      <w:marRight w:val="0"/>
      <w:marTop w:val="0"/>
      <w:marBottom w:val="0"/>
      <w:divBdr>
        <w:top w:val="none" w:sz="0" w:space="0" w:color="auto"/>
        <w:left w:val="none" w:sz="0" w:space="0" w:color="auto"/>
        <w:bottom w:val="none" w:sz="0" w:space="0" w:color="auto"/>
        <w:right w:val="none" w:sz="0" w:space="0" w:color="auto"/>
      </w:divBdr>
    </w:div>
    <w:div w:id="595787820">
      <w:bodyDiv w:val="1"/>
      <w:marLeft w:val="0"/>
      <w:marRight w:val="0"/>
      <w:marTop w:val="0"/>
      <w:marBottom w:val="0"/>
      <w:divBdr>
        <w:top w:val="none" w:sz="0" w:space="0" w:color="auto"/>
        <w:left w:val="none" w:sz="0" w:space="0" w:color="auto"/>
        <w:bottom w:val="none" w:sz="0" w:space="0" w:color="auto"/>
        <w:right w:val="none" w:sz="0" w:space="0" w:color="auto"/>
      </w:divBdr>
    </w:div>
    <w:div w:id="853685471">
      <w:bodyDiv w:val="1"/>
      <w:marLeft w:val="0"/>
      <w:marRight w:val="0"/>
      <w:marTop w:val="0"/>
      <w:marBottom w:val="0"/>
      <w:divBdr>
        <w:top w:val="none" w:sz="0" w:space="0" w:color="auto"/>
        <w:left w:val="none" w:sz="0" w:space="0" w:color="auto"/>
        <w:bottom w:val="none" w:sz="0" w:space="0" w:color="auto"/>
        <w:right w:val="none" w:sz="0" w:space="0" w:color="auto"/>
      </w:divBdr>
    </w:div>
    <w:div w:id="1222522047">
      <w:bodyDiv w:val="1"/>
      <w:marLeft w:val="0"/>
      <w:marRight w:val="0"/>
      <w:marTop w:val="0"/>
      <w:marBottom w:val="0"/>
      <w:divBdr>
        <w:top w:val="none" w:sz="0" w:space="0" w:color="auto"/>
        <w:left w:val="none" w:sz="0" w:space="0" w:color="auto"/>
        <w:bottom w:val="none" w:sz="0" w:space="0" w:color="auto"/>
        <w:right w:val="none" w:sz="0" w:space="0" w:color="auto"/>
      </w:divBdr>
    </w:div>
    <w:div w:id="1739355682">
      <w:bodyDiv w:val="1"/>
      <w:marLeft w:val="0"/>
      <w:marRight w:val="0"/>
      <w:marTop w:val="0"/>
      <w:marBottom w:val="0"/>
      <w:divBdr>
        <w:top w:val="none" w:sz="0" w:space="0" w:color="auto"/>
        <w:left w:val="none" w:sz="0" w:space="0" w:color="auto"/>
        <w:bottom w:val="none" w:sz="0" w:space="0" w:color="auto"/>
        <w:right w:val="none" w:sz="0" w:space="0" w:color="auto"/>
      </w:divBdr>
    </w:div>
    <w:div w:id="1774086678">
      <w:bodyDiv w:val="1"/>
      <w:marLeft w:val="0"/>
      <w:marRight w:val="0"/>
      <w:marTop w:val="0"/>
      <w:marBottom w:val="0"/>
      <w:divBdr>
        <w:top w:val="none" w:sz="0" w:space="0" w:color="auto"/>
        <w:left w:val="none" w:sz="0" w:space="0" w:color="auto"/>
        <w:bottom w:val="none" w:sz="0" w:space="0" w:color="auto"/>
        <w:right w:val="none" w:sz="0" w:space="0" w:color="auto"/>
      </w:divBdr>
    </w:div>
    <w:div w:id="1783185811">
      <w:bodyDiv w:val="1"/>
      <w:marLeft w:val="0"/>
      <w:marRight w:val="0"/>
      <w:marTop w:val="0"/>
      <w:marBottom w:val="0"/>
      <w:divBdr>
        <w:top w:val="none" w:sz="0" w:space="0" w:color="auto"/>
        <w:left w:val="none" w:sz="0" w:space="0" w:color="auto"/>
        <w:bottom w:val="none" w:sz="0" w:space="0" w:color="auto"/>
        <w:right w:val="none" w:sz="0" w:space="0" w:color="auto"/>
      </w:divBdr>
    </w:div>
    <w:div w:id="1806855164">
      <w:bodyDiv w:val="1"/>
      <w:marLeft w:val="0"/>
      <w:marRight w:val="0"/>
      <w:marTop w:val="0"/>
      <w:marBottom w:val="0"/>
      <w:divBdr>
        <w:top w:val="none" w:sz="0" w:space="0" w:color="auto"/>
        <w:left w:val="none" w:sz="0" w:space="0" w:color="auto"/>
        <w:bottom w:val="none" w:sz="0" w:space="0" w:color="auto"/>
        <w:right w:val="none" w:sz="0" w:space="0" w:color="auto"/>
      </w:divBdr>
    </w:div>
    <w:div w:id="21046412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Pages>
  <Words>941</Words>
  <Characters>5367</Characters>
  <Application>Microsoft Office Word</Application>
  <DocSecurity>0</DocSecurity>
  <Lines>44</Lines>
  <Paragraphs>12</Paragraphs>
  <ScaleCrop>false</ScaleCrop>
  <Company>Microsoft</Company>
  <LinksUpToDate>false</LinksUpToDate>
  <CharactersWithSpaces>6296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dcterms:created xsi:type="dcterms:W3CDTF">2024-05-07T07:07:00Z</dcterms:created>
  <dcterms:modified xsi:type="dcterms:W3CDTF">2024-05-07T07:07:00Z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