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15818939"/>
      <w:bookmarkStart w:id="2" w:name="OLE_LINK13"/>
      <w:bookmarkStart w:id="3" w:name="_Toc418070112"/>
      <w:bookmarkStart w:id="4" w:name="_Toc453597319"/>
      <w:bookmarkStart w:id="5" w:name="_Toc481801204"/>
      <w:bookmarkStart w:id="6" w:name="_Toc438987549"/>
      <w:bookmarkStart w:id="7" w:name="OLE_LINK15"/>
      <w:bookmarkStart w:id="8" w:name="_Toc415142861"/>
      <w:bookmarkStart w:id="9" w:name="_Toc415143481"/>
      <w:bookmarkStart w:id="10" w:name="OLE_LINK40"/>
      <w:bookmarkStart w:id="11" w:name="OLE_LINK39"/>
      <w:bookmarkStart w:id="12" w:name="OLE_LINK24"/>
      <w:r>
        <w:rPr>
          <w:lang w:eastAsia="zh-CN"/>
        </w:rPr>
        <w:t>屈大麻酚</w:t>
      </w:r>
      <w:r>
        <w:rPr>
          <w:rFonts w:hint="eastAsia"/>
          <w:lang w:eastAsia="zh-CN"/>
        </w:rPr>
        <w:t>全球市场总体规模</w:t>
      </w:r>
    </w:p>
    <w:p>
      <w:pPr>
        <w:pStyle w:val="145"/>
        <w:rPr>
          <w:lang w:eastAsia="zh-CN"/>
        </w:rPr>
      </w:pPr>
    </w:p>
    <w:p>
      <w:pPr>
        <w:pStyle w:val="145"/>
        <w:rPr>
          <w:lang w:eastAsia="zh-CN"/>
        </w:rPr>
      </w:pPr>
      <w:r>
        <w:rPr>
          <w:rFonts w:hint="eastAsia"/>
          <w:lang w:eastAsia="zh-CN"/>
        </w:rPr>
        <w:t>据QYResearch调研团队最新报告“全球屈大麻酚市场报告2023-2029”显示，预计2029年全球屈大麻酚市场规模将达到2.2亿美元，未来几年年复合增长率CAGR为4.5%。</w:t>
      </w:r>
    </w:p>
    <w:p>
      <w:pPr>
        <w:pStyle w:val="148"/>
      </w:pPr>
      <w:r>
        <w:t>屈大麻酚</w:t>
      </w:r>
      <w:r>
        <w:rPr>
          <w:rFonts w:hint="eastAsia"/>
          <w:lang w:eastAsia="zh-CN"/>
        </w:rPr>
        <w:t>，全球市场总体规模，预计2</w:t>
      </w:r>
      <w:r>
        <w:rPr>
          <w:lang w:eastAsia="zh-CN"/>
        </w:rPr>
        <w:t>029</w:t>
      </w:r>
      <w:r>
        <w:rPr>
          <w:rFonts w:hint="eastAsia"/>
          <w:lang w:eastAsia="zh-CN"/>
        </w:rPr>
        <w:t>年达到</w:t>
      </w:r>
      <w:r>
        <w:rPr>
          <w:lang w:eastAsia="zh-CN"/>
        </w:rPr>
        <w:t>2.2</w:t>
      </w:r>
      <w:r>
        <w:rPr>
          <w:rFonts w:hint="eastAsia"/>
          <w:lang w:eastAsia="zh-CN"/>
        </w:rPr>
        <w:t>亿美元</w:t>
      </w:r>
    </w:p>
    <w:p>
      <w:pPr>
        <w:pStyle w:val="145"/>
      </w:pPr>
      <w:r>
        <w:drawing>
          <wp:inline distT="0" distB="0" distL="0" distR="0">
            <wp:extent cx="6188710" cy="2886710"/>
            <wp:effectExtent l="0" t="0" r="2540" b="889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pPr>
      <w:r>
        <w:rPr>
          <w:rFonts w:hint="eastAsia"/>
          <w:lang w:eastAsia="zh-CN"/>
        </w:rPr>
        <w:t>如上图表/数据，摘自QYResearch最新报告“</w:t>
      </w:r>
      <w:r>
        <w:rPr>
          <w:rFonts w:hint="eastAsia"/>
        </w:rPr>
        <w:t>全球</w:t>
      </w:r>
      <w:r>
        <w:t>屈大麻酚</w:t>
      </w:r>
      <w:r>
        <w:rPr>
          <w:rFonts w:hint="eastAsia"/>
        </w:rPr>
        <w:t>市场研究报告2023-2029</w:t>
      </w:r>
      <w:r>
        <w:t>.</w:t>
      </w:r>
    </w:p>
    <w:p>
      <w:pPr>
        <w:pStyle w:val="145"/>
      </w:pPr>
    </w:p>
    <w:p>
      <w:pPr>
        <w:pStyle w:val="148"/>
        <w:rPr>
          <w:lang w:eastAsia="zh-CN"/>
        </w:rPr>
      </w:pPr>
      <w:r>
        <w:rPr>
          <w:rFonts w:hint="eastAsia"/>
          <w:lang w:eastAsia="zh-CN"/>
        </w:rPr>
        <w:t>全球</w:t>
      </w:r>
      <w:r>
        <w:rPr>
          <w:lang w:eastAsia="zh-CN"/>
        </w:rPr>
        <w:t>屈大麻酚</w:t>
      </w:r>
      <w:r>
        <w:rPr>
          <w:rFonts w:hint="eastAsia"/>
          <w:lang w:eastAsia="zh-CN"/>
        </w:rPr>
        <w:t>市场前</w:t>
      </w:r>
      <w:r>
        <w:rPr>
          <w:lang w:eastAsia="zh-CN"/>
        </w:rPr>
        <w:t>9</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屈大麻酚</w:t>
      </w:r>
      <w:r>
        <w:rPr>
          <w:rFonts w:hint="eastAsia"/>
          <w:lang w:eastAsia="zh-CN"/>
        </w:rPr>
        <w:t>市场研究报告2023-2029中的2</w:t>
      </w:r>
      <w:r>
        <w:rPr>
          <w:lang w:eastAsia="zh-CN"/>
        </w:rPr>
        <w:t>021</w:t>
      </w:r>
      <w:r>
        <w:rPr>
          <w:rFonts w:hint="eastAsia"/>
          <w:lang w:eastAsia="zh-CN"/>
        </w:rPr>
        <w:t>年数据</w:t>
      </w:r>
      <w:r>
        <w:rPr>
          <w:lang w:eastAsia="zh-CN"/>
        </w:rPr>
        <w:t>.</w:t>
      </w:r>
    </w:p>
    <w:p>
      <w:pPr>
        <w:pStyle w:val="145"/>
      </w:pPr>
      <w:r>
        <w:rPr>
          <w:rFonts w:hint="eastAsia"/>
          <w:lang w:eastAsia="zh-CN"/>
        </w:rPr>
        <w:t>全球范围内屈大麻酚生产商主要包括Canopy Growth、Noramco、THC Pharm、Echo Pharmaceuticals、KinetoChem等。2021年，全球前四大厂商占有大约45.0%的市场份额。</w:t>
      </w: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bookmarkStart w:id="13" w:name="_GoBack"/>
      <w:r>
        <w:rPr>
          <w:rFonts w:hint="eastAsia"/>
          <w:lang w:eastAsia="zh-CN"/>
        </w:rPr>
        <w:t>2023年全球屈大麻酚行业总体规模</w:t>
      </w:r>
      <w:bookmarkEnd w:id="13"/>
      <w:r>
        <w:rPr>
          <w:rFonts w:hint="eastAsia"/>
          <w:lang w:eastAsia="zh-CN"/>
        </w:rPr>
        <w:t>、主要企业国内外市场占有率及排名</w:t>
      </w:r>
    </w:p>
    <w:p>
      <w:pPr>
        <w:pStyle w:val="145"/>
        <w:rPr>
          <w:rFonts w:hint="eastAsia"/>
          <w:lang w:eastAsia="zh-CN"/>
        </w:rPr>
      </w:pPr>
      <w:r>
        <w:rPr>
          <w:rFonts w:hint="eastAsia"/>
          <w:lang w:eastAsia="zh-CN"/>
        </w:rPr>
        <w:t>本文侧重研究全球屈大麻酚总体规模及主要厂商占有率和排名，主要统计指标包括屈大麻酚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Canopy Growth</w:t>
      </w:r>
    </w:p>
    <w:p>
      <w:pPr>
        <w:pStyle w:val="145"/>
        <w:rPr>
          <w:rFonts w:hint="eastAsia"/>
          <w:lang w:eastAsia="zh-CN"/>
        </w:rPr>
      </w:pPr>
      <w:r>
        <w:rPr>
          <w:rFonts w:hint="eastAsia"/>
          <w:lang w:eastAsia="zh-CN"/>
        </w:rPr>
        <w:t xml:space="preserve">    Noramco</w:t>
      </w:r>
    </w:p>
    <w:p>
      <w:pPr>
        <w:pStyle w:val="145"/>
        <w:rPr>
          <w:rFonts w:hint="eastAsia"/>
          <w:lang w:eastAsia="zh-CN"/>
        </w:rPr>
      </w:pPr>
      <w:r>
        <w:rPr>
          <w:rFonts w:hint="eastAsia"/>
          <w:lang w:eastAsia="zh-CN"/>
        </w:rPr>
        <w:t xml:space="preserve">    KinetoChem</w:t>
      </w:r>
    </w:p>
    <w:p>
      <w:pPr>
        <w:pStyle w:val="145"/>
        <w:rPr>
          <w:rFonts w:hint="eastAsia"/>
          <w:lang w:eastAsia="zh-CN"/>
        </w:rPr>
      </w:pPr>
      <w:r>
        <w:rPr>
          <w:rFonts w:hint="eastAsia"/>
          <w:lang w:eastAsia="zh-CN"/>
        </w:rPr>
        <w:t xml:space="preserve">    Entourage Phytolab</w:t>
      </w:r>
    </w:p>
    <w:p>
      <w:pPr>
        <w:pStyle w:val="145"/>
        <w:rPr>
          <w:rFonts w:hint="eastAsia"/>
          <w:lang w:eastAsia="zh-CN"/>
        </w:rPr>
      </w:pPr>
      <w:r>
        <w:rPr>
          <w:rFonts w:hint="eastAsia"/>
          <w:lang w:eastAsia="zh-CN"/>
        </w:rPr>
        <w:t xml:space="preserve">    THC Pharm</w:t>
      </w:r>
    </w:p>
    <w:p>
      <w:pPr>
        <w:pStyle w:val="145"/>
        <w:rPr>
          <w:rFonts w:hint="eastAsia"/>
          <w:lang w:eastAsia="zh-CN"/>
        </w:rPr>
      </w:pPr>
      <w:r>
        <w:rPr>
          <w:rFonts w:hint="eastAsia"/>
          <w:lang w:eastAsia="zh-CN"/>
        </w:rPr>
        <w:t xml:space="preserve">    Echo Pharmaceuticals</w:t>
      </w:r>
    </w:p>
    <w:p>
      <w:pPr>
        <w:pStyle w:val="145"/>
        <w:rPr>
          <w:rFonts w:hint="eastAsia"/>
          <w:lang w:eastAsia="zh-CN"/>
        </w:rPr>
      </w:pPr>
      <w:r>
        <w:rPr>
          <w:rFonts w:hint="eastAsia"/>
          <w:lang w:eastAsia="zh-CN"/>
        </w:rPr>
        <w:t xml:space="preserve">    BOL Pharma</w:t>
      </w:r>
    </w:p>
    <w:p>
      <w:pPr>
        <w:pStyle w:val="145"/>
        <w:rPr>
          <w:rFonts w:hint="eastAsia"/>
          <w:lang w:eastAsia="zh-CN"/>
        </w:rPr>
      </w:pPr>
      <w:r>
        <w:rPr>
          <w:rFonts w:hint="eastAsia"/>
          <w:lang w:eastAsia="zh-CN"/>
        </w:rPr>
        <w:t xml:space="preserve">    Aphios Corporation</w:t>
      </w:r>
    </w:p>
    <w:p>
      <w:pPr>
        <w:pStyle w:val="145"/>
        <w:rPr>
          <w:rFonts w:hint="eastAsia"/>
          <w:lang w:eastAsia="zh-CN"/>
        </w:rPr>
      </w:pPr>
      <w:r>
        <w:rPr>
          <w:rFonts w:hint="eastAsia"/>
          <w:lang w:eastAsia="zh-CN"/>
        </w:rPr>
        <w:t xml:space="preserve">    Benuvia Manufacturing</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合成屈大麻酚</w:t>
      </w:r>
    </w:p>
    <w:p>
      <w:pPr>
        <w:pStyle w:val="145"/>
        <w:rPr>
          <w:rFonts w:hint="eastAsia"/>
          <w:lang w:eastAsia="zh-CN"/>
        </w:rPr>
      </w:pPr>
      <w:r>
        <w:rPr>
          <w:rFonts w:hint="eastAsia"/>
          <w:lang w:eastAsia="zh-CN"/>
        </w:rPr>
        <w:t xml:space="preserve">    天然屈大麻酚</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胶囊</w:t>
      </w:r>
    </w:p>
    <w:p>
      <w:pPr>
        <w:pStyle w:val="145"/>
        <w:rPr>
          <w:rFonts w:hint="eastAsia"/>
          <w:lang w:eastAsia="zh-CN"/>
        </w:rPr>
      </w:pPr>
      <w:r>
        <w:rPr>
          <w:rFonts w:hint="eastAsia"/>
          <w:lang w:eastAsia="zh-CN"/>
        </w:rPr>
        <w:t xml:space="preserve">    口服液</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南美</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第4章：全球屈大麻酚主要地区分析，包括销量、销售收入等</w:t>
      </w:r>
    </w:p>
    <w:p>
      <w:pPr>
        <w:pStyle w:val="145"/>
        <w:rPr>
          <w:rFonts w:hint="eastAsia"/>
          <w:lang w:eastAsia="zh-CN"/>
        </w:rPr>
      </w:pPr>
      <w:r>
        <w:rPr>
          <w:rFonts w:hint="eastAsia"/>
          <w:lang w:eastAsia="zh-CN"/>
        </w:rPr>
        <w:t>第5章：全球屈大麻酚主要厂商基本情况介绍，包括公司简介、屈大麻酚产品型号、销量、收入、价格及最新动态等</w:t>
      </w:r>
    </w:p>
    <w:p>
      <w:pPr>
        <w:pStyle w:val="145"/>
        <w:rPr>
          <w:rFonts w:hint="eastAsia"/>
          <w:lang w:eastAsia="zh-CN"/>
        </w:rPr>
      </w:pPr>
      <w:r>
        <w:rPr>
          <w:rFonts w:hint="eastAsia"/>
          <w:lang w:eastAsia="zh-CN"/>
        </w:rPr>
        <w:t>第6章：全球不同产品类型屈大麻酚销量、收入、价格及份额等</w:t>
      </w:r>
    </w:p>
    <w:p>
      <w:pPr>
        <w:pStyle w:val="145"/>
        <w:rPr>
          <w:rFonts w:hint="eastAsia"/>
          <w:lang w:eastAsia="zh-CN"/>
        </w:rPr>
      </w:pPr>
      <w:r>
        <w:rPr>
          <w:rFonts w:hint="eastAsia"/>
          <w:lang w:eastAsia="zh-CN"/>
        </w:rPr>
        <w:t>第7章：全球不同应用屈大麻酚销量、收入、价格及份额等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E8"/>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524"/>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3ED0"/>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3B84"/>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0F85"/>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5C57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esktop\Dronabinol%20(CAS%201972-08-3)%20&#23624;&#22823;&#40635;&#37210;\&#35266;&#28857;&#25968;&#25454;&#22270;&#34920;&#27169;&#26495;-&#20840;&#29699;2023101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Dronabinol%20(CAS%201972-08-3)%20&#23624;&#22823;&#40635;&#37210;\&#35266;&#28857;&#25968;&#25454;&#22270;&#34920;&#27169;&#26495;-&#20840;&#29699;2023101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142.12</c:v>
                </c:pt>
                <c:pt idx="1">
                  <c:v>162.64</c:v>
                </c:pt>
                <c:pt idx="2">
                  <c:v>218.398111923953</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Lbls>
            <c:delete val="1"/>
          </c:dLbls>
          <c:cat>
            <c:strRef>
              <c:f>企业排序!$F$2:$F$25</c:f>
              <c:strCache>
                <c:ptCount val="9"/>
                <c:pt idx="0">
                  <c:v>Entourage Phytolab</c:v>
                </c:pt>
                <c:pt idx="1">
                  <c:v>BOL Pharma</c:v>
                </c:pt>
                <c:pt idx="2">
                  <c:v>Benuvia Manufacturing</c:v>
                </c:pt>
                <c:pt idx="3">
                  <c:v>Aphios Corporation</c:v>
                </c:pt>
                <c:pt idx="4">
                  <c:v>KinetoChem</c:v>
                </c:pt>
                <c:pt idx="5">
                  <c:v>Echo Pharmaceuticals</c:v>
                </c:pt>
                <c:pt idx="6">
                  <c:v>THC Pharm</c:v>
                </c:pt>
                <c:pt idx="7">
                  <c:v>Noramco</c:v>
                </c:pt>
                <c:pt idx="8">
                  <c:v>Canopy Growth</c:v>
                </c:pt>
              </c:strCache>
            </c:strRef>
          </c:cat>
          <c:val>
            <c:numRef>
              <c:f>企业排序!$G$2:$G$25</c:f>
              <c:numCache>
                <c:formatCode>#,##0.00_ </c:formatCode>
                <c:ptCount val="9"/>
                <c:pt idx="0">
                  <c:v>1.82</c:v>
                </c:pt>
                <c:pt idx="1">
                  <c:v>7.69</c:v>
                </c:pt>
                <c:pt idx="2">
                  <c:v>8.77</c:v>
                </c:pt>
                <c:pt idx="3">
                  <c:v>9.27</c:v>
                </c:pt>
                <c:pt idx="4">
                  <c:v>9.41</c:v>
                </c:pt>
                <c:pt idx="5">
                  <c:v>10.45</c:v>
                </c:pt>
                <c:pt idx="6">
                  <c:v>15.14</c:v>
                </c:pt>
                <c:pt idx="7">
                  <c:v>20.29</c:v>
                </c:pt>
                <c:pt idx="8">
                  <c:v>23.11</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0.55078</cdr:x>
      <cdr:y>0.20105</cdr:y>
    </cdr:from>
    <cdr:to>
      <cdr:x>0.75948</cdr:x>
      <cdr:y>0.38049</cdr:y>
    </cdr:to>
    <cdr:cxnSp>
      <cdr:nvCxnSpPr>
        <cdr:cNvPr id="2" name="直接箭头连接符 1"/>
        <cdr:cNvCxnSpPr/>
      </cdr:nvCxnSpPr>
      <cdr:spPr xmlns:a="http://schemas.openxmlformats.org/drawingml/2006/main">
        <a:xfrm xmlns:a="http://schemas.openxmlformats.org/drawingml/2006/main" flipV="1">
          <a:off x="3612259" y="615205"/>
          <a:ext cx="1368757" cy="549094"/>
        </a:xfrm>
        <a:prstGeom xmlns:a="http://schemas.openxmlformats.org/drawingml/2006/main" prst="straightConnector1">
          <a:avLst/>
        </a:prstGeom>
        <a:solidFill>
          <a:srgbClr val="FFC000"/>
        </a:solid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0.58716</cdr:x>
      <cdr:y>0.24182</cdr:y>
    </cdr:from>
    <cdr:to>
      <cdr:x>0.72267</cdr:x>
      <cdr:y>0.33499</cdr:y>
    </cdr:to>
    <cdr:sp>
      <cdr:nvSpPr>
        <cdr:cNvPr id="3" name="椭圆 2"/>
        <cdr:cNvSpPr/>
      </cdr:nvSpPr>
      <cdr:spPr xmlns:a="http://schemas.openxmlformats.org/drawingml/2006/main">
        <a:xfrm xmlns:a="http://schemas.openxmlformats.org/drawingml/2006/main" rot="20477554">
          <a:off x="3850847" y="739962"/>
          <a:ext cx="888734" cy="285101"/>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4.5%</a:t>
          </a:r>
          <a:endParaRPr lang="zh-CN" baseline="0">
            <a:solidFill>
              <a:sysClr val="windowText" lastClr="000000"/>
            </a:solidFill>
            <a:latin typeface="Book Antiqua" panose="02040602050305030304" pitchFamily="1" charset="0"/>
            <a:ea typeface="宋体" panose="02010600030101010101" charset="-122"/>
          </a:endParaRPr>
        </a:p>
      </cdr:txBody>
    </cdr:sp>
  </cdr:relSizeAnchor>
  <cdr:relSizeAnchor xmlns:cdr="http://schemas.openxmlformats.org/drawingml/2006/chartDrawing">
    <cdr:from>
      <cdr:x>0.25859</cdr:x>
      <cdr:y>0.16035</cdr:y>
    </cdr:from>
    <cdr:to>
      <cdr:x>0.38141</cdr:x>
      <cdr:y>0.6496</cdr:y>
    </cdr:to>
    <cdr:grpSp>
      <cdr:nvGrpSpPr>
        <cdr:cNvPr id="4" name="组合 3"/>
        <cdr:cNvGrpSpPr/>
      </cdr:nvGrpSpPr>
      <cdr:grpSpPr xmlns:a="http://schemas.openxmlformats.org/drawingml/2006/main">
        <a:xfrm rot="2852127">
          <a:off x="1274226" y="788997"/>
          <a:ext cx="1412323" cy="760097"/>
          <a:chOff x="3014141" y="1779723"/>
          <a:chExt cx="1170560" cy="814928"/>
        </a:xfrm>
      </cdr:grpSpPr>
      <cdr:cxnSp>
        <cdr:nvCxnSpPr>
          <cdr:cNvPr id="5" name="直接箭头连接符 4"/>
          <cdr:cNvCxnSpPr/>
        </cdr:nvCxnSpPr>
        <cdr:spPr xmlns:a="http://schemas.openxmlformats.org/drawingml/2006/main">
          <a:xfrm xmlns:a="http://schemas.openxmlformats.org/drawingml/2006/main" rot="19816677" flipV="1">
            <a:off x="3014141" y="1818573"/>
            <a:ext cx="1170560" cy="69152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6" name="椭圆 5"/>
          <cdr:cNvSpPr/>
        </cdr:nvSpPr>
        <cdr:spPr xmlns:a="http://schemas.openxmlformats.org/drawingml/2006/main">
          <a:xfrm xmlns:a="http://schemas.openxmlformats.org/drawingml/2006/main" rot="18358947">
            <a:off x="3177981" y="2099589"/>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latin typeface="Book Antiqua" panose="02040602050305030304" pitchFamily="1" charset="0"/>
              </a:rPr>
              <a:t>3.4%</a:t>
            </a:r>
            <a:endParaRPr lang="zh-CN">
              <a:solidFill>
                <a:sysClr val="windowText" lastClr="000000"/>
              </a:solidFill>
              <a:latin typeface="Book Antiqua" panose="02040602050305030304" pitchFamily="1" charset="0"/>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89D456-9C8C-4749-8E67-ECE4B27EDE7B}">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141</Words>
  <Characters>806</Characters>
  <Lines>6</Lines>
  <Paragraphs>1</Paragraphs>
  <TotalTime>3</TotalTime>
  <ScaleCrop>false</ScaleCrop>
  <LinksUpToDate>false</LinksUpToDate>
  <CharactersWithSpaces>946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2023-10-25T09:42:00Z</dcterms:created>
  <dc:creator>yangj</dc:creator>
  <cp:lastModifiedBy>鼕鼕</cp:lastModifiedBy>
  <dcterms:modified xsi:type="dcterms:W3CDTF">2023-11-15T09:07:53Z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782C8CF6A8D74776BB6C2FAD1E8A84F0_13</vt:lpwstr>
  </property>
</Properties>
</file>