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3CE7DB">
      <w:pPr>
        <w:widowControl/>
        <w:spacing w:line="480" w:lineRule="auto"/>
        <w:jc w:val="both"/>
        <w:rPr>
          <w:rFonts w:hint="eastAsia" w:ascii="宋体" w:hAnsi="宋体" w:eastAsia="宋体" w:cs="宋体"/>
          <w:b/>
          <w:bCs/>
          <w:color w:val="auto"/>
          <w:szCs w:val="21"/>
        </w:rPr>
      </w:pPr>
    </w:p>
    <w:p w14:paraId="154B3A3A">
      <w:pPr>
        <w:widowControl/>
        <w:spacing w:line="480" w:lineRule="auto"/>
        <w:jc w:val="center"/>
        <w:rPr>
          <w:rFonts w:hint="eastAsia" w:ascii="宋体" w:hAnsi="宋体" w:eastAsia="宋体" w:cs="宋体"/>
          <w:b/>
          <w:bCs/>
          <w:color w:val="auto"/>
          <w:szCs w:val="21"/>
        </w:rPr>
      </w:pPr>
      <w:r>
        <w:rPr>
          <w:rFonts w:hint="eastAsia" w:ascii="宋体" w:hAnsi="宋体" w:eastAsia="宋体" w:cs="宋体"/>
          <w:b/>
          <w:bCs/>
          <w:color w:val="auto"/>
          <w:szCs w:val="21"/>
        </w:rPr>
        <w:t>临床护理路径在小儿静脉留置针穿刺护理效果分析</w:t>
      </w:r>
    </w:p>
    <w:p w14:paraId="212C161F">
      <w:pPr>
        <w:widowControl/>
        <w:spacing w:line="480" w:lineRule="auto"/>
        <w:rPr>
          <w:rFonts w:hint="eastAsia" w:ascii="宋体" w:hAnsi="宋体" w:eastAsia="宋体" w:cs="宋体"/>
          <w:color w:val="auto"/>
          <w:szCs w:val="21"/>
        </w:rPr>
      </w:pPr>
      <w:r>
        <w:rPr>
          <w:rFonts w:hint="eastAsia" w:ascii="宋体" w:hAnsi="宋体" w:eastAsia="宋体" w:cs="宋体"/>
          <w:b/>
          <w:bCs/>
          <w:color w:val="auto"/>
          <w:szCs w:val="21"/>
        </w:rPr>
        <w:t>摘要：目的：</w:t>
      </w:r>
      <w:r>
        <w:rPr>
          <w:rFonts w:hint="eastAsia" w:ascii="宋体" w:hAnsi="宋体" w:eastAsia="宋体" w:cs="宋体"/>
          <w:b w:val="0"/>
          <w:bCs w:val="0"/>
          <w:color w:val="auto"/>
          <w:szCs w:val="21"/>
          <w:lang w:val="en-US" w:eastAsia="zh-CN"/>
        </w:rPr>
        <w:t>分析临床护理路径在小儿静脉留置针穿刺护理效果</w:t>
      </w:r>
      <w:r>
        <w:rPr>
          <w:rFonts w:hint="eastAsia" w:ascii="宋体" w:hAnsi="宋体" w:eastAsia="宋体" w:cs="宋体"/>
          <w:color w:val="auto"/>
          <w:szCs w:val="21"/>
        </w:rPr>
        <w:t>。</w:t>
      </w:r>
      <w:r>
        <w:rPr>
          <w:rFonts w:hint="eastAsia" w:ascii="宋体" w:hAnsi="宋体" w:eastAsia="宋体" w:cs="宋体"/>
          <w:b/>
          <w:bCs/>
          <w:color w:val="auto"/>
          <w:szCs w:val="21"/>
        </w:rPr>
        <w:t>方法：</w:t>
      </w:r>
      <w:bookmarkStart w:id="0" w:name="_Hlk120979912"/>
      <w:r>
        <w:rPr>
          <w:rFonts w:hint="eastAsia" w:ascii="宋体" w:hAnsi="宋体" w:eastAsia="宋体" w:cs="宋体"/>
          <w:color w:val="auto"/>
          <w:szCs w:val="21"/>
          <w:lang w:val="en-US" w:eastAsia="zh-CN"/>
        </w:rPr>
        <w:t>选取</w:t>
      </w:r>
      <w:r>
        <w:rPr>
          <w:rFonts w:hint="eastAsia" w:ascii="宋体" w:hAnsi="宋体" w:eastAsia="宋体" w:cs="宋体"/>
          <w:color w:val="auto"/>
          <w:szCs w:val="21"/>
        </w:rPr>
        <w:t>20</w:t>
      </w:r>
      <w:r>
        <w:rPr>
          <w:rFonts w:hint="eastAsia" w:ascii="宋体" w:hAnsi="宋体" w:eastAsia="宋体" w:cs="宋体"/>
          <w:color w:val="auto"/>
          <w:szCs w:val="21"/>
          <w:lang w:val="en-US" w:eastAsia="zh-CN"/>
        </w:rPr>
        <w:t>22</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11</w:t>
      </w:r>
      <w:r>
        <w:rPr>
          <w:rFonts w:hint="eastAsia" w:ascii="宋体" w:hAnsi="宋体" w:eastAsia="宋体" w:cs="宋体"/>
          <w:color w:val="auto"/>
          <w:szCs w:val="21"/>
        </w:rPr>
        <w:t>月—202</w:t>
      </w:r>
      <w:r>
        <w:rPr>
          <w:rFonts w:hint="eastAsia" w:ascii="宋体" w:hAnsi="宋体" w:eastAsia="宋体" w:cs="宋体"/>
          <w:color w:val="auto"/>
          <w:szCs w:val="21"/>
          <w:lang w:val="en-US" w:eastAsia="zh-CN"/>
        </w:rPr>
        <w:t>4</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3</w:t>
      </w:r>
      <w:r>
        <w:rPr>
          <w:rFonts w:hint="eastAsia" w:ascii="宋体" w:hAnsi="宋体" w:eastAsia="宋体" w:cs="宋体"/>
          <w:color w:val="auto"/>
          <w:szCs w:val="21"/>
        </w:rPr>
        <w:t>月，</w:t>
      </w:r>
      <w:r>
        <w:rPr>
          <w:rFonts w:hint="eastAsia" w:ascii="宋体" w:hAnsi="宋体" w:cs="宋体"/>
          <w:color w:val="auto"/>
          <w:szCs w:val="21"/>
        </w:rPr>
        <w:t>回顾性</w:t>
      </w:r>
      <w:r>
        <w:rPr>
          <w:rFonts w:hint="eastAsia" w:ascii="宋体" w:hAnsi="宋体" w:cs="宋体"/>
          <w:color w:val="auto"/>
          <w:szCs w:val="21"/>
          <w:lang w:val="en-US" w:eastAsia="zh-CN"/>
        </w:rPr>
        <w:t>研究</w:t>
      </w:r>
      <w:r>
        <w:rPr>
          <w:rFonts w:hint="eastAsia" w:ascii="宋体" w:hAnsi="宋体" w:eastAsia="宋体" w:cs="宋体"/>
          <w:color w:val="auto"/>
          <w:szCs w:val="21"/>
        </w:rPr>
        <w:t>在本院就诊的</w:t>
      </w:r>
      <w:r>
        <w:rPr>
          <w:rFonts w:hint="eastAsia" w:ascii="宋体" w:hAnsi="宋体" w:eastAsia="宋体" w:cs="宋体"/>
          <w:color w:val="auto"/>
          <w:spacing w:val="-6"/>
          <w:sz w:val="22"/>
          <w:szCs w:val="22"/>
          <w:lang w:eastAsia="zh-CN"/>
        </w:rPr>
        <w:t>静脉留置针穿刺患儿</w:t>
      </w:r>
      <w:r>
        <w:rPr>
          <w:rFonts w:hint="eastAsia" w:ascii="宋体" w:hAnsi="宋体" w:eastAsia="宋体" w:cs="宋体"/>
          <w:color w:val="auto"/>
          <w:spacing w:val="-6"/>
          <w:sz w:val="22"/>
          <w:szCs w:val="22"/>
          <w:lang w:val="en-US" w:eastAsia="zh-CN"/>
        </w:rPr>
        <w:t>80</w:t>
      </w:r>
      <w:r>
        <w:rPr>
          <w:rFonts w:ascii="宋体" w:hAnsi="宋体" w:eastAsia="宋体" w:cs="宋体"/>
          <w:color w:val="auto"/>
          <w:spacing w:val="-6"/>
          <w:sz w:val="22"/>
          <w:szCs w:val="22"/>
        </w:rPr>
        <w:t>例</w:t>
      </w:r>
      <w:r>
        <w:rPr>
          <w:rFonts w:hint="eastAsia" w:ascii="宋体" w:hAnsi="宋体" w:eastAsia="宋体" w:cs="宋体"/>
          <w:color w:val="auto"/>
          <w:szCs w:val="21"/>
        </w:rPr>
        <w:t>，</w:t>
      </w:r>
      <w:bookmarkEnd w:id="0"/>
      <w:r>
        <w:rPr>
          <w:rFonts w:hint="eastAsia" w:ascii="宋体" w:hAnsi="宋体" w:cs="宋体"/>
          <w:color w:val="auto"/>
          <w:szCs w:val="21"/>
        </w:rPr>
        <w:t>按照</w:t>
      </w:r>
      <w:r>
        <w:rPr>
          <w:rFonts w:hint="eastAsia" w:ascii="宋体" w:hAnsi="宋体" w:eastAsia="宋体" w:cs="宋体"/>
          <w:color w:val="auto"/>
          <w:szCs w:val="21"/>
        </w:rPr>
        <w:t>随机双盲法</w:t>
      </w:r>
      <w:r>
        <w:rPr>
          <w:rFonts w:hint="eastAsia" w:ascii="宋体" w:hAnsi="宋体" w:cs="宋体"/>
          <w:color w:val="auto"/>
          <w:szCs w:val="21"/>
        </w:rPr>
        <w:t>为</w:t>
      </w:r>
      <w:r>
        <w:rPr>
          <w:rFonts w:hint="eastAsia" w:ascii="宋体" w:hAnsi="宋体" w:eastAsia="宋体" w:cs="宋体"/>
          <w:color w:val="auto"/>
          <w:szCs w:val="21"/>
          <w:lang w:eastAsia="zh-CN"/>
        </w:rPr>
        <w:t>观察组</w:t>
      </w:r>
      <w:r>
        <w:rPr>
          <w:rFonts w:hint="eastAsia" w:ascii="宋体" w:hAnsi="宋体" w:eastAsia="宋体" w:cs="宋体"/>
          <w:color w:val="auto"/>
          <w:szCs w:val="21"/>
        </w:rPr>
        <w:t>（</w:t>
      </w:r>
      <w:r>
        <w:rPr>
          <w:rFonts w:hint="eastAsia" w:ascii="宋体" w:hAnsi="宋体" w:eastAsia="宋体" w:cs="宋体"/>
          <w:color w:val="auto"/>
          <w:szCs w:val="21"/>
          <w:lang w:val="en-US" w:eastAsia="zh-CN"/>
        </w:rPr>
        <w:t>临床护理路径</w:t>
      </w:r>
      <w:r>
        <w:rPr>
          <w:rFonts w:hint="eastAsia" w:ascii="宋体" w:hAnsi="宋体" w:eastAsia="宋体" w:cs="宋体"/>
          <w:color w:val="auto"/>
          <w:szCs w:val="21"/>
        </w:rPr>
        <w:t>）和</w:t>
      </w:r>
      <w:r>
        <w:rPr>
          <w:rFonts w:hint="eastAsia" w:ascii="宋体" w:hAnsi="宋体" w:eastAsia="宋体" w:cs="宋体"/>
          <w:color w:val="auto"/>
          <w:szCs w:val="21"/>
          <w:lang w:eastAsia="zh-CN"/>
        </w:rPr>
        <w:t>对照组</w:t>
      </w:r>
      <w:r>
        <w:rPr>
          <w:rFonts w:hint="eastAsia" w:ascii="宋体" w:hAnsi="宋体" w:eastAsia="宋体" w:cs="宋体"/>
          <w:color w:val="auto"/>
          <w:szCs w:val="21"/>
        </w:rPr>
        <w:t>（</w:t>
      </w:r>
      <w:r>
        <w:rPr>
          <w:rFonts w:hint="eastAsia" w:ascii="宋体" w:hAnsi="宋体" w:eastAsia="宋体" w:cs="宋体"/>
          <w:color w:val="auto"/>
          <w:szCs w:val="21"/>
          <w:lang w:val="en-US" w:eastAsia="zh-CN"/>
        </w:rPr>
        <w:t>常规护理</w:t>
      </w:r>
      <w:r>
        <w:rPr>
          <w:rFonts w:hint="eastAsia" w:ascii="宋体" w:hAnsi="宋体" w:eastAsia="宋体" w:cs="宋体"/>
          <w:color w:val="auto"/>
          <w:szCs w:val="21"/>
        </w:rPr>
        <w:t>），观察</w:t>
      </w:r>
      <w:r>
        <w:rPr>
          <w:rFonts w:hint="eastAsia" w:ascii="宋体" w:hAnsi="宋体" w:eastAsia="宋体" w:cs="宋体"/>
          <w:color w:val="auto"/>
          <w:szCs w:val="21"/>
          <w:lang w:eastAsia="zh-CN"/>
        </w:rPr>
        <w:t>患儿</w:t>
      </w:r>
      <w:r>
        <w:rPr>
          <w:rFonts w:hint="eastAsia" w:ascii="宋体" w:hAnsi="宋体" w:eastAsia="宋体" w:cs="宋体"/>
          <w:color w:val="auto"/>
          <w:szCs w:val="21"/>
        </w:rPr>
        <w:t>的临床</w:t>
      </w:r>
      <w:r>
        <w:rPr>
          <w:rFonts w:hint="eastAsia" w:ascii="宋体" w:hAnsi="宋体" w:eastAsia="宋体" w:cs="宋体"/>
          <w:color w:val="auto"/>
          <w:szCs w:val="21"/>
          <w:lang w:val="en-US" w:eastAsia="zh-CN"/>
        </w:rPr>
        <w:t>护理</w:t>
      </w:r>
      <w:r>
        <w:rPr>
          <w:rFonts w:hint="eastAsia" w:ascii="宋体" w:hAnsi="宋体" w:eastAsia="宋体" w:cs="宋体"/>
          <w:color w:val="auto"/>
          <w:szCs w:val="21"/>
        </w:rPr>
        <w:t>效果。</w:t>
      </w:r>
      <w:r>
        <w:rPr>
          <w:rFonts w:hint="eastAsia" w:ascii="宋体" w:hAnsi="宋体" w:eastAsia="宋体" w:cs="宋体"/>
          <w:b/>
          <w:bCs/>
          <w:color w:val="auto"/>
          <w:szCs w:val="21"/>
        </w:rPr>
        <w:t>结果：</w:t>
      </w:r>
      <w:r>
        <w:rPr>
          <w:rFonts w:hint="eastAsia" w:ascii="宋体" w:hAnsi="宋体" w:eastAsia="宋体" w:cs="宋体"/>
          <w:color w:val="auto"/>
          <w:szCs w:val="21"/>
          <w:lang w:val="en-US" w:eastAsia="zh-CN"/>
        </w:rPr>
        <w:t>观察组患儿一次穿刺成功率高于对照组且二次穿刺成功率、多次穿刺成功率、并发症发生率低于对照组，P＜0.05；观察组患儿家属护理满意度</w:t>
      </w:r>
      <w:bookmarkStart w:id="3" w:name="_GoBack"/>
      <w:bookmarkEnd w:id="3"/>
      <w:r>
        <w:rPr>
          <w:rFonts w:hint="eastAsia" w:ascii="宋体" w:hAnsi="宋体" w:eastAsia="宋体" w:cs="宋体"/>
          <w:color w:val="auto"/>
          <w:szCs w:val="21"/>
          <w:lang w:val="en-US" w:eastAsia="zh-CN"/>
        </w:rPr>
        <w:t>高于对照组，P＜0.05</w:t>
      </w:r>
      <w:r>
        <w:rPr>
          <w:rFonts w:hint="eastAsia" w:ascii="宋体" w:hAnsi="宋体" w:eastAsia="宋体" w:cs="宋体"/>
          <w:color w:val="auto"/>
          <w:szCs w:val="21"/>
          <w:lang w:eastAsia="zh-CN"/>
        </w:rPr>
        <w:t>。</w:t>
      </w:r>
      <w:r>
        <w:rPr>
          <w:rFonts w:hint="eastAsia" w:ascii="宋体" w:hAnsi="宋体" w:eastAsia="宋体" w:cs="宋体"/>
          <w:b/>
          <w:bCs/>
          <w:color w:val="auto"/>
          <w:szCs w:val="21"/>
        </w:rPr>
        <w:t>结论：</w:t>
      </w:r>
      <w:bookmarkStart w:id="1" w:name="_Hlk120955687"/>
      <w:r>
        <w:rPr>
          <w:rFonts w:hint="eastAsia" w:ascii="宋体" w:hAnsi="宋体" w:eastAsia="宋体" w:cs="宋体"/>
          <w:b w:val="0"/>
          <w:bCs w:val="0"/>
          <w:color w:val="auto"/>
          <w:szCs w:val="21"/>
          <w:lang w:val="en-US" w:eastAsia="zh-CN"/>
        </w:rPr>
        <w:t>在小儿静脉留置针穿刺护理应用临床护理路径可以提高临床</w:t>
      </w:r>
      <w:r>
        <w:rPr>
          <w:rFonts w:hint="eastAsia" w:ascii="宋体" w:hAnsi="宋体" w:eastAsia="宋体" w:cs="宋体"/>
          <w:color w:val="auto"/>
          <w:szCs w:val="21"/>
          <w:lang w:val="en-US" w:eastAsia="zh-CN"/>
        </w:rPr>
        <w:t>穿刺成功率，降低患儿并发症发生风险，提高家属护理满意度</w:t>
      </w:r>
      <w:r>
        <w:rPr>
          <w:rFonts w:hint="eastAsia" w:ascii="宋体" w:hAnsi="宋体" w:eastAsia="宋体" w:cs="宋体"/>
          <w:color w:val="auto"/>
          <w:szCs w:val="21"/>
        </w:rPr>
        <w:t>。</w:t>
      </w:r>
      <w:bookmarkEnd w:id="1"/>
    </w:p>
    <w:p w14:paraId="6F70BDED">
      <w:pPr>
        <w:widowControl/>
        <w:spacing w:line="480" w:lineRule="auto"/>
        <w:rPr>
          <w:rFonts w:hint="eastAsia" w:ascii="宋体" w:hAnsi="宋体" w:eastAsia="宋体" w:cs="宋体"/>
          <w:color w:val="auto"/>
          <w:szCs w:val="21"/>
          <w:lang w:val="en-US" w:eastAsia="zh-CN"/>
        </w:rPr>
      </w:pPr>
      <w:r>
        <w:rPr>
          <w:rFonts w:hint="eastAsia" w:ascii="宋体" w:hAnsi="宋体" w:eastAsia="宋体" w:cs="宋体"/>
          <w:b/>
          <w:bCs/>
          <w:color w:val="auto"/>
          <w:szCs w:val="21"/>
        </w:rPr>
        <w:t>关键词：</w:t>
      </w:r>
      <w:r>
        <w:rPr>
          <w:rFonts w:hint="eastAsia" w:ascii="宋体" w:hAnsi="宋体" w:eastAsia="宋体" w:cs="宋体"/>
          <w:color w:val="auto"/>
          <w:szCs w:val="21"/>
          <w:lang w:val="en-US" w:eastAsia="zh-CN"/>
        </w:rPr>
        <w:t>临床护理路径；常规护理；小儿静脉留置针；穿刺</w:t>
      </w:r>
    </w:p>
    <w:p w14:paraId="264CFC97">
      <w:pPr>
        <w:widowControl/>
        <w:spacing w:line="480" w:lineRule="auto"/>
        <w:ind w:firstLine="420" w:firstLineChars="200"/>
        <w:rPr>
          <w:color w:val="auto"/>
        </w:rPr>
      </w:pPr>
      <w:r>
        <w:rPr>
          <w:rFonts w:hint="eastAsia" w:ascii="宋体" w:hAnsi="宋体" w:eastAsia="宋体" w:cs="宋体"/>
          <w:color w:val="auto"/>
          <w:szCs w:val="21"/>
          <w:lang w:val="en-US" w:eastAsia="zh-CN"/>
        </w:rPr>
        <w:t>静脉留置针是治疗患者一种输液方式，并且可以在不同位置上穿刺，保证患者输液过程的灵活以及便捷。近年来，</w:t>
      </w:r>
      <w:r>
        <w:rPr>
          <w:rFonts w:hint="eastAsia" w:ascii="宋体" w:hAnsi="宋体" w:cs="宋体"/>
          <w:color w:val="auto"/>
          <w:szCs w:val="21"/>
          <w:lang w:val="en-US" w:eastAsia="zh-CN"/>
        </w:rPr>
        <w:t>静脉留置针在临床上的广泛应用，减少患者因反复穿刺导致的现象，不仅可以缓解患者穿刺疼痛感，降低护理人员的工作强度</w:t>
      </w:r>
      <w:r>
        <w:rPr>
          <w:rFonts w:hint="eastAsia" w:ascii="宋体" w:hAnsi="宋体" w:cs="宋体"/>
          <w:color w:val="auto"/>
          <w:szCs w:val="21"/>
          <w:vertAlign w:val="superscript"/>
          <w:lang w:val="en-US" w:eastAsia="zh-CN"/>
        </w:rPr>
        <w:t>[1]</w:t>
      </w:r>
      <w:r>
        <w:rPr>
          <w:rFonts w:hint="eastAsia" w:ascii="宋体" w:hAnsi="宋体" w:cs="宋体"/>
          <w:color w:val="auto"/>
          <w:szCs w:val="21"/>
          <w:lang w:val="en-US" w:eastAsia="zh-CN"/>
        </w:rPr>
        <w:t>。但是，小儿年龄较小，自制力相对较差，导致患儿在穿刺过程中出现哭闹和不配合的情况较高，导致穿刺不成功风险增加，甚至会影响患儿的临床治疗效果。此外，患儿对疼痛的敏感性高，增加患儿在穿刺过程中的不适感，严重影响患儿后续治疗方案的实施</w:t>
      </w:r>
      <w:r>
        <w:rPr>
          <w:rFonts w:hint="eastAsia" w:ascii="宋体" w:hAnsi="宋体" w:cs="宋体"/>
          <w:color w:val="auto"/>
          <w:szCs w:val="21"/>
          <w:vertAlign w:val="superscript"/>
          <w:lang w:val="en-US" w:eastAsia="zh-CN"/>
        </w:rPr>
        <w:t>[2]</w:t>
      </w:r>
      <w:r>
        <w:rPr>
          <w:rFonts w:hint="eastAsia" w:ascii="宋体" w:hAnsi="宋体" w:cs="宋体"/>
          <w:color w:val="auto"/>
          <w:szCs w:val="21"/>
          <w:lang w:val="en-US" w:eastAsia="zh-CN"/>
        </w:rPr>
        <w:t>。因此，护理人员需要给予</w:t>
      </w:r>
      <w:r>
        <w:rPr>
          <w:rFonts w:hint="eastAsia" w:ascii="宋体" w:hAnsi="宋体" w:eastAsia="宋体" w:cs="宋体"/>
          <w:color w:val="auto"/>
          <w:szCs w:val="21"/>
          <w:lang w:val="en-US" w:eastAsia="zh-CN"/>
        </w:rPr>
        <w:t>小儿静脉留置针针对性的护理措施，保证患儿临床治疗效果。临床研究显示，在小儿静脉留置针的临床护理中应用</w:t>
      </w:r>
      <w:r>
        <w:rPr>
          <w:rFonts w:hint="eastAsia" w:ascii="宋体" w:hAnsi="宋体" w:cs="宋体"/>
          <w:color w:val="auto"/>
          <w:szCs w:val="21"/>
          <w:lang w:val="en-US" w:eastAsia="zh-CN"/>
        </w:rPr>
        <w:t>临床护理路径的效果显著，不仅可以减少患儿在穿刺过程中的并发症，提高护理人员一次性静脉穿刺的成功率</w:t>
      </w:r>
      <w:r>
        <w:rPr>
          <w:rFonts w:hint="eastAsia" w:ascii="宋体" w:hAnsi="宋体" w:cs="宋体"/>
          <w:color w:val="auto"/>
          <w:szCs w:val="21"/>
          <w:vertAlign w:val="superscript"/>
          <w:lang w:val="en-US" w:eastAsia="zh-CN"/>
        </w:rPr>
        <w:t>[3]</w:t>
      </w:r>
      <w:r>
        <w:rPr>
          <w:rFonts w:hint="eastAsia" w:ascii="宋体" w:hAnsi="宋体" w:cs="宋体"/>
          <w:color w:val="auto"/>
          <w:szCs w:val="21"/>
          <w:lang w:val="en-US" w:eastAsia="zh-CN"/>
        </w:rPr>
        <w:t>。在</w:t>
      </w:r>
      <w:r>
        <w:rPr>
          <w:rFonts w:hint="eastAsia" w:ascii="宋体" w:hAnsi="宋体" w:cs="宋体"/>
          <w:color w:val="auto"/>
          <w:szCs w:val="21"/>
        </w:rPr>
        <w:t>此基础之上</w:t>
      </w:r>
      <w:r>
        <w:rPr>
          <w:rFonts w:hint="eastAsia" w:ascii="宋体" w:hAnsi="宋体" w:cs="宋体"/>
          <w:color w:val="auto"/>
          <w:szCs w:val="21"/>
          <w:lang w:eastAsia="zh-CN"/>
        </w:rPr>
        <w:t>，</w:t>
      </w:r>
      <w:r>
        <w:rPr>
          <w:rFonts w:hint="eastAsia" w:ascii="宋体" w:hAnsi="宋体" w:cs="宋体"/>
          <w:color w:val="auto"/>
          <w:szCs w:val="21"/>
        </w:rPr>
        <w:t>回顾性</w:t>
      </w:r>
      <w:r>
        <w:rPr>
          <w:rFonts w:hint="eastAsia" w:ascii="宋体" w:hAnsi="宋体" w:cs="宋体"/>
          <w:color w:val="auto"/>
          <w:szCs w:val="21"/>
          <w:lang w:val="en-US" w:eastAsia="zh-CN"/>
        </w:rPr>
        <w:t>研究</w:t>
      </w:r>
      <w:r>
        <w:rPr>
          <w:rFonts w:hint="eastAsia" w:ascii="宋体" w:hAnsi="宋体" w:eastAsia="宋体" w:cs="宋体"/>
          <w:color w:val="auto"/>
          <w:szCs w:val="21"/>
        </w:rPr>
        <w:t>在本院就诊的</w:t>
      </w:r>
      <w:r>
        <w:rPr>
          <w:rFonts w:hint="eastAsia" w:ascii="宋体" w:hAnsi="宋体" w:eastAsia="宋体" w:cs="宋体"/>
          <w:color w:val="auto"/>
          <w:spacing w:val="-6"/>
          <w:sz w:val="22"/>
          <w:szCs w:val="22"/>
          <w:lang w:eastAsia="zh-CN"/>
        </w:rPr>
        <w:t>静脉留置针穿刺患儿</w:t>
      </w:r>
      <w:r>
        <w:rPr>
          <w:rFonts w:hint="eastAsia" w:ascii="宋体" w:hAnsi="宋体" w:eastAsia="宋体" w:cs="宋体"/>
          <w:color w:val="auto"/>
          <w:spacing w:val="-6"/>
          <w:sz w:val="22"/>
          <w:szCs w:val="22"/>
          <w:lang w:val="en-US" w:eastAsia="zh-CN"/>
        </w:rPr>
        <w:t>80</w:t>
      </w:r>
      <w:r>
        <w:rPr>
          <w:rFonts w:ascii="宋体" w:hAnsi="宋体" w:eastAsia="宋体" w:cs="宋体"/>
          <w:color w:val="auto"/>
          <w:spacing w:val="-6"/>
          <w:sz w:val="22"/>
          <w:szCs w:val="22"/>
        </w:rPr>
        <w:t>例</w:t>
      </w:r>
      <w:r>
        <w:rPr>
          <w:rFonts w:hint="eastAsia" w:ascii="宋体" w:hAnsi="宋体" w:eastAsia="宋体" w:cs="宋体"/>
          <w:color w:val="auto"/>
          <w:szCs w:val="21"/>
          <w:lang w:eastAsia="zh-CN"/>
        </w:rPr>
        <w:t>，</w:t>
      </w:r>
      <w:r>
        <w:rPr>
          <w:rFonts w:hint="eastAsia" w:ascii="宋体" w:hAnsi="宋体" w:eastAsia="宋体" w:cs="宋体"/>
          <w:b w:val="0"/>
          <w:bCs w:val="0"/>
          <w:color w:val="auto"/>
          <w:szCs w:val="21"/>
          <w:lang w:val="en-US" w:eastAsia="zh-CN"/>
        </w:rPr>
        <w:t>分析</w:t>
      </w:r>
      <w:r>
        <w:rPr>
          <w:rFonts w:hint="eastAsia" w:ascii="宋体" w:hAnsi="宋体" w:eastAsia="宋体" w:cs="宋体"/>
          <w:color w:val="auto"/>
          <w:szCs w:val="21"/>
          <w:lang w:val="en-US" w:eastAsia="zh-CN"/>
        </w:rPr>
        <w:t>临床护理路径的临床效果</w:t>
      </w:r>
      <w:r>
        <w:rPr>
          <w:rFonts w:hint="eastAsia" w:ascii="宋体" w:hAnsi="宋体" w:eastAsia="宋体" w:cs="宋体"/>
          <w:color w:val="auto"/>
          <w:szCs w:val="21"/>
          <w:lang w:eastAsia="zh-CN"/>
        </w:rPr>
        <w:t>，</w:t>
      </w:r>
      <w:r>
        <w:rPr>
          <w:rFonts w:hint="eastAsia" w:ascii="宋体" w:hAnsi="宋体" w:cs="宋体"/>
          <w:color w:val="auto"/>
          <w:szCs w:val="21"/>
        </w:rPr>
        <w:t>具体内容如下。</w:t>
      </w:r>
    </w:p>
    <w:p w14:paraId="6204E7B0">
      <w:pPr>
        <w:spacing w:line="480" w:lineRule="auto"/>
        <w:rPr>
          <w:rFonts w:ascii="宋体" w:hAnsi="宋体" w:eastAsia="宋体" w:cs="宋体"/>
          <w:color w:val="auto"/>
          <w:szCs w:val="21"/>
        </w:rPr>
      </w:pPr>
      <w:r>
        <w:rPr>
          <w:rFonts w:hint="eastAsia" w:ascii="宋体" w:hAnsi="宋体" w:eastAsia="宋体" w:cs="宋体"/>
          <w:b/>
          <w:bCs/>
          <w:color w:val="auto"/>
          <w:szCs w:val="21"/>
        </w:rPr>
        <w:t>1资料与方法</w:t>
      </w:r>
    </w:p>
    <w:p w14:paraId="3C887951">
      <w:pPr>
        <w:numPr>
          <w:ilvl w:val="1"/>
          <w:numId w:val="1"/>
        </w:numPr>
        <w:spacing w:line="480" w:lineRule="auto"/>
        <w:rPr>
          <w:rFonts w:ascii="宋体" w:hAnsi="宋体" w:eastAsia="宋体" w:cs="宋体"/>
          <w:color w:val="auto"/>
          <w:szCs w:val="21"/>
        </w:rPr>
      </w:pPr>
      <w:r>
        <w:rPr>
          <w:rFonts w:hint="eastAsia" w:ascii="宋体" w:hAnsi="宋体" w:eastAsia="宋体" w:cs="宋体"/>
          <w:color w:val="auto"/>
          <w:szCs w:val="21"/>
        </w:rPr>
        <w:t>一般资料</w:t>
      </w:r>
    </w:p>
    <w:p w14:paraId="1C86D72B">
      <w:pPr>
        <w:widowControl/>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选取</w:t>
      </w:r>
      <w:r>
        <w:rPr>
          <w:rFonts w:hint="eastAsia" w:ascii="宋体" w:hAnsi="宋体" w:eastAsia="宋体" w:cs="宋体"/>
          <w:color w:val="auto"/>
          <w:szCs w:val="21"/>
        </w:rPr>
        <w:t>20</w:t>
      </w:r>
      <w:r>
        <w:rPr>
          <w:rFonts w:hint="eastAsia" w:ascii="宋体" w:hAnsi="宋体" w:eastAsia="宋体" w:cs="宋体"/>
          <w:color w:val="auto"/>
          <w:szCs w:val="21"/>
          <w:lang w:val="en-US" w:eastAsia="zh-CN"/>
        </w:rPr>
        <w:t>22</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11</w:t>
      </w:r>
      <w:r>
        <w:rPr>
          <w:rFonts w:hint="eastAsia" w:ascii="宋体" w:hAnsi="宋体" w:eastAsia="宋体" w:cs="宋体"/>
          <w:color w:val="auto"/>
          <w:szCs w:val="21"/>
        </w:rPr>
        <w:t>月—202</w:t>
      </w:r>
      <w:r>
        <w:rPr>
          <w:rFonts w:hint="eastAsia" w:ascii="宋体" w:hAnsi="宋体" w:eastAsia="宋体" w:cs="宋体"/>
          <w:color w:val="auto"/>
          <w:szCs w:val="21"/>
          <w:lang w:val="en-US" w:eastAsia="zh-CN"/>
        </w:rPr>
        <w:t>4</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3</w:t>
      </w:r>
      <w:r>
        <w:rPr>
          <w:rFonts w:hint="eastAsia" w:ascii="宋体" w:hAnsi="宋体" w:eastAsia="宋体" w:cs="宋体"/>
          <w:color w:val="auto"/>
          <w:szCs w:val="21"/>
        </w:rPr>
        <w:t>月，</w:t>
      </w:r>
      <w:r>
        <w:rPr>
          <w:rFonts w:hint="eastAsia" w:ascii="宋体" w:hAnsi="宋体" w:cs="宋体"/>
          <w:color w:val="auto"/>
          <w:szCs w:val="21"/>
        </w:rPr>
        <w:t>回顾性</w:t>
      </w:r>
      <w:r>
        <w:rPr>
          <w:rFonts w:hint="eastAsia" w:ascii="宋体" w:hAnsi="宋体" w:cs="宋体"/>
          <w:color w:val="auto"/>
          <w:szCs w:val="21"/>
          <w:lang w:val="en-US" w:eastAsia="zh-CN"/>
        </w:rPr>
        <w:t>研究</w:t>
      </w:r>
      <w:r>
        <w:rPr>
          <w:rFonts w:hint="eastAsia" w:ascii="宋体" w:hAnsi="宋体" w:eastAsia="宋体" w:cs="宋体"/>
          <w:color w:val="auto"/>
          <w:szCs w:val="21"/>
        </w:rPr>
        <w:t>在本院就诊的</w:t>
      </w:r>
      <w:r>
        <w:rPr>
          <w:rFonts w:hint="eastAsia" w:ascii="宋体" w:hAnsi="宋体" w:eastAsia="宋体" w:cs="宋体"/>
          <w:color w:val="auto"/>
          <w:spacing w:val="-6"/>
          <w:sz w:val="22"/>
          <w:szCs w:val="22"/>
          <w:lang w:eastAsia="zh-CN"/>
        </w:rPr>
        <w:t>静脉留置针穿刺患儿</w:t>
      </w:r>
      <w:r>
        <w:rPr>
          <w:rFonts w:hint="eastAsia" w:ascii="宋体" w:hAnsi="宋体" w:eastAsia="宋体" w:cs="宋体"/>
          <w:color w:val="auto"/>
          <w:spacing w:val="-6"/>
          <w:sz w:val="22"/>
          <w:szCs w:val="22"/>
          <w:lang w:val="en-US" w:eastAsia="zh-CN"/>
        </w:rPr>
        <w:t>80</w:t>
      </w:r>
      <w:r>
        <w:rPr>
          <w:rFonts w:ascii="宋体" w:hAnsi="宋体" w:eastAsia="宋体" w:cs="宋体"/>
          <w:color w:val="auto"/>
          <w:spacing w:val="-6"/>
          <w:sz w:val="22"/>
          <w:szCs w:val="22"/>
        </w:rPr>
        <w:t>例</w:t>
      </w:r>
      <w:r>
        <w:rPr>
          <w:rFonts w:hint="eastAsia" w:ascii="宋体" w:hAnsi="宋体" w:eastAsia="宋体" w:cs="宋体"/>
          <w:color w:val="auto"/>
          <w:szCs w:val="21"/>
          <w:lang w:eastAsia="zh-CN"/>
        </w:rPr>
        <w:t>，</w:t>
      </w:r>
      <w:r>
        <w:rPr>
          <w:rFonts w:hint="eastAsia" w:ascii="宋体" w:hAnsi="宋体" w:cs="宋体"/>
          <w:color w:val="auto"/>
          <w:szCs w:val="21"/>
        </w:rPr>
        <w:t>按照</w:t>
      </w:r>
      <w:r>
        <w:rPr>
          <w:rFonts w:hint="eastAsia" w:ascii="宋体" w:hAnsi="宋体" w:eastAsia="宋体" w:cs="宋体"/>
          <w:color w:val="auto"/>
          <w:szCs w:val="21"/>
        </w:rPr>
        <w:t>随机双盲法</w:t>
      </w:r>
      <w:r>
        <w:rPr>
          <w:rFonts w:hint="eastAsia" w:ascii="宋体" w:hAnsi="宋体" w:cs="宋体"/>
          <w:color w:val="auto"/>
          <w:szCs w:val="21"/>
        </w:rPr>
        <w:t>为</w:t>
      </w:r>
      <w:r>
        <w:rPr>
          <w:rFonts w:hint="eastAsia" w:ascii="宋体" w:hAnsi="宋体" w:cs="宋体"/>
          <w:color w:val="auto"/>
          <w:szCs w:val="21"/>
          <w:lang w:val="en-US" w:eastAsia="zh-CN"/>
        </w:rPr>
        <w:t>两组</w:t>
      </w:r>
      <w:r>
        <w:rPr>
          <w:rFonts w:hint="eastAsia" w:ascii="宋体" w:hAnsi="宋体" w:eastAsia="宋体" w:cs="宋体"/>
          <w:color w:val="auto"/>
          <w:szCs w:val="21"/>
          <w:lang w:val="en-US" w:eastAsia="zh-CN"/>
        </w:rPr>
        <w:t>；</w:t>
      </w:r>
      <w:r>
        <w:rPr>
          <w:rFonts w:hint="eastAsia" w:ascii="宋体" w:hAnsi="宋体" w:eastAsia="宋体" w:cs="宋体"/>
          <w:color w:val="auto"/>
          <w:szCs w:val="21"/>
        </w:rPr>
        <w:t>两组</w:t>
      </w:r>
      <w:r>
        <w:rPr>
          <w:rFonts w:hint="eastAsia" w:ascii="宋体" w:hAnsi="宋体" w:eastAsia="宋体" w:cs="宋体"/>
          <w:color w:val="auto"/>
          <w:szCs w:val="21"/>
          <w:lang w:val="en-US" w:eastAsia="zh-CN"/>
        </w:rPr>
        <w:t>一般资料</w:t>
      </w:r>
      <w:r>
        <w:rPr>
          <w:rFonts w:hint="eastAsia" w:ascii="宋体" w:hAnsi="宋体" w:eastAsia="宋体" w:cs="宋体"/>
          <w:color w:val="auto"/>
          <w:szCs w:val="21"/>
        </w:rPr>
        <w:t>差异无统计学意义</w:t>
      </w:r>
      <w:r>
        <w:rPr>
          <w:rFonts w:hint="eastAsia" w:ascii="宋体" w:hAnsi="宋体" w:eastAsia="宋体" w:cs="宋体"/>
          <w:color w:val="auto"/>
          <w:szCs w:val="21"/>
          <w:lang w:eastAsia="zh-CN"/>
        </w:rPr>
        <w:t>，</w:t>
      </w:r>
      <w:r>
        <w:rPr>
          <w:rFonts w:hint="eastAsia" w:ascii="宋体" w:hAnsi="宋体" w:eastAsia="宋体" w:cs="宋体"/>
          <w:color w:val="auto"/>
          <w:szCs w:val="21"/>
        </w:rPr>
        <w:t>P&gt;0.05</w:t>
      </w:r>
      <w:r>
        <w:rPr>
          <w:rFonts w:hint="eastAsia" w:ascii="宋体" w:hAnsi="宋体" w:eastAsia="宋体" w:cs="宋体"/>
          <w:color w:val="auto"/>
          <w:szCs w:val="21"/>
          <w:lang w:eastAsia="zh-CN"/>
        </w:rPr>
        <w:t>，</w:t>
      </w:r>
      <w:r>
        <w:rPr>
          <w:rFonts w:hint="eastAsia" w:ascii="宋体" w:hAnsi="宋体" w:eastAsia="宋体" w:cs="宋体"/>
          <w:color w:val="auto"/>
          <w:szCs w:val="21"/>
        </w:rPr>
        <w:t>有可比性</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见表1</w:t>
      </w:r>
      <w:r>
        <w:rPr>
          <w:rFonts w:hint="eastAsia" w:ascii="宋体" w:hAnsi="宋体" w:cs="Times New Roman"/>
          <w:color w:val="auto"/>
          <w:lang w:val="en-US" w:eastAsia="zh-CN"/>
        </w:rPr>
        <w:t>。</w:t>
      </w:r>
    </w:p>
    <w:p w14:paraId="79760AF7">
      <w:pPr>
        <w:pStyle w:val="3"/>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eastAsia" w:ascii="宋体" w:hAnsi="宋体" w:eastAsia="宋体" w:cs="宋体"/>
          <w:color w:val="auto"/>
          <w:szCs w:val="21"/>
        </w:rPr>
      </w:pPr>
      <w:r>
        <w:rPr>
          <w:rFonts w:hint="eastAsia" w:ascii="宋体" w:hAnsi="宋体" w:eastAsia="宋体" w:cs="宋体"/>
          <w:color w:val="auto"/>
          <w:szCs w:val="21"/>
        </w:rPr>
        <w:t>表</w:t>
      </w:r>
      <w:r>
        <w:rPr>
          <w:rFonts w:hint="eastAsia" w:ascii="宋体" w:hAnsi="宋体" w:cs="宋体"/>
          <w:color w:val="auto"/>
          <w:szCs w:val="21"/>
          <w:lang w:val="en-US" w:eastAsia="zh-CN"/>
        </w:rPr>
        <w:t>1</w:t>
      </w:r>
      <w:r>
        <w:rPr>
          <w:rFonts w:hint="eastAsia" w:ascii="宋体" w:hAnsi="宋体"/>
          <w:color w:val="auto"/>
          <w:lang w:val="en-US" w:eastAsia="zh-CN"/>
        </w:rPr>
        <w:t>比较患者一般资料</w:t>
      </w:r>
      <w:r>
        <w:rPr>
          <w:rFonts w:hint="eastAsia" w:ascii="宋体" w:hAnsi="宋体" w:eastAsia="宋体" w:cs="宋体"/>
          <w:color w:val="auto"/>
          <w:szCs w:val="21"/>
        </w:rPr>
        <w:t>（</w:t>
      </w:r>
      <w:r>
        <w:rPr>
          <w:rFonts w:hint="eastAsia" w:ascii="宋体" w:hAnsi="宋体" w:cs="宋体"/>
          <w:color w:val="auto"/>
          <w:position w:val="-4"/>
          <w:szCs w:val="21"/>
        </w:rPr>
        <w:object>
          <v:shape id="_x0000_i1025" o:spt="75" type="#_x0000_t75" style="height:12pt;width:10pt;" o:ole="t" filled="f" o:preferrelative="t" stroked="f" coordsize="21600,21600">
            <v:path/>
            <v:fill on="f" focussize="0,0"/>
            <v:stroke on="f"/>
            <v:imagedata r:id="rId7" o:title=""/>
            <o:lock v:ext="edit" aspectratio="t"/>
            <w10:wrap type="none"/>
            <w10:anchorlock/>
          </v:shape>
          <o:OLEObject Type="Embed" ProgID="Equation.KSEE3" ShapeID="_x0000_i1025" DrawAspect="Content" ObjectID="_1468075725" r:id="rId6">
            <o:LockedField>false</o:LockedField>
          </o:OLEObject>
        </w:object>
      </w:r>
      <w:r>
        <w:rPr>
          <w:rFonts w:hint="eastAsia" w:ascii="宋体" w:hAnsi="宋体" w:eastAsia="宋体" w:cs="宋体"/>
          <w:b w:val="0"/>
          <w:bCs w:val="0"/>
          <w:color w:val="auto"/>
          <w:sz w:val="21"/>
          <w:szCs w:val="21"/>
          <w:lang w:val="en-US" w:eastAsia="zh-CN"/>
        </w:rPr>
        <w:t>±s</w:t>
      </w:r>
      <w:r>
        <w:rPr>
          <w:rFonts w:hint="eastAsia" w:ascii="宋体" w:hAnsi="宋体" w:cs="宋体"/>
          <w:b w:val="0"/>
          <w:bCs w:val="0"/>
          <w:color w:val="auto"/>
          <w:sz w:val="21"/>
          <w:szCs w:val="21"/>
          <w:lang w:val="en-US" w:eastAsia="zh-CN"/>
        </w:rPr>
        <w:t>/n</w:t>
      </w:r>
      <w:r>
        <w:rPr>
          <w:rFonts w:hint="eastAsia" w:ascii="宋体" w:hAnsi="宋体" w:eastAsia="宋体" w:cs="宋体"/>
          <w:color w:val="auto"/>
          <w:szCs w:val="21"/>
        </w:rPr>
        <w:t>）</w:t>
      </w:r>
    </w:p>
    <w:tbl>
      <w:tblPr>
        <w:tblStyle w:val="5"/>
        <w:tblW w:w="4998"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75"/>
        <w:gridCol w:w="440"/>
        <w:gridCol w:w="2182"/>
        <w:gridCol w:w="2182"/>
        <w:gridCol w:w="1420"/>
        <w:gridCol w:w="1420"/>
      </w:tblGrid>
      <w:tr w14:paraId="0863E5F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4" w:type="pct"/>
            <w:vMerge w:val="restart"/>
            <w:vAlign w:val="center"/>
          </w:tcPr>
          <w:p w14:paraId="0AC384D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组别</w:t>
            </w:r>
          </w:p>
        </w:tc>
        <w:tc>
          <w:tcPr>
            <w:tcW w:w="258" w:type="pct"/>
            <w:vMerge w:val="restart"/>
            <w:vAlign w:val="center"/>
          </w:tcPr>
          <w:p w14:paraId="00F8BE0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n</w:t>
            </w:r>
          </w:p>
        </w:tc>
        <w:tc>
          <w:tcPr>
            <w:tcW w:w="1280" w:type="pct"/>
            <w:vMerge w:val="restart"/>
            <w:vAlign w:val="center"/>
          </w:tcPr>
          <w:p w14:paraId="27D393E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年龄（岁）</w:t>
            </w:r>
          </w:p>
        </w:tc>
        <w:tc>
          <w:tcPr>
            <w:tcW w:w="1280" w:type="pct"/>
            <w:vMerge w:val="restart"/>
            <w:vAlign w:val="center"/>
          </w:tcPr>
          <w:p w14:paraId="765DB94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eastAsiaTheme="minorEastAsia"/>
                <w:color w:val="auto"/>
                <w:szCs w:val="21"/>
                <w:lang w:val="en-US" w:eastAsia="zh-CN"/>
              </w:rPr>
            </w:pPr>
            <w:r>
              <w:rPr>
                <w:rFonts w:hint="eastAsia" w:ascii="宋体" w:hAnsi="宋体" w:eastAsia="宋体" w:cs="宋体"/>
                <w:color w:val="auto"/>
                <w:szCs w:val="21"/>
                <w:lang w:val="en-US" w:eastAsia="zh-CN"/>
              </w:rPr>
              <w:t>输液时间（d）</w:t>
            </w:r>
          </w:p>
        </w:tc>
        <w:tc>
          <w:tcPr>
            <w:tcW w:w="1666" w:type="pct"/>
            <w:gridSpan w:val="2"/>
            <w:tcBorders>
              <w:bottom w:val="single" w:color="auto" w:sz="4" w:space="0"/>
            </w:tcBorders>
            <w:vAlign w:val="center"/>
          </w:tcPr>
          <w:p w14:paraId="0BF4F85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性别</w:t>
            </w:r>
          </w:p>
        </w:tc>
      </w:tr>
      <w:tr w14:paraId="62331B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14" w:type="pct"/>
            <w:vMerge w:val="continue"/>
            <w:tcBorders>
              <w:bottom w:val="single" w:color="auto" w:sz="4" w:space="0"/>
            </w:tcBorders>
            <w:vAlign w:val="center"/>
          </w:tcPr>
          <w:p w14:paraId="6432ECB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p>
        </w:tc>
        <w:tc>
          <w:tcPr>
            <w:tcW w:w="258" w:type="pct"/>
            <w:vMerge w:val="continue"/>
            <w:tcBorders>
              <w:bottom w:val="single" w:color="auto" w:sz="4" w:space="0"/>
            </w:tcBorders>
            <w:vAlign w:val="center"/>
          </w:tcPr>
          <w:p w14:paraId="2D0B2B4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p>
        </w:tc>
        <w:tc>
          <w:tcPr>
            <w:tcW w:w="1280" w:type="pct"/>
            <w:vMerge w:val="continue"/>
            <w:tcBorders>
              <w:bottom w:val="single" w:color="auto" w:sz="4" w:space="0"/>
            </w:tcBorders>
            <w:vAlign w:val="center"/>
          </w:tcPr>
          <w:p w14:paraId="18868A8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p>
        </w:tc>
        <w:tc>
          <w:tcPr>
            <w:tcW w:w="1280" w:type="pct"/>
            <w:vMerge w:val="continue"/>
            <w:tcBorders>
              <w:bottom w:val="single" w:color="auto" w:sz="4" w:space="0"/>
            </w:tcBorders>
            <w:vAlign w:val="center"/>
          </w:tcPr>
          <w:p w14:paraId="2050592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p>
        </w:tc>
        <w:tc>
          <w:tcPr>
            <w:tcW w:w="833" w:type="pct"/>
            <w:tcBorders>
              <w:bottom w:val="single" w:color="auto" w:sz="4" w:space="0"/>
            </w:tcBorders>
            <w:vAlign w:val="center"/>
          </w:tcPr>
          <w:p w14:paraId="2817055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男</w:t>
            </w:r>
          </w:p>
        </w:tc>
        <w:tc>
          <w:tcPr>
            <w:tcW w:w="833" w:type="pct"/>
            <w:tcBorders>
              <w:bottom w:val="single" w:color="auto" w:sz="4" w:space="0"/>
            </w:tcBorders>
            <w:vAlign w:val="center"/>
          </w:tcPr>
          <w:p w14:paraId="380D5B3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女</w:t>
            </w:r>
          </w:p>
        </w:tc>
      </w:tr>
      <w:tr w14:paraId="6AE9F3D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4" w:type="pct"/>
            <w:tcBorders>
              <w:top w:val="single" w:color="auto" w:sz="4" w:space="0"/>
            </w:tcBorders>
            <w:vAlign w:val="center"/>
          </w:tcPr>
          <w:p w14:paraId="5976FA8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观察组</w:t>
            </w:r>
          </w:p>
        </w:tc>
        <w:tc>
          <w:tcPr>
            <w:tcW w:w="258" w:type="pct"/>
            <w:tcBorders>
              <w:top w:val="single" w:color="auto" w:sz="4" w:space="0"/>
            </w:tcBorders>
            <w:vAlign w:val="center"/>
          </w:tcPr>
          <w:p w14:paraId="0A98D4E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40</w:t>
            </w:r>
          </w:p>
        </w:tc>
        <w:tc>
          <w:tcPr>
            <w:tcW w:w="1280" w:type="pct"/>
            <w:tcBorders>
              <w:top w:val="single" w:color="auto" w:sz="4" w:space="0"/>
            </w:tcBorders>
            <w:vAlign w:val="center"/>
          </w:tcPr>
          <w:p w14:paraId="6934B8B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1</w:t>
            </w:r>
            <w:r>
              <w:rPr>
                <w:rFonts w:hint="eastAsia" w:ascii="宋体" w:hAnsi="宋体" w:eastAsia="宋体" w:cs="宋体"/>
                <w:color w:val="auto"/>
                <w:szCs w:val="21"/>
              </w:rPr>
              <w:t>～</w:t>
            </w:r>
            <w:r>
              <w:rPr>
                <w:rFonts w:hint="eastAsia" w:ascii="宋体" w:hAnsi="宋体" w:eastAsia="宋体" w:cs="宋体"/>
                <w:color w:val="auto"/>
                <w:szCs w:val="21"/>
                <w:lang w:val="en-US" w:eastAsia="zh-CN"/>
              </w:rPr>
              <w:t>6</w:t>
            </w:r>
            <w:r>
              <w:rPr>
                <w:rFonts w:hint="eastAsia" w:ascii="宋体" w:hAnsi="宋体" w:eastAsia="宋体" w:cs="宋体"/>
                <w:color w:val="auto"/>
                <w:szCs w:val="21"/>
              </w:rPr>
              <w:t>（</w:t>
            </w:r>
            <w:r>
              <w:rPr>
                <w:rFonts w:hint="eastAsia" w:ascii="宋体" w:hAnsi="宋体" w:eastAsia="宋体" w:cs="宋体"/>
                <w:color w:val="auto"/>
                <w:szCs w:val="21"/>
                <w:lang w:val="en-US" w:eastAsia="zh-CN"/>
              </w:rPr>
              <w:t>4</w:t>
            </w:r>
            <w:r>
              <w:rPr>
                <w:rFonts w:hint="eastAsia" w:ascii="宋体" w:hAnsi="宋体" w:eastAsia="宋体" w:cs="宋体"/>
                <w:color w:val="auto"/>
                <w:szCs w:val="21"/>
              </w:rPr>
              <w:t>.</w:t>
            </w:r>
            <w:r>
              <w:rPr>
                <w:rFonts w:hint="eastAsia" w:ascii="宋体" w:hAnsi="宋体" w:eastAsia="宋体" w:cs="宋体"/>
                <w:color w:val="auto"/>
                <w:szCs w:val="21"/>
                <w:lang w:val="en-US" w:eastAsia="zh-CN"/>
              </w:rPr>
              <w:t>26</w:t>
            </w:r>
            <w:r>
              <w:rPr>
                <w:rFonts w:hint="eastAsia" w:ascii="宋体" w:hAnsi="宋体" w:eastAsia="宋体" w:cs="宋体"/>
                <w:color w:val="auto"/>
                <w:szCs w:val="21"/>
              </w:rPr>
              <w:t>±</w:t>
            </w:r>
            <w:r>
              <w:rPr>
                <w:rFonts w:hint="eastAsia" w:ascii="宋体" w:hAnsi="宋体" w:eastAsia="宋体" w:cs="宋体"/>
                <w:color w:val="auto"/>
                <w:szCs w:val="21"/>
                <w:lang w:val="en-US" w:eastAsia="zh-CN"/>
              </w:rPr>
              <w:t>1</w:t>
            </w:r>
            <w:r>
              <w:rPr>
                <w:rFonts w:hint="eastAsia" w:ascii="宋体" w:hAnsi="宋体" w:eastAsia="宋体" w:cs="宋体"/>
                <w:color w:val="auto"/>
                <w:szCs w:val="21"/>
              </w:rPr>
              <w:t>.</w:t>
            </w:r>
            <w:r>
              <w:rPr>
                <w:rFonts w:hint="eastAsia" w:ascii="宋体" w:hAnsi="宋体" w:eastAsia="宋体" w:cs="宋体"/>
                <w:color w:val="auto"/>
                <w:szCs w:val="21"/>
                <w:lang w:val="en-US" w:eastAsia="zh-CN"/>
              </w:rPr>
              <w:t>32</w:t>
            </w:r>
            <w:r>
              <w:rPr>
                <w:rFonts w:hint="eastAsia" w:ascii="宋体" w:hAnsi="宋体" w:eastAsia="宋体" w:cs="宋体"/>
                <w:color w:val="auto"/>
                <w:szCs w:val="21"/>
              </w:rPr>
              <w:t>）</w:t>
            </w:r>
          </w:p>
        </w:tc>
        <w:tc>
          <w:tcPr>
            <w:tcW w:w="1280" w:type="pct"/>
            <w:tcBorders>
              <w:top w:val="single" w:color="auto" w:sz="4" w:space="0"/>
            </w:tcBorders>
            <w:vAlign w:val="center"/>
          </w:tcPr>
          <w:p w14:paraId="0331F0A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4</w:t>
            </w:r>
            <w:r>
              <w:rPr>
                <w:rFonts w:hint="eastAsia" w:ascii="宋体" w:hAnsi="宋体" w:eastAsia="宋体" w:cs="宋体"/>
                <w:color w:val="auto"/>
                <w:szCs w:val="21"/>
              </w:rPr>
              <w:t>～</w:t>
            </w:r>
            <w:r>
              <w:rPr>
                <w:rFonts w:hint="eastAsia" w:ascii="宋体" w:hAnsi="宋体" w:eastAsia="宋体" w:cs="宋体"/>
                <w:color w:val="auto"/>
                <w:szCs w:val="21"/>
                <w:lang w:val="en-US" w:eastAsia="zh-CN"/>
              </w:rPr>
              <w:t>8</w:t>
            </w:r>
            <w:r>
              <w:rPr>
                <w:rFonts w:hint="eastAsia" w:ascii="宋体" w:hAnsi="宋体" w:eastAsia="宋体" w:cs="宋体"/>
                <w:color w:val="auto"/>
                <w:szCs w:val="21"/>
              </w:rPr>
              <w:t>（</w:t>
            </w:r>
            <w:r>
              <w:rPr>
                <w:rFonts w:hint="eastAsia" w:ascii="宋体" w:hAnsi="宋体" w:eastAsia="宋体" w:cs="宋体"/>
                <w:color w:val="auto"/>
                <w:szCs w:val="21"/>
                <w:lang w:val="en-US" w:eastAsia="zh-CN"/>
              </w:rPr>
              <w:t>5</w:t>
            </w:r>
            <w:r>
              <w:rPr>
                <w:rFonts w:hint="eastAsia" w:ascii="宋体" w:hAnsi="宋体" w:eastAsia="宋体" w:cs="宋体"/>
                <w:color w:val="auto"/>
                <w:szCs w:val="21"/>
              </w:rPr>
              <w:t>.</w:t>
            </w:r>
            <w:r>
              <w:rPr>
                <w:rFonts w:hint="eastAsia" w:ascii="宋体" w:hAnsi="宋体" w:eastAsia="宋体" w:cs="宋体"/>
                <w:color w:val="auto"/>
                <w:szCs w:val="21"/>
                <w:lang w:val="en-US" w:eastAsia="zh-CN"/>
              </w:rPr>
              <w:t>58</w:t>
            </w:r>
            <w:r>
              <w:rPr>
                <w:rFonts w:hint="eastAsia" w:ascii="宋体" w:hAnsi="宋体" w:eastAsia="宋体" w:cs="宋体"/>
                <w:color w:val="auto"/>
                <w:szCs w:val="21"/>
              </w:rPr>
              <w:t>±</w:t>
            </w:r>
            <w:r>
              <w:rPr>
                <w:rFonts w:hint="eastAsia" w:ascii="宋体" w:hAnsi="宋体" w:eastAsia="宋体" w:cs="宋体"/>
                <w:color w:val="auto"/>
                <w:szCs w:val="21"/>
                <w:lang w:val="en-US" w:eastAsia="zh-CN"/>
              </w:rPr>
              <w:t>0</w:t>
            </w:r>
            <w:r>
              <w:rPr>
                <w:rFonts w:hint="eastAsia" w:ascii="宋体" w:hAnsi="宋体" w:eastAsia="宋体" w:cs="宋体"/>
                <w:color w:val="auto"/>
                <w:szCs w:val="21"/>
              </w:rPr>
              <w:t>.</w:t>
            </w:r>
            <w:r>
              <w:rPr>
                <w:rFonts w:hint="eastAsia" w:ascii="宋体" w:hAnsi="宋体" w:eastAsia="宋体" w:cs="宋体"/>
                <w:color w:val="auto"/>
                <w:szCs w:val="21"/>
                <w:lang w:val="en-US" w:eastAsia="zh-CN"/>
              </w:rPr>
              <w:t>32</w:t>
            </w:r>
            <w:r>
              <w:rPr>
                <w:rFonts w:hint="eastAsia" w:ascii="宋体" w:hAnsi="宋体" w:eastAsia="宋体" w:cs="宋体"/>
                <w:color w:val="auto"/>
                <w:szCs w:val="21"/>
              </w:rPr>
              <w:t>）</w:t>
            </w:r>
          </w:p>
        </w:tc>
        <w:tc>
          <w:tcPr>
            <w:tcW w:w="833" w:type="pct"/>
            <w:tcBorders>
              <w:top w:val="single" w:color="auto" w:sz="4" w:space="0"/>
            </w:tcBorders>
            <w:vAlign w:val="center"/>
          </w:tcPr>
          <w:p w14:paraId="70C727A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21（52.50）</w:t>
            </w:r>
          </w:p>
        </w:tc>
        <w:tc>
          <w:tcPr>
            <w:tcW w:w="833" w:type="pct"/>
            <w:tcBorders>
              <w:top w:val="single" w:color="auto" w:sz="4" w:space="0"/>
            </w:tcBorders>
            <w:vAlign w:val="center"/>
          </w:tcPr>
          <w:p w14:paraId="63D60AD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19（47.50）</w:t>
            </w:r>
          </w:p>
        </w:tc>
      </w:tr>
      <w:tr w14:paraId="514799D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4" w:type="pct"/>
            <w:vAlign w:val="center"/>
          </w:tcPr>
          <w:p w14:paraId="7FE2DE7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对照组</w:t>
            </w:r>
          </w:p>
        </w:tc>
        <w:tc>
          <w:tcPr>
            <w:tcW w:w="258" w:type="pct"/>
            <w:vAlign w:val="center"/>
          </w:tcPr>
          <w:p w14:paraId="167D848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40</w:t>
            </w:r>
          </w:p>
        </w:tc>
        <w:tc>
          <w:tcPr>
            <w:tcW w:w="1280" w:type="pct"/>
            <w:vAlign w:val="center"/>
          </w:tcPr>
          <w:p w14:paraId="6CA49EA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2</w:t>
            </w:r>
            <w:r>
              <w:rPr>
                <w:rFonts w:hint="eastAsia" w:ascii="宋体" w:hAnsi="宋体" w:eastAsia="宋体" w:cs="宋体"/>
                <w:color w:val="auto"/>
                <w:szCs w:val="21"/>
              </w:rPr>
              <w:t>～</w:t>
            </w:r>
            <w:r>
              <w:rPr>
                <w:rFonts w:hint="eastAsia" w:ascii="宋体" w:hAnsi="宋体" w:eastAsia="宋体" w:cs="宋体"/>
                <w:color w:val="auto"/>
                <w:szCs w:val="21"/>
                <w:lang w:val="en-US" w:eastAsia="zh-CN"/>
              </w:rPr>
              <w:t>7</w:t>
            </w:r>
            <w:r>
              <w:rPr>
                <w:rFonts w:hint="eastAsia" w:ascii="宋体" w:hAnsi="宋体" w:eastAsia="宋体" w:cs="宋体"/>
                <w:color w:val="auto"/>
                <w:szCs w:val="21"/>
              </w:rPr>
              <w:t>（</w:t>
            </w:r>
            <w:r>
              <w:rPr>
                <w:rFonts w:hint="eastAsia" w:ascii="宋体" w:hAnsi="宋体" w:eastAsia="宋体" w:cs="宋体"/>
                <w:color w:val="auto"/>
                <w:szCs w:val="21"/>
                <w:lang w:val="en-US" w:eastAsia="zh-CN"/>
              </w:rPr>
              <w:t>4.74±1.65</w:t>
            </w:r>
            <w:r>
              <w:rPr>
                <w:rFonts w:hint="eastAsia" w:ascii="宋体" w:hAnsi="宋体" w:eastAsia="宋体" w:cs="宋体"/>
                <w:color w:val="auto"/>
                <w:szCs w:val="21"/>
              </w:rPr>
              <w:t>）</w:t>
            </w:r>
          </w:p>
        </w:tc>
        <w:tc>
          <w:tcPr>
            <w:tcW w:w="1280" w:type="pct"/>
            <w:vAlign w:val="center"/>
          </w:tcPr>
          <w:p w14:paraId="0B6A179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5</w:t>
            </w:r>
            <w:r>
              <w:rPr>
                <w:rFonts w:hint="eastAsia" w:ascii="宋体" w:hAnsi="宋体" w:eastAsia="宋体" w:cs="宋体"/>
                <w:color w:val="auto"/>
                <w:szCs w:val="21"/>
              </w:rPr>
              <w:t>～</w:t>
            </w:r>
            <w:r>
              <w:rPr>
                <w:rFonts w:hint="eastAsia" w:ascii="宋体" w:hAnsi="宋体" w:eastAsia="宋体" w:cs="宋体"/>
                <w:color w:val="auto"/>
                <w:szCs w:val="21"/>
                <w:lang w:val="en-US" w:eastAsia="zh-CN"/>
              </w:rPr>
              <w:t>9</w:t>
            </w:r>
            <w:r>
              <w:rPr>
                <w:rFonts w:hint="eastAsia" w:ascii="宋体" w:hAnsi="宋体" w:eastAsia="宋体" w:cs="宋体"/>
                <w:color w:val="auto"/>
                <w:szCs w:val="21"/>
              </w:rPr>
              <w:t>（</w:t>
            </w:r>
            <w:r>
              <w:rPr>
                <w:rFonts w:hint="eastAsia" w:ascii="宋体" w:hAnsi="宋体" w:eastAsia="宋体" w:cs="宋体"/>
                <w:color w:val="auto"/>
                <w:szCs w:val="21"/>
                <w:lang w:val="en-US" w:eastAsia="zh-CN"/>
              </w:rPr>
              <w:t>5.67±0.45</w:t>
            </w:r>
            <w:r>
              <w:rPr>
                <w:rFonts w:hint="eastAsia" w:ascii="宋体" w:hAnsi="宋体" w:eastAsia="宋体" w:cs="宋体"/>
                <w:color w:val="auto"/>
                <w:szCs w:val="21"/>
              </w:rPr>
              <w:t>）</w:t>
            </w:r>
          </w:p>
        </w:tc>
        <w:tc>
          <w:tcPr>
            <w:tcW w:w="833" w:type="pct"/>
            <w:vAlign w:val="center"/>
          </w:tcPr>
          <w:p w14:paraId="318AAF1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24（60.00）</w:t>
            </w:r>
          </w:p>
        </w:tc>
        <w:tc>
          <w:tcPr>
            <w:tcW w:w="833" w:type="pct"/>
            <w:vAlign w:val="center"/>
          </w:tcPr>
          <w:p w14:paraId="13ACC82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16（40.00）</w:t>
            </w:r>
          </w:p>
        </w:tc>
      </w:tr>
      <w:tr w14:paraId="5CF3E6E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4" w:type="pct"/>
            <w:vAlign w:val="center"/>
          </w:tcPr>
          <w:p w14:paraId="6C841CA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r>
              <w:rPr>
                <w:rFonts w:hint="eastAsia" w:ascii="宋体" w:hAnsi="宋体" w:eastAsia="宋体" w:cs="宋体"/>
                <w:b w:val="0"/>
                <w:bCs w:val="0"/>
                <w:color w:val="auto"/>
                <w:sz w:val="21"/>
                <w:szCs w:val="21"/>
                <w:lang w:val="en-US" w:eastAsia="zh-CN"/>
              </w:rPr>
              <w:sym w:font="Symbol" w:char="0063"/>
            </w:r>
            <w:r>
              <w:rPr>
                <w:rFonts w:hint="eastAsia" w:ascii="宋体" w:hAnsi="宋体" w:eastAsia="宋体" w:cs="宋体"/>
                <w:b w:val="0"/>
                <w:bCs w:val="0"/>
                <w:color w:val="auto"/>
                <w:sz w:val="21"/>
                <w:szCs w:val="21"/>
                <w:vertAlign w:val="superscript"/>
                <w:lang w:val="en-US" w:eastAsia="zh-CN"/>
              </w:rPr>
              <w:t>2</w:t>
            </w:r>
            <w:r>
              <w:rPr>
                <w:rFonts w:hint="eastAsia" w:ascii="宋体" w:hAnsi="宋体" w:eastAsia="宋体" w:cs="宋体"/>
                <w:color w:val="auto"/>
                <w:szCs w:val="21"/>
                <w:lang w:val="en-US" w:eastAsia="zh-CN"/>
              </w:rPr>
              <w:t>值</w:t>
            </w:r>
          </w:p>
        </w:tc>
        <w:tc>
          <w:tcPr>
            <w:tcW w:w="258" w:type="pct"/>
            <w:vAlign w:val="center"/>
          </w:tcPr>
          <w:p w14:paraId="2D2E57C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w:t>
            </w:r>
          </w:p>
        </w:tc>
        <w:tc>
          <w:tcPr>
            <w:tcW w:w="1280" w:type="pct"/>
            <w:vAlign w:val="center"/>
          </w:tcPr>
          <w:p w14:paraId="4DFE4A6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1.437</w:t>
            </w:r>
          </w:p>
        </w:tc>
        <w:tc>
          <w:tcPr>
            <w:tcW w:w="1280" w:type="pct"/>
            <w:vAlign w:val="center"/>
          </w:tcPr>
          <w:p w14:paraId="455C1A5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1.031</w:t>
            </w:r>
          </w:p>
        </w:tc>
        <w:tc>
          <w:tcPr>
            <w:tcW w:w="1666" w:type="pct"/>
            <w:gridSpan w:val="2"/>
            <w:vAlign w:val="center"/>
          </w:tcPr>
          <w:p w14:paraId="4A50B5E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0.457</w:t>
            </w:r>
          </w:p>
        </w:tc>
      </w:tr>
      <w:tr w14:paraId="133D17F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4" w:type="pct"/>
            <w:vAlign w:val="center"/>
          </w:tcPr>
          <w:p w14:paraId="0762748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P值</w:t>
            </w:r>
          </w:p>
        </w:tc>
        <w:tc>
          <w:tcPr>
            <w:tcW w:w="258" w:type="pct"/>
            <w:vAlign w:val="center"/>
          </w:tcPr>
          <w:p w14:paraId="5191860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w:t>
            </w:r>
          </w:p>
        </w:tc>
        <w:tc>
          <w:tcPr>
            <w:tcW w:w="1280" w:type="pct"/>
            <w:vAlign w:val="center"/>
          </w:tcPr>
          <w:p w14:paraId="2BBD218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0.155</w:t>
            </w:r>
          </w:p>
        </w:tc>
        <w:tc>
          <w:tcPr>
            <w:tcW w:w="1280" w:type="pct"/>
            <w:vAlign w:val="center"/>
          </w:tcPr>
          <w:p w14:paraId="54A6B08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0.306</w:t>
            </w:r>
          </w:p>
        </w:tc>
        <w:tc>
          <w:tcPr>
            <w:tcW w:w="1666" w:type="pct"/>
            <w:gridSpan w:val="2"/>
            <w:vAlign w:val="center"/>
          </w:tcPr>
          <w:p w14:paraId="1623872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0.499</w:t>
            </w:r>
          </w:p>
        </w:tc>
      </w:tr>
    </w:tbl>
    <w:p w14:paraId="425F0AF0">
      <w:pPr>
        <w:pStyle w:val="3"/>
        <w:spacing w:line="480" w:lineRule="auto"/>
        <w:rPr>
          <w:rFonts w:hint="default" w:ascii="宋体" w:hAnsi="宋体" w:cs="Times New Roman"/>
          <w:color w:val="auto"/>
          <w:lang w:val="en-US" w:eastAsia="zh-CN"/>
        </w:rPr>
      </w:pPr>
      <w:r>
        <w:rPr>
          <w:rFonts w:hint="eastAsia" w:ascii="宋体" w:hAnsi="宋体" w:cs="Times New Roman"/>
          <w:color w:val="auto"/>
          <w:lang w:val="en-US" w:eastAsia="zh-CN"/>
        </w:rPr>
        <w:t>纳入标准：（1）资料完整者；</w:t>
      </w:r>
      <w:r>
        <w:rPr>
          <w:rFonts w:hint="eastAsia" w:ascii="宋体" w:hAnsi="宋体" w:cs="Times New Roman"/>
          <w:color w:val="0000FF"/>
          <w:lang w:val="en-US" w:eastAsia="zh-CN"/>
        </w:rPr>
        <w:t>（2）患儿家属知晓本次研究内容；</w:t>
      </w:r>
      <w:r>
        <w:rPr>
          <w:rFonts w:hint="eastAsia" w:ascii="宋体" w:hAnsi="宋体" w:cs="Times New Roman"/>
          <w:color w:val="auto"/>
          <w:lang w:val="en-US" w:eastAsia="zh-CN"/>
        </w:rPr>
        <w:t>（3）正常沟通者；</w:t>
      </w:r>
    </w:p>
    <w:p w14:paraId="3E9D72B1">
      <w:pPr>
        <w:pStyle w:val="3"/>
        <w:spacing w:line="480" w:lineRule="auto"/>
        <w:rPr>
          <w:rFonts w:hint="eastAsia" w:ascii="宋体" w:hAnsi="宋体" w:eastAsia="宋体" w:cs="宋体"/>
          <w:color w:val="auto"/>
          <w:szCs w:val="21"/>
          <w:lang w:eastAsia="zh-CN"/>
        </w:rPr>
      </w:pPr>
      <w:r>
        <w:rPr>
          <w:rFonts w:hint="eastAsia" w:ascii="宋体" w:hAnsi="宋体" w:cs="Times New Roman"/>
          <w:color w:val="auto"/>
          <w:lang w:val="en-US" w:eastAsia="zh-CN"/>
        </w:rPr>
        <w:t>排除标准：（1）精神疾病者；（2）合并肝肾功能障碍</w:t>
      </w:r>
      <w:r>
        <w:rPr>
          <w:rFonts w:hint="eastAsia" w:ascii="宋体" w:hAnsi="宋体" w:eastAsia="宋体" w:cs="Times New Roman"/>
          <w:color w:val="auto"/>
          <w:kern w:val="2"/>
          <w:sz w:val="21"/>
          <w:szCs w:val="24"/>
          <w:lang w:val="en-US" w:eastAsia="zh-CN" w:bidi="ar-SA"/>
        </w:rPr>
        <w:t>者</w:t>
      </w:r>
      <w:r>
        <w:rPr>
          <w:rFonts w:hint="eastAsia" w:ascii="宋体" w:hAnsi="宋体" w:cs="Times New Roman"/>
          <w:color w:val="auto"/>
          <w:lang w:val="en-US" w:eastAsia="zh-CN"/>
        </w:rPr>
        <w:t>；（3）血液系统疾病者</w:t>
      </w:r>
      <w:r>
        <w:rPr>
          <w:rFonts w:hint="eastAsia" w:ascii="宋体" w:hAnsi="宋体" w:cs="宋体"/>
          <w:color w:val="auto"/>
          <w:szCs w:val="21"/>
          <w:lang w:val="en-US" w:eastAsia="zh-CN"/>
        </w:rPr>
        <w:t>；（4）合并先天性疾病者</w:t>
      </w:r>
      <w:r>
        <w:rPr>
          <w:rFonts w:hint="eastAsia" w:ascii="宋体" w:hAnsi="宋体" w:eastAsia="宋体" w:cs="宋体"/>
          <w:color w:val="auto"/>
          <w:szCs w:val="21"/>
          <w:lang w:eastAsia="zh-CN"/>
        </w:rPr>
        <w:t>。</w:t>
      </w:r>
    </w:p>
    <w:p w14:paraId="03CFAA5B">
      <w:pPr>
        <w:numPr>
          <w:ilvl w:val="1"/>
          <w:numId w:val="1"/>
        </w:numPr>
        <w:spacing w:line="480" w:lineRule="auto"/>
        <w:rPr>
          <w:rFonts w:hint="eastAsia" w:ascii="宋体" w:hAnsi="宋体"/>
          <w:color w:val="auto"/>
          <w:lang w:val="en-US" w:eastAsia="zh-CN"/>
        </w:rPr>
      </w:pPr>
      <w:r>
        <w:rPr>
          <w:rFonts w:hint="eastAsia" w:ascii="宋体" w:hAnsi="宋体" w:eastAsia="宋体" w:cs="宋体"/>
          <w:color w:val="auto"/>
          <w:szCs w:val="21"/>
        </w:rPr>
        <w:t>方法</w:t>
      </w:r>
    </w:p>
    <w:p w14:paraId="2747C5B2">
      <w:pPr>
        <w:pStyle w:val="3"/>
        <w:spacing w:line="480" w:lineRule="auto"/>
        <w:rPr>
          <w:rFonts w:hint="default" w:ascii="宋体" w:hAnsi="宋体" w:eastAsia="宋体" w:cs="Times New Roman"/>
          <w:color w:val="auto"/>
          <w:lang w:val="en-US" w:eastAsia="zh-CN"/>
        </w:rPr>
      </w:pPr>
      <w:r>
        <w:rPr>
          <w:rFonts w:hint="eastAsia" w:ascii="宋体" w:hAnsi="宋体" w:eastAsia="宋体" w:cs="Times New Roman"/>
          <w:color w:val="auto"/>
          <w:lang w:eastAsia="zh-CN"/>
        </w:rPr>
        <w:t>对照组：</w:t>
      </w:r>
      <w:r>
        <w:rPr>
          <w:rFonts w:hint="eastAsia" w:ascii="宋体" w:hAnsi="宋体" w:eastAsia="宋体" w:cs="宋体"/>
          <w:color w:val="auto"/>
          <w:szCs w:val="21"/>
          <w:lang w:val="en-US" w:eastAsia="zh-CN"/>
        </w:rPr>
        <w:t>常规护理，指导患儿家属掌握正确的相关</w:t>
      </w:r>
      <w:r>
        <w:rPr>
          <w:rFonts w:hint="eastAsia" w:ascii="宋体" w:hAnsi="宋体" w:eastAsia="宋体" w:cs="宋体"/>
          <w:b w:val="0"/>
          <w:bCs w:val="0"/>
          <w:color w:val="auto"/>
          <w:sz w:val="21"/>
          <w:szCs w:val="21"/>
          <w:lang w:val="en-US" w:eastAsia="zh-CN"/>
        </w:rPr>
        <w:t>护理措施，及时更换静脉注射药物，做好家属相关宣教，指导家属提供清淡、低盐的饮食方案等</w:t>
      </w:r>
      <w:r>
        <w:rPr>
          <w:rFonts w:hint="eastAsia" w:ascii="宋体" w:hAnsi="宋体" w:cs="Times New Roman"/>
          <w:color w:val="auto"/>
          <w:lang w:val="en-US" w:eastAsia="zh-CN"/>
        </w:rPr>
        <w:t>。</w:t>
      </w:r>
    </w:p>
    <w:p w14:paraId="4A6F1E66">
      <w:pPr>
        <w:ind w:firstLine="420" w:firstLineChars="200"/>
        <w:rPr>
          <w:rFonts w:hint="default" w:ascii="宋体" w:hAnsi="宋体" w:cs="Times New Roman"/>
          <w:color w:val="auto"/>
          <w:lang w:val="en-US" w:eastAsia="zh-CN"/>
        </w:rPr>
      </w:pPr>
      <w:r>
        <w:rPr>
          <w:rFonts w:hint="eastAsia" w:ascii="宋体" w:hAnsi="宋体" w:cs="Times New Roman"/>
          <w:color w:val="auto"/>
          <w:lang w:val="en-US" w:eastAsia="zh-CN"/>
        </w:rPr>
        <w:t>观察组：在对照组上应用</w:t>
      </w:r>
      <w:r>
        <w:rPr>
          <w:rFonts w:hint="eastAsia" w:ascii="宋体" w:hAnsi="宋体" w:eastAsia="宋体" w:cs="宋体"/>
          <w:color w:val="auto"/>
          <w:szCs w:val="21"/>
          <w:lang w:val="en-US" w:eastAsia="zh-CN"/>
        </w:rPr>
        <w:t>临床护理路径，内容如下：</w:t>
      </w:r>
    </w:p>
    <w:p w14:paraId="3360BD07">
      <w:pPr>
        <w:ind w:firstLine="420" w:firstLineChars="200"/>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医院强化护理人员的学习和宣教，定期组织静脉留置针穿刺培训，并且定期对护理人员的专业技能进行考核；护理人员需要强化对患儿的穿刺置管重要性的理解，不断强化岗位职责和工作态度，培养护理人员的人文关怀精神；</w:t>
      </w:r>
    </w:p>
    <w:p w14:paraId="7F490749">
      <w:pPr>
        <w:ind w:firstLine="420" w:firstLineChars="200"/>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（2）医院需要完善管理制度体系，强化对患儿的静脉输液管理，规范护理人员穿刺流</w:t>
      </w:r>
      <w:r>
        <w:rPr>
          <w:rFonts w:hint="eastAsia" w:ascii="宋体" w:hAnsi="宋体" w:eastAsia="宋体" w:cs="宋体"/>
          <w:b w:val="0"/>
          <w:bCs w:val="0"/>
          <w:color w:val="0000FF"/>
          <w:sz w:val="21"/>
          <w:szCs w:val="21"/>
          <w:lang w:val="en-US" w:eastAsia="zh-CN"/>
        </w:rPr>
        <w:t>程，定期考核护理人员的穿刺技能，提高专业技能水平；</w:t>
      </w:r>
    </w:p>
    <w:p w14:paraId="25CCC11A">
      <w:pPr>
        <w:ind w:firstLine="420" w:firstLineChars="200"/>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3）护理人员需要提高护患之间的沟通，并且提高临场应变能力，以便及时解决患儿穿刺中的出现问题，积极告知家属患儿病情发展情况，及时安抚家属的情绪；同时，护理人员需要详细观察患儿的面部表情，了解患儿的兴趣以及爱好等，并且采取适当的方式转移患儿的注意力，提高患儿的依从性；</w:t>
      </w:r>
    </w:p>
    <w:p w14:paraId="7A015973">
      <w:pPr>
        <w:ind w:firstLine="420" w:firstLineChars="200"/>
        <w:rPr>
          <w:rFonts w:hint="default" w:ascii="宋体" w:hAnsi="宋体" w:eastAsia="宋体" w:cs="宋体"/>
          <w:b w:val="0"/>
          <w:bCs w:val="0"/>
          <w:color w:val="0000FF"/>
          <w:sz w:val="21"/>
          <w:szCs w:val="21"/>
          <w:lang w:val="en-US" w:eastAsia="zh-CN"/>
        </w:rPr>
      </w:pPr>
      <w:r>
        <w:rPr>
          <w:rFonts w:hint="eastAsia" w:ascii="宋体" w:hAnsi="宋体" w:eastAsia="宋体" w:cs="宋体"/>
          <w:b w:val="0"/>
          <w:bCs w:val="0"/>
          <w:color w:val="auto"/>
          <w:sz w:val="21"/>
          <w:szCs w:val="21"/>
          <w:lang w:val="en-US" w:eastAsia="zh-CN"/>
        </w:rPr>
        <w:t>（4）</w:t>
      </w:r>
      <w:r>
        <w:rPr>
          <w:rFonts w:hint="eastAsia" w:ascii="宋体" w:hAnsi="宋体" w:eastAsia="宋体" w:cs="宋体"/>
          <w:b w:val="0"/>
          <w:bCs w:val="0"/>
          <w:color w:val="0000FF"/>
          <w:sz w:val="21"/>
          <w:szCs w:val="21"/>
          <w:lang w:val="en-US" w:eastAsia="zh-CN"/>
        </w:rPr>
        <w:t>护理人员需要根据患儿实际情况制定满足临床护理需求的护理方案，并且完善临床护理路径，安抚患儿哭闹等情况；</w:t>
      </w:r>
    </w:p>
    <w:p w14:paraId="3426AB27">
      <w:pPr>
        <w:ind w:firstLine="420" w:firstLineChars="200"/>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（5）护理人员在患儿穿刺中需要评估患儿心理状态（</w:t>
      </w:r>
      <w:r>
        <w:rPr>
          <w:rFonts w:hint="eastAsia" w:ascii="宋体" w:hAnsi="宋体" w:eastAsia="宋体" w:cs="宋体"/>
          <w:b w:val="0"/>
          <w:bCs w:val="0"/>
          <w:color w:val="0000FF"/>
          <w:sz w:val="21"/>
          <w:szCs w:val="21"/>
          <w:lang w:val="en-US" w:eastAsia="zh-CN"/>
        </w:rPr>
        <w:t>量表：儿童心理行为评估量表）</w:t>
      </w:r>
      <w:r>
        <w:rPr>
          <w:rFonts w:hint="eastAsia" w:ascii="宋体" w:hAnsi="宋体" w:eastAsia="宋体" w:cs="宋体"/>
          <w:b w:val="0"/>
          <w:bCs w:val="0"/>
          <w:color w:val="auto"/>
          <w:sz w:val="21"/>
          <w:szCs w:val="21"/>
          <w:lang w:val="en-US" w:eastAsia="zh-CN"/>
        </w:rPr>
        <w:t>，给予患儿针对性的心理疏导，平复患儿情绪波动，为患儿后续穿刺工作奠定基础；</w:t>
      </w:r>
    </w:p>
    <w:p w14:paraId="5792C2CB">
      <w:pPr>
        <w:ind w:firstLine="420" w:firstLineChars="200"/>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（6）护理人员为患儿家属讲解相关医疗知识，并且和患儿进行有效地沟通，告知家属静脉留置针穿刺的相关知识，以便家属可以详细观察到穿刺的异常；</w:t>
      </w:r>
    </w:p>
    <w:p w14:paraId="35EB31B3">
      <w:pPr>
        <w:ind w:firstLine="420" w:firstLineChars="200"/>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（7）护理人员在穿刺中需要限制患儿行动，叮嘱家属要安抚患儿激动情绪，</w:t>
      </w:r>
      <w:r>
        <w:rPr>
          <w:rFonts w:hint="eastAsia" w:ascii="宋体" w:hAnsi="宋体" w:cs="宋体"/>
          <w:color w:val="auto"/>
          <w:szCs w:val="21"/>
          <w:lang w:val="en-US" w:eastAsia="zh-CN"/>
        </w:rPr>
        <w:t>播放动画片或给予玩具等转移患儿的注意力，</w:t>
      </w:r>
      <w:r>
        <w:rPr>
          <w:rFonts w:hint="eastAsia" w:ascii="宋体" w:hAnsi="宋体" w:eastAsia="宋体" w:cs="宋体"/>
          <w:b w:val="0"/>
          <w:bCs w:val="0"/>
          <w:color w:val="auto"/>
          <w:sz w:val="21"/>
          <w:szCs w:val="21"/>
          <w:lang w:val="en-US" w:eastAsia="zh-CN"/>
        </w:rPr>
        <w:t>避免因为肢体乱动导致穿刺针偏差，要保证穿刺静脉的清晰度以及光线的良好；</w:t>
      </w:r>
    </w:p>
    <w:p w14:paraId="313E340F">
      <w:pPr>
        <w:widowControl/>
        <w:spacing w:line="480" w:lineRule="auto"/>
        <w:ind w:firstLine="420" w:firstLineChars="200"/>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（8）护理人员</w:t>
      </w:r>
      <w:r>
        <w:rPr>
          <w:rFonts w:hint="eastAsia" w:ascii="宋体" w:hAnsi="宋体" w:eastAsia="宋体" w:cs="宋体"/>
          <w:color w:val="auto"/>
          <w:kern w:val="2"/>
          <w:sz w:val="21"/>
          <w:szCs w:val="21"/>
          <w:lang w:val="en-US" w:eastAsia="zh-CN" w:bidi="ar-SA"/>
        </w:rPr>
        <w:t>动态监测患儿的病情，特别是在输液过程中，观察患儿有无过敏反应、药物外渗等情况，以便及时采取措施干预；</w:t>
      </w:r>
    </w:p>
    <w:p w14:paraId="559FFF98">
      <w:pPr>
        <w:ind w:firstLine="420" w:firstLineChars="200"/>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（9）护理人员需要对总结和分析穿刺中的各种问题，并且寻找针对性的解决措施，尤其对穿刺失败以及成功的案例进行归纳，总结临床护理经验。</w:t>
      </w:r>
    </w:p>
    <w:p w14:paraId="638BE7F3">
      <w:pPr>
        <w:numPr>
          <w:ilvl w:val="1"/>
          <w:numId w:val="1"/>
        </w:numPr>
        <w:spacing w:line="480" w:lineRule="auto"/>
        <w:rPr>
          <w:rFonts w:ascii="宋体" w:hAnsi="宋体" w:eastAsia="宋体" w:cs="宋体"/>
          <w:color w:val="auto"/>
          <w:szCs w:val="21"/>
        </w:rPr>
      </w:pPr>
      <w:r>
        <w:rPr>
          <w:rFonts w:hint="eastAsia" w:ascii="宋体" w:hAnsi="宋体" w:eastAsia="宋体" w:cs="宋体"/>
          <w:color w:val="auto"/>
          <w:szCs w:val="21"/>
        </w:rPr>
        <w:t>观察指标</w:t>
      </w:r>
    </w:p>
    <w:p w14:paraId="41A5675A">
      <w:pPr>
        <w:ind w:firstLine="420" w:firstLineChars="200"/>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（1）</w:t>
      </w:r>
      <w:r>
        <w:rPr>
          <w:rFonts w:hint="eastAsia" w:ascii="宋体" w:hAnsi="宋体" w:cs="宋体"/>
          <w:color w:val="auto"/>
          <w:szCs w:val="21"/>
          <w:lang w:val="en-US" w:eastAsia="zh-CN"/>
        </w:rPr>
        <w:t>患儿穿刺成功率：一次穿刺</w:t>
      </w:r>
      <w:r>
        <w:rPr>
          <w:rFonts w:hint="eastAsia" w:ascii="宋体" w:hAnsi="宋体" w:eastAsia="宋体" w:cs="宋体"/>
          <w:color w:val="auto"/>
          <w:szCs w:val="21"/>
          <w:lang w:val="en-US" w:eastAsia="zh-CN"/>
        </w:rPr>
        <w:t>成功率</w:t>
      </w:r>
      <w:r>
        <w:rPr>
          <w:rFonts w:hint="eastAsia" w:ascii="宋体" w:hAnsi="宋体" w:cs="宋体"/>
          <w:color w:val="auto"/>
          <w:szCs w:val="21"/>
          <w:lang w:val="en-US" w:eastAsia="zh-CN"/>
        </w:rPr>
        <w:t>、二次穿刺</w:t>
      </w:r>
      <w:r>
        <w:rPr>
          <w:rFonts w:hint="eastAsia" w:ascii="宋体" w:hAnsi="宋体" w:eastAsia="宋体" w:cs="宋体"/>
          <w:color w:val="auto"/>
          <w:szCs w:val="21"/>
          <w:lang w:val="en-US" w:eastAsia="zh-CN"/>
        </w:rPr>
        <w:t>成功率</w:t>
      </w:r>
      <w:r>
        <w:rPr>
          <w:rFonts w:hint="eastAsia" w:ascii="宋体" w:hAnsi="宋体" w:cs="宋体"/>
          <w:color w:val="auto"/>
          <w:szCs w:val="21"/>
          <w:lang w:val="en-US" w:eastAsia="zh-CN"/>
        </w:rPr>
        <w:t>、多次穿刺</w:t>
      </w:r>
      <w:r>
        <w:rPr>
          <w:rFonts w:hint="eastAsia" w:ascii="宋体" w:hAnsi="宋体" w:eastAsia="宋体" w:cs="宋体"/>
          <w:color w:val="auto"/>
          <w:szCs w:val="21"/>
          <w:lang w:val="en-US" w:eastAsia="zh-CN"/>
        </w:rPr>
        <w:t>成功率</w:t>
      </w:r>
      <w:r>
        <w:rPr>
          <w:rFonts w:hint="eastAsia" w:ascii="宋体" w:hAnsi="宋体" w:cs="宋体"/>
          <w:color w:val="auto"/>
          <w:szCs w:val="21"/>
          <w:lang w:val="en-US" w:eastAsia="zh-CN"/>
        </w:rPr>
        <w:t>，对比分析差异</w:t>
      </w:r>
      <w:r>
        <w:rPr>
          <w:rFonts w:hint="eastAsia" w:ascii="宋体" w:hAnsi="宋体" w:eastAsia="宋体" w:cs="宋体"/>
          <w:b w:val="0"/>
          <w:bCs w:val="0"/>
          <w:color w:val="auto"/>
          <w:sz w:val="21"/>
          <w:szCs w:val="21"/>
          <w:lang w:val="en-US" w:eastAsia="zh-CN"/>
        </w:rPr>
        <w:t>。</w:t>
      </w:r>
    </w:p>
    <w:p w14:paraId="720570CB">
      <w:pPr>
        <w:ind w:firstLine="420" w:firstLineChars="200"/>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（2）患儿家属护理满意度：自制调查问卷，非常满意（&gt;85分）、满意（85分-60分）、不满意（&lt;60分）。</w:t>
      </w:r>
    </w:p>
    <w:p w14:paraId="5E85995F">
      <w:pPr>
        <w:ind w:firstLine="420" w:firstLineChars="200"/>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（3）</w:t>
      </w:r>
      <w:r>
        <w:rPr>
          <w:rFonts w:hint="eastAsia" w:ascii="宋体" w:hAnsi="宋体" w:cs="宋体"/>
          <w:color w:val="auto"/>
          <w:szCs w:val="21"/>
          <w:lang w:val="en-US" w:eastAsia="zh-CN"/>
        </w:rPr>
        <w:t>患儿并发症发生率：皮下血肿、疼痛、</w:t>
      </w:r>
      <w:r>
        <w:rPr>
          <w:rFonts w:hint="eastAsia" w:ascii="宋体" w:hAnsi="宋体" w:cs="宋体"/>
          <w:color w:val="0000FF"/>
          <w:szCs w:val="21"/>
          <w:lang w:val="en-US" w:eastAsia="zh-CN"/>
        </w:rPr>
        <w:t>液体渗出</w:t>
      </w:r>
      <w:r>
        <w:rPr>
          <w:rFonts w:hint="eastAsia" w:ascii="宋体" w:hAnsi="宋体"/>
          <w:color w:val="0000FF"/>
          <w:lang w:val="en-US" w:eastAsia="zh-CN"/>
        </w:rPr>
        <w:t>，</w:t>
      </w:r>
      <w:r>
        <w:rPr>
          <w:rFonts w:hint="eastAsia" w:ascii="宋体" w:hAnsi="宋体"/>
          <w:color w:val="auto"/>
          <w:lang w:val="en-US" w:eastAsia="zh-CN"/>
        </w:rPr>
        <w:t>对比分析差异</w:t>
      </w:r>
      <w:r>
        <w:rPr>
          <w:rFonts w:hint="eastAsia" w:ascii="宋体" w:hAnsi="宋体" w:eastAsia="宋体" w:cs="宋体"/>
          <w:b w:val="0"/>
          <w:bCs w:val="0"/>
          <w:color w:val="auto"/>
          <w:sz w:val="21"/>
          <w:szCs w:val="21"/>
          <w:lang w:val="en-US" w:eastAsia="zh-CN"/>
        </w:rPr>
        <w:t>。</w:t>
      </w:r>
    </w:p>
    <w:p w14:paraId="25DE5272">
      <w:pPr>
        <w:numPr>
          <w:ilvl w:val="1"/>
          <w:numId w:val="1"/>
        </w:numPr>
        <w:spacing w:line="480" w:lineRule="auto"/>
        <w:rPr>
          <w:rFonts w:ascii="宋体" w:hAnsi="宋体" w:eastAsia="宋体" w:cs="宋体"/>
          <w:color w:val="auto"/>
          <w:szCs w:val="21"/>
        </w:rPr>
      </w:pPr>
      <w:r>
        <w:rPr>
          <w:rFonts w:hint="eastAsia" w:ascii="宋体" w:hAnsi="宋体" w:eastAsia="宋体" w:cs="宋体"/>
          <w:color w:val="auto"/>
          <w:szCs w:val="21"/>
        </w:rPr>
        <w:t>统计学分析</w:t>
      </w:r>
    </w:p>
    <w:p w14:paraId="74E5C0FF">
      <w:pPr>
        <w:ind w:firstLine="420" w:firstLineChars="200"/>
        <w:rPr>
          <w:rFonts w:hint="eastAsia" w:ascii="宋体" w:hAnsi="宋体" w:cs="宋体"/>
          <w:color w:val="auto"/>
          <w:szCs w:val="21"/>
        </w:rPr>
      </w:pPr>
      <w:r>
        <w:rPr>
          <w:rFonts w:hint="eastAsia" w:ascii="宋体" w:hAnsi="宋体" w:eastAsia="宋体" w:cs="宋体"/>
          <w:b w:val="0"/>
          <w:bCs w:val="0"/>
          <w:color w:val="auto"/>
          <w:sz w:val="21"/>
          <w:szCs w:val="21"/>
          <w:lang w:val="en-US" w:eastAsia="zh-CN"/>
        </w:rPr>
        <w:t>数据利用软件SPSS26.0处理，计量、计数资料用</w:t>
      </w:r>
      <w:r>
        <w:rPr>
          <w:rFonts w:hint="eastAsia" w:ascii="宋体" w:hAnsi="宋体" w:cs="宋体"/>
          <w:color w:val="auto"/>
          <w:position w:val="-4"/>
          <w:szCs w:val="21"/>
        </w:rPr>
        <w:object>
          <v:shape id="_x0000_i1026" o:spt="75" type="#_x0000_t75" style="height:12pt;width:10pt;" o:ole="t" filled="f" o:preferrelative="t" stroked="f" coordsize="21600,21600">
            <v:path/>
            <v:fill on="f" focussize="0,0"/>
            <v:stroke on="f"/>
            <v:imagedata r:id="rId7" o:title=""/>
            <o:lock v:ext="edit" aspectratio="t"/>
            <w10:wrap type="none"/>
            <w10:anchorlock/>
          </v:shape>
          <o:OLEObject Type="Embed" ProgID="Equation.KSEE3" ShapeID="_x0000_i1026" DrawAspect="Content" ObjectID="_1468075726" r:id="rId8">
            <o:LockedField>false</o:LockedField>
          </o:OLEObject>
        </w:object>
      </w:r>
      <w:r>
        <w:rPr>
          <w:rFonts w:hint="eastAsia" w:ascii="宋体" w:hAnsi="宋体" w:eastAsia="宋体" w:cs="宋体"/>
          <w:b w:val="0"/>
          <w:bCs w:val="0"/>
          <w:color w:val="auto"/>
          <w:sz w:val="21"/>
          <w:szCs w:val="21"/>
          <w:lang w:val="en-US" w:eastAsia="zh-CN"/>
        </w:rPr>
        <w:t>±s、（n，%）表示，差异性对应t、</w:t>
      </w:r>
      <w:r>
        <w:rPr>
          <w:rFonts w:hint="eastAsia" w:ascii="宋体" w:hAnsi="宋体" w:eastAsia="宋体" w:cs="宋体"/>
          <w:b w:val="0"/>
          <w:bCs w:val="0"/>
          <w:color w:val="auto"/>
          <w:sz w:val="21"/>
          <w:szCs w:val="21"/>
          <w:lang w:val="en-US" w:eastAsia="zh-CN"/>
        </w:rPr>
        <w:sym w:font="Symbol" w:char="0063"/>
      </w:r>
      <w:r>
        <w:rPr>
          <w:rFonts w:hint="eastAsia" w:ascii="宋体" w:hAnsi="宋体" w:eastAsia="宋体" w:cs="宋体"/>
          <w:b w:val="0"/>
          <w:bCs w:val="0"/>
          <w:color w:val="auto"/>
          <w:sz w:val="21"/>
          <w:szCs w:val="21"/>
          <w:vertAlign w:val="superscript"/>
          <w:lang w:val="en-US" w:eastAsia="zh-CN"/>
        </w:rPr>
        <w:t>2</w:t>
      </w:r>
      <w:r>
        <w:rPr>
          <w:rFonts w:hint="eastAsia" w:ascii="宋体" w:hAnsi="宋体" w:eastAsia="宋体" w:cs="宋体"/>
          <w:b w:val="0"/>
          <w:bCs w:val="0"/>
          <w:color w:val="auto"/>
          <w:sz w:val="21"/>
          <w:szCs w:val="21"/>
          <w:lang w:val="en-US" w:eastAsia="zh-CN"/>
        </w:rPr>
        <w:t>检验；依据：P＜0.05存在统计学意义</w:t>
      </w:r>
      <w:r>
        <w:rPr>
          <w:rFonts w:hint="eastAsia" w:ascii="宋体" w:hAnsi="宋体" w:cs="宋体"/>
          <w:color w:val="auto"/>
          <w:szCs w:val="21"/>
        </w:rPr>
        <w:t>。</w:t>
      </w:r>
    </w:p>
    <w:p w14:paraId="530DCAF0">
      <w:pPr>
        <w:widowControl/>
        <w:spacing w:line="480" w:lineRule="auto"/>
        <w:jc w:val="left"/>
        <w:rPr>
          <w:rFonts w:ascii="宋体" w:hAnsi="宋体" w:eastAsia="宋体" w:cs="宋体"/>
          <w:color w:val="auto"/>
          <w:szCs w:val="21"/>
        </w:rPr>
      </w:pPr>
      <w:r>
        <w:rPr>
          <w:rFonts w:hint="eastAsia" w:ascii="宋体" w:hAnsi="宋体" w:eastAsia="宋体" w:cs="宋体"/>
          <w:b/>
          <w:bCs/>
          <w:color w:val="auto"/>
          <w:szCs w:val="21"/>
        </w:rPr>
        <w:t>2结果</w:t>
      </w:r>
      <w:bookmarkStart w:id="2" w:name="_Hlk119426956"/>
    </w:p>
    <w:bookmarkEnd w:id="2"/>
    <w:p w14:paraId="45FF87F1">
      <w:pPr>
        <w:widowControl/>
        <w:spacing w:line="480" w:lineRule="auto"/>
        <w:rPr>
          <w:rFonts w:hint="default" w:ascii="宋体" w:hAnsi="宋体"/>
          <w:color w:val="auto"/>
          <w:lang w:val="en-US" w:eastAsia="zh-CN"/>
        </w:rPr>
      </w:pPr>
      <w:r>
        <w:rPr>
          <w:rFonts w:hint="eastAsia" w:ascii="宋体" w:hAnsi="宋体"/>
          <w:color w:val="auto"/>
          <w:lang w:val="en-US" w:eastAsia="zh-CN"/>
        </w:rPr>
        <w:t>2.1比较</w:t>
      </w:r>
      <w:r>
        <w:rPr>
          <w:rFonts w:hint="eastAsia" w:ascii="宋体" w:hAnsi="宋体" w:cs="宋体"/>
          <w:color w:val="auto"/>
          <w:szCs w:val="21"/>
          <w:lang w:val="en-US" w:eastAsia="zh-CN"/>
        </w:rPr>
        <w:t>患儿穿刺成功率</w:t>
      </w:r>
    </w:p>
    <w:p w14:paraId="1CA3C557">
      <w:pPr>
        <w:widowControl/>
        <w:spacing w:line="480" w:lineRule="auto"/>
        <w:ind w:firstLine="420" w:firstLineChars="200"/>
        <w:rPr>
          <w:rFonts w:hint="eastAsia" w:ascii="宋体" w:hAnsi="宋体"/>
          <w:color w:val="auto"/>
          <w:lang w:val="en-US" w:eastAsia="zh-CN"/>
        </w:rPr>
      </w:pPr>
      <w:r>
        <w:rPr>
          <w:rFonts w:hint="eastAsia" w:ascii="宋体" w:hAnsi="宋体" w:eastAsia="宋体" w:cs="宋体"/>
          <w:b w:val="0"/>
          <w:bCs w:val="0"/>
          <w:color w:val="auto"/>
          <w:szCs w:val="21"/>
          <w:lang w:val="en-US" w:eastAsia="zh-CN"/>
        </w:rPr>
        <w:t>观察组</w:t>
      </w:r>
      <w:r>
        <w:rPr>
          <w:rFonts w:hint="eastAsia" w:ascii="宋体" w:hAnsi="宋体" w:cs="宋体"/>
          <w:color w:val="auto"/>
          <w:szCs w:val="21"/>
          <w:lang w:val="en-US" w:eastAsia="zh-CN"/>
        </w:rPr>
        <w:t>患儿</w:t>
      </w:r>
      <w:r>
        <w:rPr>
          <w:rFonts w:hint="default" w:ascii="宋体" w:hAnsi="宋体" w:eastAsia="宋体" w:cs="宋体"/>
          <w:color w:val="auto"/>
          <w:szCs w:val="21"/>
          <w:lang w:val="en-US" w:eastAsia="zh-CN"/>
        </w:rPr>
        <w:t>一次穿刺</w:t>
      </w:r>
      <w:r>
        <w:rPr>
          <w:rFonts w:hint="eastAsia" w:ascii="宋体" w:hAnsi="宋体" w:eastAsia="宋体" w:cs="宋体"/>
          <w:color w:val="auto"/>
          <w:szCs w:val="21"/>
          <w:lang w:val="en-US" w:eastAsia="zh-CN"/>
        </w:rPr>
        <w:t>成功率</w:t>
      </w:r>
      <w:r>
        <w:rPr>
          <w:rFonts w:hint="eastAsia" w:ascii="宋体" w:hAnsi="宋体" w:eastAsia="宋体" w:cs="宋体"/>
          <w:b w:val="0"/>
          <w:bCs w:val="0"/>
          <w:color w:val="auto"/>
          <w:szCs w:val="21"/>
          <w:lang w:val="en-US" w:eastAsia="zh-CN"/>
        </w:rPr>
        <w:t>高于对照组且二次穿刺成功率</w:t>
      </w:r>
      <w:r>
        <w:rPr>
          <w:rFonts w:hint="eastAsia" w:ascii="宋体" w:hAnsi="宋体" w:eastAsia="宋体" w:cs="宋体"/>
          <w:color w:val="auto"/>
          <w:szCs w:val="21"/>
          <w:lang w:val="en-US" w:eastAsia="zh-CN"/>
        </w:rPr>
        <w:t>、</w:t>
      </w:r>
      <w:r>
        <w:rPr>
          <w:rFonts w:hint="eastAsia" w:ascii="宋体" w:hAnsi="宋体" w:eastAsia="宋体" w:cs="宋体"/>
          <w:b w:val="0"/>
          <w:bCs w:val="0"/>
          <w:color w:val="auto"/>
          <w:szCs w:val="21"/>
          <w:lang w:val="en-US" w:eastAsia="zh-CN"/>
        </w:rPr>
        <w:t>多次穿刺成功率低于对照组，</w:t>
      </w:r>
      <w:r>
        <w:rPr>
          <w:rFonts w:hint="eastAsia" w:ascii="宋体" w:hAnsi="宋体"/>
          <w:color w:val="auto"/>
          <w:lang w:val="en-US" w:eastAsia="zh-CN"/>
        </w:rPr>
        <w:t>P＜0.05，见表2。</w:t>
      </w:r>
    </w:p>
    <w:p w14:paraId="327293D0">
      <w:pPr>
        <w:pStyle w:val="3"/>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eastAsia" w:ascii="宋体" w:hAnsi="宋体" w:eastAsia="宋体" w:cs="宋体"/>
          <w:color w:val="auto"/>
          <w:szCs w:val="21"/>
        </w:rPr>
      </w:pPr>
      <w:r>
        <w:rPr>
          <w:rFonts w:hint="eastAsia" w:ascii="宋体" w:hAnsi="宋体" w:eastAsia="宋体" w:cs="宋体"/>
          <w:color w:val="auto"/>
          <w:szCs w:val="21"/>
        </w:rPr>
        <w:t>表</w:t>
      </w:r>
      <w:r>
        <w:rPr>
          <w:rFonts w:hint="eastAsia" w:ascii="宋体" w:hAnsi="宋体" w:cs="宋体"/>
          <w:color w:val="auto"/>
          <w:szCs w:val="21"/>
          <w:lang w:val="en-US" w:eastAsia="zh-CN"/>
        </w:rPr>
        <w:t>2</w:t>
      </w:r>
      <w:r>
        <w:rPr>
          <w:rFonts w:hint="eastAsia" w:ascii="宋体" w:hAnsi="宋体"/>
          <w:color w:val="auto"/>
          <w:lang w:val="en-US" w:eastAsia="zh-CN"/>
        </w:rPr>
        <w:t>比较</w:t>
      </w:r>
      <w:r>
        <w:rPr>
          <w:rFonts w:hint="eastAsia" w:ascii="宋体" w:hAnsi="宋体" w:cs="宋体"/>
          <w:color w:val="auto"/>
          <w:szCs w:val="21"/>
          <w:lang w:val="en-US" w:eastAsia="zh-CN"/>
        </w:rPr>
        <w:t>患儿穿刺成功率</w:t>
      </w:r>
      <w:r>
        <w:rPr>
          <w:rFonts w:hint="eastAsia" w:ascii="宋体" w:hAnsi="宋体" w:eastAsia="宋体" w:cs="宋体"/>
          <w:color w:val="auto"/>
          <w:szCs w:val="21"/>
        </w:rPr>
        <w:t>（</w:t>
      </w:r>
      <w:r>
        <w:rPr>
          <w:rFonts w:hint="eastAsia" w:ascii="宋体" w:hAnsi="宋体" w:eastAsia="宋体" w:cs="宋体"/>
          <w:color w:val="auto"/>
          <w:szCs w:val="21"/>
          <w:lang w:val="en-US" w:eastAsia="zh-CN"/>
        </w:rPr>
        <w:t>n，%</w:t>
      </w:r>
      <w:r>
        <w:rPr>
          <w:rFonts w:hint="eastAsia" w:ascii="宋体" w:hAnsi="宋体" w:eastAsia="宋体" w:cs="宋体"/>
          <w:color w:val="auto"/>
          <w:szCs w:val="21"/>
        </w:rPr>
        <w:t>）</w:t>
      </w:r>
    </w:p>
    <w:tbl>
      <w:tblPr>
        <w:tblStyle w:val="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8"/>
        <w:gridCol w:w="673"/>
        <w:gridCol w:w="2169"/>
        <w:gridCol w:w="2169"/>
        <w:gridCol w:w="2170"/>
      </w:tblGrid>
      <w:tr w14:paraId="61E2E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85" w:type="pct"/>
            <w:tcBorders>
              <w:left w:val="nil"/>
              <w:bottom w:val="single" w:color="auto" w:sz="4" w:space="0"/>
              <w:right w:val="nil"/>
            </w:tcBorders>
            <w:vAlign w:val="center"/>
          </w:tcPr>
          <w:p w14:paraId="617D9A5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组别</w:t>
            </w:r>
          </w:p>
        </w:tc>
        <w:tc>
          <w:tcPr>
            <w:tcW w:w="395" w:type="pct"/>
            <w:tcBorders>
              <w:left w:val="nil"/>
              <w:bottom w:val="single" w:color="auto" w:sz="4" w:space="0"/>
              <w:right w:val="nil"/>
            </w:tcBorders>
            <w:vAlign w:val="center"/>
          </w:tcPr>
          <w:p w14:paraId="219855D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n</w:t>
            </w:r>
          </w:p>
        </w:tc>
        <w:tc>
          <w:tcPr>
            <w:tcW w:w="1273" w:type="pct"/>
            <w:tcBorders>
              <w:top w:val="single" w:color="auto" w:sz="4" w:space="0"/>
              <w:left w:val="nil"/>
              <w:bottom w:val="single" w:color="auto" w:sz="4" w:space="0"/>
              <w:right w:val="nil"/>
            </w:tcBorders>
            <w:vAlign w:val="center"/>
          </w:tcPr>
          <w:p w14:paraId="715F18E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一次穿刺</w:t>
            </w:r>
            <w:r>
              <w:rPr>
                <w:rFonts w:hint="eastAsia" w:ascii="宋体" w:hAnsi="宋体" w:eastAsia="宋体" w:cs="宋体"/>
                <w:color w:val="auto"/>
                <w:szCs w:val="21"/>
                <w:lang w:val="en-US" w:eastAsia="zh-CN"/>
              </w:rPr>
              <w:t>成功率</w:t>
            </w:r>
          </w:p>
        </w:tc>
        <w:tc>
          <w:tcPr>
            <w:tcW w:w="1273" w:type="pct"/>
            <w:tcBorders>
              <w:top w:val="single" w:color="auto" w:sz="4" w:space="0"/>
              <w:left w:val="nil"/>
              <w:bottom w:val="single" w:color="auto" w:sz="4" w:space="0"/>
              <w:right w:val="nil"/>
            </w:tcBorders>
            <w:vAlign w:val="center"/>
          </w:tcPr>
          <w:p w14:paraId="070A3BC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b w:val="0"/>
                <w:bCs w:val="0"/>
                <w:color w:val="auto"/>
                <w:szCs w:val="21"/>
                <w:lang w:val="en-US" w:eastAsia="zh-CN"/>
              </w:rPr>
              <w:t>二次穿刺成功率</w:t>
            </w:r>
          </w:p>
        </w:tc>
        <w:tc>
          <w:tcPr>
            <w:tcW w:w="1273" w:type="pct"/>
            <w:tcBorders>
              <w:top w:val="single" w:color="auto" w:sz="4" w:space="0"/>
              <w:left w:val="nil"/>
              <w:bottom w:val="single" w:color="auto" w:sz="4" w:space="0"/>
              <w:right w:val="nil"/>
            </w:tcBorders>
            <w:vAlign w:val="center"/>
          </w:tcPr>
          <w:p w14:paraId="3C7CFBF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b w:val="0"/>
                <w:bCs w:val="0"/>
                <w:color w:val="auto"/>
                <w:szCs w:val="21"/>
                <w:lang w:val="en-US" w:eastAsia="zh-CN"/>
              </w:rPr>
              <w:t>多次穿刺成功率</w:t>
            </w:r>
          </w:p>
        </w:tc>
      </w:tr>
      <w:tr w14:paraId="66D38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85" w:type="pct"/>
            <w:tcBorders>
              <w:top w:val="nil"/>
              <w:left w:val="nil"/>
              <w:bottom w:val="nil"/>
              <w:right w:val="nil"/>
            </w:tcBorders>
            <w:vAlign w:val="center"/>
          </w:tcPr>
          <w:p w14:paraId="0367E29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观察组</w:t>
            </w:r>
          </w:p>
        </w:tc>
        <w:tc>
          <w:tcPr>
            <w:tcW w:w="395" w:type="pct"/>
            <w:tcBorders>
              <w:top w:val="nil"/>
              <w:left w:val="nil"/>
              <w:bottom w:val="nil"/>
              <w:right w:val="nil"/>
            </w:tcBorders>
            <w:vAlign w:val="center"/>
          </w:tcPr>
          <w:p w14:paraId="2B1A454F">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40</w:t>
            </w:r>
          </w:p>
        </w:tc>
        <w:tc>
          <w:tcPr>
            <w:tcW w:w="1273" w:type="pct"/>
            <w:tcBorders>
              <w:top w:val="nil"/>
              <w:left w:val="nil"/>
              <w:bottom w:val="nil"/>
              <w:right w:val="nil"/>
            </w:tcBorders>
            <w:vAlign w:val="center"/>
          </w:tcPr>
          <w:p w14:paraId="063C20C5">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35</w:t>
            </w:r>
            <w:r>
              <w:rPr>
                <w:rFonts w:hint="eastAsia" w:ascii="宋体" w:hAnsi="宋体" w:eastAsia="宋体" w:cs="宋体"/>
                <w:color w:val="auto"/>
                <w:szCs w:val="21"/>
              </w:rPr>
              <w:t>（</w:t>
            </w:r>
            <w:r>
              <w:rPr>
                <w:rFonts w:hint="eastAsia" w:ascii="宋体" w:hAnsi="宋体" w:eastAsia="宋体" w:cs="宋体"/>
                <w:color w:val="auto"/>
                <w:szCs w:val="21"/>
                <w:lang w:val="en-US" w:eastAsia="zh-CN"/>
              </w:rPr>
              <w:t>87.50</w:t>
            </w:r>
            <w:r>
              <w:rPr>
                <w:rFonts w:hint="eastAsia" w:ascii="宋体" w:hAnsi="宋体" w:eastAsia="宋体" w:cs="宋体"/>
                <w:color w:val="auto"/>
                <w:szCs w:val="21"/>
              </w:rPr>
              <w:t>）</w:t>
            </w:r>
          </w:p>
        </w:tc>
        <w:tc>
          <w:tcPr>
            <w:tcW w:w="1273" w:type="pct"/>
            <w:tcBorders>
              <w:top w:val="nil"/>
              <w:left w:val="nil"/>
              <w:bottom w:val="nil"/>
              <w:right w:val="nil"/>
            </w:tcBorders>
            <w:vAlign w:val="center"/>
          </w:tcPr>
          <w:p w14:paraId="5FB5B3B3">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4</w:t>
            </w:r>
            <w:r>
              <w:rPr>
                <w:rFonts w:hint="eastAsia" w:ascii="宋体" w:hAnsi="宋体" w:eastAsia="宋体" w:cs="宋体"/>
                <w:color w:val="auto"/>
                <w:szCs w:val="21"/>
              </w:rPr>
              <w:t>（</w:t>
            </w:r>
            <w:r>
              <w:rPr>
                <w:rFonts w:hint="eastAsia" w:ascii="宋体" w:hAnsi="宋体" w:eastAsia="宋体" w:cs="宋体"/>
                <w:color w:val="auto"/>
                <w:szCs w:val="21"/>
                <w:lang w:val="en-US" w:eastAsia="zh-CN"/>
              </w:rPr>
              <w:t>10.00</w:t>
            </w:r>
            <w:r>
              <w:rPr>
                <w:rFonts w:hint="eastAsia" w:ascii="宋体" w:hAnsi="宋体" w:eastAsia="宋体" w:cs="宋体"/>
                <w:color w:val="auto"/>
                <w:szCs w:val="21"/>
              </w:rPr>
              <w:t>）</w:t>
            </w:r>
          </w:p>
        </w:tc>
        <w:tc>
          <w:tcPr>
            <w:tcW w:w="1273" w:type="pct"/>
            <w:tcBorders>
              <w:top w:val="nil"/>
              <w:left w:val="nil"/>
              <w:bottom w:val="nil"/>
              <w:right w:val="nil"/>
            </w:tcBorders>
            <w:vAlign w:val="center"/>
          </w:tcPr>
          <w:p w14:paraId="4CC53315">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w:t>
            </w:r>
            <w:r>
              <w:rPr>
                <w:rFonts w:hint="eastAsia" w:ascii="宋体" w:hAnsi="宋体" w:eastAsia="宋体" w:cs="宋体"/>
                <w:color w:val="auto"/>
                <w:szCs w:val="21"/>
              </w:rPr>
              <w:t>（</w:t>
            </w:r>
            <w:r>
              <w:rPr>
                <w:rFonts w:hint="eastAsia" w:ascii="宋体" w:hAnsi="宋体" w:eastAsia="宋体" w:cs="宋体"/>
                <w:color w:val="auto"/>
                <w:szCs w:val="21"/>
                <w:lang w:val="en-US" w:eastAsia="zh-CN"/>
              </w:rPr>
              <w:t>2.50</w:t>
            </w:r>
            <w:r>
              <w:rPr>
                <w:rFonts w:hint="eastAsia" w:ascii="宋体" w:hAnsi="宋体" w:eastAsia="宋体" w:cs="宋体"/>
                <w:color w:val="auto"/>
                <w:szCs w:val="21"/>
              </w:rPr>
              <w:t>）</w:t>
            </w:r>
          </w:p>
        </w:tc>
      </w:tr>
      <w:tr w14:paraId="7A419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85" w:type="pct"/>
            <w:tcBorders>
              <w:top w:val="nil"/>
              <w:left w:val="nil"/>
              <w:bottom w:val="nil"/>
              <w:right w:val="nil"/>
            </w:tcBorders>
            <w:vAlign w:val="center"/>
          </w:tcPr>
          <w:p w14:paraId="3773DA5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对照组</w:t>
            </w:r>
          </w:p>
        </w:tc>
        <w:tc>
          <w:tcPr>
            <w:tcW w:w="395" w:type="pct"/>
            <w:tcBorders>
              <w:top w:val="nil"/>
              <w:left w:val="nil"/>
              <w:bottom w:val="nil"/>
              <w:right w:val="nil"/>
            </w:tcBorders>
            <w:vAlign w:val="center"/>
          </w:tcPr>
          <w:p w14:paraId="3CA79F9B">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40</w:t>
            </w:r>
          </w:p>
        </w:tc>
        <w:tc>
          <w:tcPr>
            <w:tcW w:w="1273" w:type="pct"/>
            <w:tcBorders>
              <w:top w:val="nil"/>
              <w:left w:val="nil"/>
              <w:bottom w:val="nil"/>
              <w:right w:val="nil"/>
            </w:tcBorders>
            <w:vAlign w:val="center"/>
          </w:tcPr>
          <w:p w14:paraId="2134ECA2">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22</w:t>
            </w:r>
            <w:r>
              <w:rPr>
                <w:rFonts w:hint="eastAsia" w:ascii="宋体" w:hAnsi="宋体" w:eastAsia="宋体" w:cs="宋体"/>
                <w:color w:val="auto"/>
                <w:szCs w:val="21"/>
              </w:rPr>
              <w:t>（</w:t>
            </w:r>
            <w:r>
              <w:rPr>
                <w:rFonts w:hint="eastAsia" w:ascii="宋体" w:hAnsi="宋体" w:eastAsia="宋体" w:cs="宋体"/>
                <w:color w:val="auto"/>
                <w:szCs w:val="21"/>
                <w:lang w:val="en-US" w:eastAsia="zh-CN"/>
              </w:rPr>
              <w:t>55.00</w:t>
            </w:r>
            <w:r>
              <w:rPr>
                <w:rFonts w:hint="eastAsia" w:ascii="宋体" w:hAnsi="宋体" w:eastAsia="宋体" w:cs="宋体"/>
                <w:color w:val="auto"/>
                <w:szCs w:val="21"/>
              </w:rPr>
              <w:t>）</w:t>
            </w:r>
          </w:p>
        </w:tc>
        <w:tc>
          <w:tcPr>
            <w:tcW w:w="1273" w:type="pct"/>
            <w:tcBorders>
              <w:top w:val="nil"/>
              <w:left w:val="nil"/>
              <w:bottom w:val="nil"/>
              <w:right w:val="nil"/>
            </w:tcBorders>
            <w:vAlign w:val="center"/>
          </w:tcPr>
          <w:p w14:paraId="6F9544D8">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12</w:t>
            </w:r>
            <w:r>
              <w:rPr>
                <w:rFonts w:hint="eastAsia" w:ascii="宋体" w:hAnsi="宋体" w:eastAsia="宋体" w:cs="宋体"/>
                <w:color w:val="auto"/>
                <w:szCs w:val="21"/>
              </w:rPr>
              <w:t>（</w:t>
            </w:r>
            <w:r>
              <w:rPr>
                <w:rFonts w:hint="eastAsia" w:ascii="宋体" w:hAnsi="宋体" w:eastAsia="宋体" w:cs="宋体"/>
                <w:color w:val="auto"/>
                <w:szCs w:val="21"/>
                <w:lang w:val="en-US" w:eastAsia="zh-CN"/>
              </w:rPr>
              <w:t>30.00</w:t>
            </w:r>
            <w:r>
              <w:rPr>
                <w:rFonts w:hint="eastAsia" w:ascii="宋体" w:hAnsi="宋体" w:eastAsia="宋体" w:cs="宋体"/>
                <w:color w:val="auto"/>
                <w:szCs w:val="21"/>
              </w:rPr>
              <w:t>）</w:t>
            </w:r>
          </w:p>
        </w:tc>
        <w:tc>
          <w:tcPr>
            <w:tcW w:w="1273" w:type="pct"/>
            <w:tcBorders>
              <w:top w:val="nil"/>
              <w:left w:val="nil"/>
              <w:bottom w:val="nil"/>
              <w:right w:val="nil"/>
            </w:tcBorders>
            <w:vAlign w:val="center"/>
          </w:tcPr>
          <w:p w14:paraId="355EC783">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6</w:t>
            </w:r>
            <w:r>
              <w:rPr>
                <w:rFonts w:hint="eastAsia" w:ascii="宋体" w:hAnsi="宋体" w:eastAsia="宋体" w:cs="宋体"/>
                <w:color w:val="auto"/>
                <w:szCs w:val="21"/>
              </w:rPr>
              <w:t>（</w:t>
            </w:r>
            <w:r>
              <w:rPr>
                <w:rFonts w:hint="eastAsia" w:ascii="宋体" w:hAnsi="宋体" w:eastAsia="宋体" w:cs="宋体"/>
                <w:color w:val="auto"/>
                <w:szCs w:val="21"/>
                <w:lang w:val="en-US" w:eastAsia="zh-CN"/>
              </w:rPr>
              <w:t>15.00</w:t>
            </w:r>
            <w:r>
              <w:rPr>
                <w:rFonts w:hint="eastAsia" w:ascii="宋体" w:hAnsi="宋体" w:eastAsia="宋体" w:cs="宋体"/>
                <w:color w:val="auto"/>
                <w:szCs w:val="21"/>
              </w:rPr>
              <w:t>）</w:t>
            </w:r>
          </w:p>
        </w:tc>
      </w:tr>
      <w:tr w14:paraId="64D78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5" w:type="pct"/>
            <w:tcBorders>
              <w:top w:val="nil"/>
              <w:left w:val="nil"/>
              <w:bottom w:val="nil"/>
              <w:right w:val="nil"/>
            </w:tcBorders>
            <w:vAlign w:val="center"/>
          </w:tcPr>
          <w:p w14:paraId="2B2F240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rPr>
            </w:pPr>
            <w:r>
              <w:rPr>
                <w:rFonts w:hint="default" w:ascii="宋体" w:hAnsi="宋体" w:eastAsia="宋体" w:cs="宋体"/>
                <w:color w:val="auto"/>
                <w:szCs w:val="21"/>
                <w:lang w:val="en-US" w:eastAsia="zh-CN"/>
              </w:rPr>
              <w:sym w:font="Symbol" w:char="0063"/>
            </w:r>
            <w:r>
              <w:rPr>
                <w:rFonts w:hint="default" w:ascii="宋体" w:hAnsi="宋体" w:eastAsia="宋体" w:cs="宋体"/>
                <w:color w:val="auto"/>
                <w:szCs w:val="21"/>
                <w:vertAlign w:val="superscript"/>
                <w:lang w:val="en-US" w:eastAsia="zh-CN"/>
              </w:rPr>
              <w:t>2</w:t>
            </w:r>
            <w:r>
              <w:rPr>
                <w:rFonts w:hint="eastAsia" w:ascii="宋体" w:hAnsi="宋体" w:eastAsia="宋体" w:cs="宋体"/>
                <w:color w:val="auto"/>
                <w:szCs w:val="21"/>
                <w:vertAlign w:val="baseline"/>
                <w:lang w:val="en-US" w:eastAsia="zh-CN"/>
              </w:rPr>
              <w:t>值</w:t>
            </w:r>
          </w:p>
        </w:tc>
        <w:tc>
          <w:tcPr>
            <w:tcW w:w="395" w:type="pct"/>
            <w:tcBorders>
              <w:top w:val="nil"/>
              <w:left w:val="nil"/>
              <w:bottom w:val="nil"/>
              <w:right w:val="nil"/>
            </w:tcBorders>
            <w:vAlign w:val="center"/>
          </w:tcPr>
          <w:p w14:paraId="592405B5">
            <w:pPr>
              <w:spacing w:line="360" w:lineRule="auto"/>
              <w:jc w:val="center"/>
              <w:rPr>
                <w:rFonts w:hint="eastAsia" w:ascii="宋体" w:hAnsi="宋体" w:eastAsia="宋体" w:cs="宋体"/>
                <w:color w:val="auto"/>
                <w:szCs w:val="21"/>
                <w:lang w:val="en-US" w:eastAsia="zh-CN"/>
              </w:rPr>
            </w:pPr>
            <w:r>
              <w:rPr>
                <w:rFonts w:hint="eastAsia" w:ascii="宋体" w:hAnsi="宋体" w:eastAsia="宋体" w:cs="Times New Roman"/>
                <w:color w:val="auto"/>
              </w:rPr>
              <w:t>/</w:t>
            </w:r>
          </w:p>
        </w:tc>
        <w:tc>
          <w:tcPr>
            <w:tcW w:w="1273" w:type="pct"/>
            <w:tcBorders>
              <w:top w:val="nil"/>
              <w:left w:val="nil"/>
              <w:bottom w:val="nil"/>
              <w:right w:val="nil"/>
            </w:tcBorders>
            <w:vAlign w:val="center"/>
          </w:tcPr>
          <w:p w14:paraId="3AAF8038">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10.313</w:t>
            </w:r>
          </w:p>
        </w:tc>
        <w:tc>
          <w:tcPr>
            <w:tcW w:w="1273" w:type="pct"/>
            <w:tcBorders>
              <w:top w:val="nil"/>
              <w:left w:val="nil"/>
              <w:bottom w:val="nil"/>
              <w:right w:val="nil"/>
            </w:tcBorders>
            <w:vAlign w:val="center"/>
          </w:tcPr>
          <w:p w14:paraId="5E18FF18">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5.000</w:t>
            </w:r>
          </w:p>
        </w:tc>
        <w:tc>
          <w:tcPr>
            <w:tcW w:w="1273" w:type="pct"/>
            <w:tcBorders>
              <w:top w:val="nil"/>
              <w:left w:val="nil"/>
              <w:bottom w:val="nil"/>
              <w:right w:val="nil"/>
            </w:tcBorders>
            <w:vAlign w:val="center"/>
          </w:tcPr>
          <w:p w14:paraId="7670C240">
            <w:pPr>
              <w:spacing w:line="360" w:lineRule="auto"/>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3.914</w:t>
            </w:r>
          </w:p>
        </w:tc>
      </w:tr>
      <w:tr w14:paraId="07780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5" w:type="pct"/>
            <w:tcBorders>
              <w:top w:val="nil"/>
              <w:left w:val="nil"/>
              <w:bottom w:val="single" w:color="auto" w:sz="4" w:space="0"/>
              <w:right w:val="nil"/>
            </w:tcBorders>
            <w:vAlign w:val="center"/>
          </w:tcPr>
          <w:p w14:paraId="1912BCF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P</w:t>
            </w:r>
            <w:r>
              <w:rPr>
                <w:rFonts w:hint="eastAsia" w:ascii="宋体" w:hAnsi="宋体" w:eastAsia="宋体" w:cs="宋体"/>
                <w:color w:val="auto"/>
                <w:szCs w:val="21"/>
                <w:vertAlign w:val="baseline"/>
                <w:lang w:val="en-US" w:eastAsia="zh-CN"/>
              </w:rPr>
              <w:t>值</w:t>
            </w:r>
          </w:p>
        </w:tc>
        <w:tc>
          <w:tcPr>
            <w:tcW w:w="395" w:type="pct"/>
            <w:tcBorders>
              <w:top w:val="nil"/>
              <w:left w:val="nil"/>
              <w:bottom w:val="single" w:color="auto" w:sz="4" w:space="0"/>
              <w:right w:val="nil"/>
            </w:tcBorders>
            <w:vAlign w:val="center"/>
          </w:tcPr>
          <w:p w14:paraId="4F491759">
            <w:pPr>
              <w:spacing w:line="360" w:lineRule="auto"/>
              <w:jc w:val="center"/>
              <w:rPr>
                <w:rFonts w:hint="eastAsia" w:ascii="宋体" w:hAnsi="宋体" w:eastAsia="宋体" w:cs="宋体"/>
                <w:color w:val="auto"/>
                <w:szCs w:val="21"/>
                <w:lang w:val="en-US" w:eastAsia="zh-CN"/>
              </w:rPr>
            </w:pPr>
            <w:r>
              <w:rPr>
                <w:rFonts w:hint="eastAsia" w:ascii="宋体" w:hAnsi="宋体" w:eastAsia="宋体" w:cs="Times New Roman"/>
                <w:color w:val="auto"/>
              </w:rPr>
              <w:t>/</w:t>
            </w:r>
          </w:p>
        </w:tc>
        <w:tc>
          <w:tcPr>
            <w:tcW w:w="1273" w:type="pct"/>
            <w:tcBorders>
              <w:top w:val="nil"/>
              <w:left w:val="nil"/>
              <w:bottom w:val="single" w:color="auto" w:sz="4" w:space="0"/>
              <w:right w:val="nil"/>
            </w:tcBorders>
            <w:vAlign w:val="center"/>
          </w:tcPr>
          <w:p w14:paraId="062D9027">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0.001</w:t>
            </w:r>
          </w:p>
        </w:tc>
        <w:tc>
          <w:tcPr>
            <w:tcW w:w="1273" w:type="pct"/>
            <w:tcBorders>
              <w:top w:val="nil"/>
              <w:left w:val="nil"/>
              <w:bottom w:val="single" w:color="auto" w:sz="4" w:space="0"/>
              <w:right w:val="nil"/>
            </w:tcBorders>
            <w:vAlign w:val="center"/>
          </w:tcPr>
          <w:p w14:paraId="7CFB69D5">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0.025</w:t>
            </w:r>
          </w:p>
        </w:tc>
        <w:tc>
          <w:tcPr>
            <w:tcW w:w="1273" w:type="pct"/>
            <w:tcBorders>
              <w:top w:val="nil"/>
              <w:left w:val="nil"/>
              <w:bottom w:val="single" w:color="auto" w:sz="4" w:space="0"/>
              <w:right w:val="nil"/>
            </w:tcBorders>
            <w:vAlign w:val="center"/>
          </w:tcPr>
          <w:p w14:paraId="6C1E1073">
            <w:pPr>
              <w:spacing w:line="360" w:lineRule="auto"/>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0.048</w:t>
            </w:r>
          </w:p>
        </w:tc>
      </w:tr>
    </w:tbl>
    <w:p w14:paraId="29A9B97B">
      <w:pPr>
        <w:widowControl/>
        <w:spacing w:line="480" w:lineRule="auto"/>
        <w:rPr>
          <w:rFonts w:hint="default" w:ascii="宋体" w:hAnsi="宋体"/>
          <w:color w:val="auto"/>
          <w:lang w:val="en-US" w:eastAsia="zh-CN"/>
        </w:rPr>
      </w:pPr>
      <w:r>
        <w:rPr>
          <w:rFonts w:hint="eastAsia" w:ascii="宋体" w:hAnsi="宋体"/>
          <w:color w:val="auto"/>
          <w:lang w:val="en-US" w:eastAsia="zh-CN"/>
        </w:rPr>
        <w:t>2.2比较患儿家属护理满意度</w:t>
      </w:r>
    </w:p>
    <w:p w14:paraId="186EEAB7">
      <w:pPr>
        <w:widowControl/>
        <w:spacing w:line="480" w:lineRule="auto"/>
        <w:ind w:firstLine="420" w:firstLineChars="200"/>
        <w:rPr>
          <w:rFonts w:hint="eastAsia" w:ascii="宋体" w:hAnsi="宋体"/>
          <w:color w:val="auto"/>
          <w:lang w:val="en-US" w:eastAsia="zh-CN"/>
        </w:rPr>
      </w:pPr>
      <w:r>
        <w:rPr>
          <w:rFonts w:hint="eastAsia" w:ascii="宋体" w:hAnsi="宋体" w:eastAsia="宋体" w:cs="宋体"/>
          <w:b w:val="0"/>
          <w:bCs w:val="0"/>
          <w:color w:val="auto"/>
          <w:szCs w:val="21"/>
          <w:lang w:val="en-US" w:eastAsia="zh-CN"/>
        </w:rPr>
        <w:t>观察组</w:t>
      </w:r>
      <w:r>
        <w:rPr>
          <w:rFonts w:hint="eastAsia" w:ascii="宋体" w:hAnsi="宋体"/>
          <w:color w:val="auto"/>
          <w:lang w:val="en-US" w:eastAsia="zh-CN"/>
        </w:rPr>
        <w:t>患儿家属护理满意度高于</w:t>
      </w:r>
      <w:r>
        <w:rPr>
          <w:rFonts w:hint="eastAsia" w:ascii="宋体" w:hAnsi="宋体" w:eastAsia="宋体" w:cs="宋体"/>
          <w:b w:val="0"/>
          <w:bCs w:val="0"/>
          <w:color w:val="auto"/>
          <w:szCs w:val="21"/>
          <w:lang w:val="en-US" w:eastAsia="zh-CN"/>
        </w:rPr>
        <w:t>对照组，</w:t>
      </w:r>
      <w:r>
        <w:rPr>
          <w:rFonts w:hint="eastAsia" w:ascii="宋体" w:hAnsi="宋体"/>
          <w:color w:val="auto"/>
          <w:lang w:val="en-US" w:eastAsia="zh-CN"/>
        </w:rPr>
        <w:t>P＜0.05，详见表3。</w:t>
      </w:r>
    </w:p>
    <w:p w14:paraId="5E91A11D">
      <w:pPr>
        <w:pStyle w:val="3"/>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eastAsia" w:ascii="宋体" w:hAnsi="宋体" w:eastAsia="宋体" w:cs="宋体"/>
          <w:color w:val="auto"/>
          <w:szCs w:val="21"/>
        </w:rPr>
      </w:pPr>
      <w:r>
        <w:rPr>
          <w:rFonts w:hint="eastAsia" w:ascii="宋体" w:hAnsi="宋体" w:eastAsia="宋体" w:cs="宋体"/>
          <w:color w:val="auto"/>
          <w:szCs w:val="21"/>
        </w:rPr>
        <w:t>表</w:t>
      </w:r>
      <w:r>
        <w:rPr>
          <w:rFonts w:hint="eastAsia" w:ascii="宋体" w:hAnsi="宋体" w:cs="宋体"/>
          <w:color w:val="auto"/>
          <w:szCs w:val="21"/>
          <w:lang w:val="en-US" w:eastAsia="zh-CN"/>
        </w:rPr>
        <w:t>3</w:t>
      </w:r>
      <w:r>
        <w:rPr>
          <w:rFonts w:hint="eastAsia" w:ascii="宋体" w:hAnsi="宋体"/>
          <w:color w:val="auto"/>
          <w:lang w:val="en-US" w:eastAsia="zh-CN"/>
        </w:rPr>
        <w:t>比较患儿家属护理满意度</w:t>
      </w:r>
      <w:r>
        <w:rPr>
          <w:rFonts w:hint="eastAsia" w:ascii="宋体" w:hAnsi="宋体" w:eastAsia="宋体" w:cs="宋体"/>
          <w:color w:val="auto"/>
          <w:szCs w:val="21"/>
        </w:rPr>
        <w:t>（</w:t>
      </w:r>
      <w:r>
        <w:rPr>
          <w:rFonts w:hint="eastAsia" w:ascii="宋体" w:hAnsi="宋体" w:eastAsia="宋体" w:cs="宋体"/>
          <w:color w:val="auto"/>
          <w:szCs w:val="21"/>
          <w:lang w:val="en-US" w:eastAsia="zh-CN"/>
        </w:rPr>
        <w:t>n，%</w:t>
      </w:r>
      <w:r>
        <w:rPr>
          <w:rFonts w:hint="eastAsia" w:ascii="宋体" w:hAnsi="宋体" w:eastAsia="宋体" w:cs="宋体"/>
          <w:color w:val="auto"/>
          <w:szCs w:val="21"/>
        </w:rPr>
        <w:t>）</w:t>
      </w:r>
    </w:p>
    <w:tbl>
      <w:tblPr>
        <w:tblStyle w:val="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6"/>
        <w:gridCol w:w="535"/>
        <w:gridCol w:w="1729"/>
        <w:gridCol w:w="1729"/>
        <w:gridCol w:w="1730"/>
        <w:gridCol w:w="1730"/>
      </w:tblGrid>
      <w:tr w14:paraId="72E09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625" w:type="pct"/>
            <w:tcBorders>
              <w:left w:val="nil"/>
              <w:bottom w:val="single" w:color="auto" w:sz="4" w:space="0"/>
              <w:right w:val="nil"/>
            </w:tcBorders>
            <w:vAlign w:val="center"/>
          </w:tcPr>
          <w:p w14:paraId="0ACEA82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组别</w:t>
            </w:r>
          </w:p>
        </w:tc>
        <w:tc>
          <w:tcPr>
            <w:tcW w:w="314" w:type="pct"/>
            <w:tcBorders>
              <w:left w:val="nil"/>
              <w:bottom w:val="single" w:color="auto" w:sz="4" w:space="0"/>
              <w:right w:val="nil"/>
            </w:tcBorders>
            <w:vAlign w:val="center"/>
          </w:tcPr>
          <w:p w14:paraId="1D8A6FC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n</w:t>
            </w:r>
          </w:p>
        </w:tc>
        <w:tc>
          <w:tcPr>
            <w:tcW w:w="1014" w:type="pct"/>
            <w:tcBorders>
              <w:top w:val="single" w:color="auto" w:sz="4" w:space="0"/>
              <w:left w:val="nil"/>
              <w:bottom w:val="single" w:color="auto" w:sz="4" w:space="0"/>
              <w:right w:val="nil"/>
            </w:tcBorders>
            <w:vAlign w:val="center"/>
          </w:tcPr>
          <w:p w14:paraId="46ECA92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非常满意</w:t>
            </w:r>
          </w:p>
        </w:tc>
        <w:tc>
          <w:tcPr>
            <w:tcW w:w="1014" w:type="pct"/>
            <w:tcBorders>
              <w:top w:val="single" w:color="auto" w:sz="4" w:space="0"/>
              <w:left w:val="nil"/>
              <w:bottom w:val="single" w:color="auto" w:sz="4" w:space="0"/>
              <w:right w:val="nil"/>
            </w:tcBorders>
            <w:vAlign w:val="center"/>
          </w:tcPr>
          <w:p w14:paraId="6553E73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满意</w:t>
            </w:r>
          </w:p>
        </w:tc>
        <w:tc>
          <w:tcPr>
            <w:tcW w:w="1015" w:type="pct"/>
            <w:tcBorders>
              <w:top w:val="single" w:color="auto" w:sz="4" w:space="0"/>
              <w:left w:val="nil"/>
              <w:bottom w:val="single" w:color="auto" w:sz="4" w:space="0"/>
              <w:right w:val="nil"/>
            </w:tcBorders>
            <w:vAlign w:val="center"/>
          </w:tcPr>
          <w:p w14:paraId="6214C92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不满意</w:t>
            </w:r>
          </w:p>
        </w:tc>
        <w:tc>
          <w:tcPr>
            <w:tcW w:w="1015" w:type="pct"/>
            <w:tcBorders>
              <w:top w:val="single" w:color="auto" w:sz="4" w:space="0"/>
              <w:left w:val="nil"/>
              <w:bottom w:val="single" w:color="auto" w:sz="4" w:space="0"/>
              <w:right w:val="nil"/>
            </w:tcBorders>
            <w:vAlign w:val="center"/>
          </w:tcPr>
          <w:p w14:paraId="1AD17DC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color w:val="auto"/>
                <w:lang w:val="en-US" w:eastAsia="zh-CN"/>
              </w:rPr>
              <w:t>护理满意度</w:t>
            </w:r>
          </w:p>
        </w:tc>
      </w:tr>
      <w:tr w14:paraId="10DDE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625" w:type="pct"/>
            <w:tcBorders>
              <w:top w:val="nil"/>
              <w:left w:val="nil"/>
              <w:bottom w:val="nil"/>
              <w:right w:val="nil"/>
            </w:tcBorders>
            <w:vAlign w:val="center"/>
          </w:tcPr>
          <w:p w14:paraId="4661BC3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观察组</w:t>
            </w:r>
          </w:p>
        </w:tc>
        <w:tc>
          <w:tcPr>
            <w:tcW w:w="314" w:type="pct"/>
            <w:tcBorders>
              <w:top w:val="nil"/>
              <w:left w:val="nil"/>
              <w:bottom w:val="nil"/>
              <w:right w:val="nil"/>
            </w:tcBorders>
            <w:vAlign w:val="center"/>
          </w:tcPr>
          <w:p w14:paraId="7502A389">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40</w:t>
            </w:r>
          </w:p>
        </w:tc>
        <w:tc>
          <w:tcPr>
            <w:tcW w:w="1729" w:type="dxa"/>
            <w:tcBorders>
              <w:top w:val="nil"/>
              <w:left w:val="nil"/>
              <w:bottom w:val="nil"/>
              <w:right w:val="nil"/>
            </w:tcBorders>
            <w:vAlign w:val="top"/>
          </w:tcPr>
          <w:p w14:paraId="324D8504">
            <w:pPr>
              <w:spacing w:line="360" w:lineRule="auto"/>
              <w:jc w:val="center"/>
              <w:rPr>
                <w:rFonts w:hint="eastAsia" w:ascii="宋体" w:hAnsi="宋体" w:eastAsia="宋体" w:cs="宋体"/>
                <w:color w:val="auto"/>
                <w:szCs w:val="21"/>
                <w:lang w:val="en-US"/>
              </w:rPr>
            </w:pPr>
            <w:r>
              <w:rPr>
                <w:rFonts w:hint="eastAsia" w:ascii="宋体" w:hAnsi="宋体" w:eastAsia="宋体" w:cs="宋体"/>
                <w:color w:val="auto"/>
                <w:szCs w:val="21"/>
                <w:lang w:val="en-US" w:eastAsia="zh-CN"/>
              </w:rPr>
              <w:t>23</w:t>
            </w:r>
            <w:r>
              <w:rPr>
                <w:rFonts w:hint="eastAsia" w:ascii="宋体" w:hAnsi="宋体" w:eastAsia="宋体" w:cs="宋体"/>
                <w:color w:val="auto"/>
                <w:szCs w:val="21"/>
                <w:lang w:val="en-US"/>
              </w:rPr>
              <w:t>（</w:t>
            </w:r>
            <w:r>
              <w:rPr>
                <w:rFonts w:hint="eastAsia" w:ascii="宋体" w:hAnsi="宋体" w:eastAsia="宋体" w:cs="宋体"/>
                <w:color w:val="auto"/>
                <w:szCs w:val="21"/>
                <w:lang w:val="en-US" w:eastAsia="zh-CN"/>
              </w:rPr>
              <w:t>57.50</w:t>
            </w:r>
            <w:r>
              <w:rPr>
                <w:rFonts w:hint="eastAsia" w:ascii="宋体" w:hAnsi="宋体" w:eastAsia="宋体" w:cs="宋体"/>
                <w:color w:val="auto"/>
                <w:szCs w:val="21"/>
                <w:lang w:val="en-US"/>
              </w:rPr>
              <w:t>）</w:t>
            </w:r>
          </w:p>
        </w:tc>
        <w:tc>
          <w:tcPr>
            <w:tcW w:w="1729" w:type="dxa"/>
            <w:tcBorders>
              <w:top w:val="nil"/>
              <w:left w:val="nil"/>
              <w:bottom w:val="nil"/>
              <w:right w:val="nil"/>
            </w:tcBorders>
            <w:vAlign w:val="top"/>
          </w:tcPr>
          <w:p w14:paraId="1F87EF64">
            <w:pPr>
              <w:spacing w:line="360" w:lineRule="auto"/>
              <w:jc w:val="center"/>
              <w:rPr>
                <w:rFonts w:hint="eastAsia" w:ascii="宋体" w:hAnsi="宋体" w:eastAsia="宋体" w:cs="宋体"/>
                <w:color w:val="auto"/>
                <w:szCs w:val="21"/>
                <w:lang w:val="en-US"/>
              </w:rPr>
            </w:pPr>
            <w:r>
              <w:rPr>
                <w:rFonts w:hint="eastAsia" w:ascii="宋体" w:hAnsi="宋体" w:eastAsia="宋体" w:cs="宋体"/>
                <w:color w:val="auto"/>
                <w:szCs w:val="21"/>
                <w:lang w:val="en-US" w:eastAsia="zh-CN"/>
              </w:rPr>
              <w:t>13</w:t>
            </w:r>
            <w:r>
              <w:rPr>
                <w:rFonts w:hint="eastAsia" w:ascii="宋体" w:hAnsi="宋体" w:eastAsia="宋体" w:cs="宋体"/>
                <w:color w:val="auto"/>
                <w:szCs w:val="21"/>
                <w:lang w:val="en-US"/>
              </w:rPr>
              <w:t>（</w:t>
            </w:r>
            <w:r>
              <w:rPr>
                <w:rFonts w:hint="eastAsia" w:ascii="宋体" w:hAnsi="宋体" w:eastAsia="宋体" w:cs="宋体"/>
                <w:color w:val="auto"/>
                <w:szCs w:val="21"/>
                <w:lang w:val="en-US" w:eastAsia="zh-CN"/>
              </w:rPr>
              <w:t>32.50</w:t>
            </w:r>
            <w:r>
              <w:rPr>
                <w:rFonts w:hint="eastAsia" w:ascii="宋体" w:hAnsi="宋体" w:eastAsia="宋体" w:cs="宋体"/>
                <w:color w:val="auto"/>
                <w:szCs w:val="21"/>
                <w:lang w:val="en-US"/>
              </w:rPr>
              <w:t>）</w:t>
            </w:r>
          </w:p>
        </w:tc>
        <w:tc>
          <w:tcPr>
            <w:tcW w:w="1730" w:type="dxa"/>
            <w:tcBorders>
              <w:top w:val="nil"/>
              <w:left w:val="nil"/>
              <w:bottom w:val="nil"/>
              <w:right w:val="nil"/>
            </w:tcBorders>
            <w:vAlign w:val="top"/>
          </w:tcPr>
          <w:p w14:paraId="256EBC13">
            <w:pPr>
              <w:spacing w:line="360" w:lineRule="auto"/>
              <w:jc w:val="center"/>
              <w:rPr>
                <w:rFonts w:hint="eastAsia" w:ascii="宋体" w:hAnsi="宋体" w:eastAsia="宋体" w:cs="宋体"/>
                <w:color w:val="auto"/>
                <w:szCs w:val="21"/>
                <w:lang w:val="en-US"/>
              </w:rPr>
            </w:pPr>
            <w:r>
              <w:rPr>
                <w:rFonts w:hint="eastAsia" w:ascii="宋体" w:hAnsi="宋体" w:eastAsia="宋体" w:cs="宋体"/>
                <w:color w:val="auto"/>
                <w:szCs w:val="21"/>
                <w:lang w:val="en-US" w:eastAsia="zh-CN"/>
              </w:rPr>
              <w:t>4</w:t>
            </w:r>
            <w:r>
              <w:rPr>
                <w:rFonts w:hint="eastAsia" w:ascii="宋体" w:hAnsi="宋体" w:eastAsia="宋体" w:cs="宋体"/>
                <w:color w:val="auto"/>
                <w:szCs w:val="21"/>
                <w:lang w:val="en-US"/>
              </w:rPr>
              <w:t>（</w:t>
            </w:r>
            <w:r>
              <w:rPr>
                <w:rFonts w:hint="eastAsia" w:ascii="宋体" w:hAnsi="宋体" w:eastAsia="宋体" w:cs="宋体"/>
                <w:color w:val="auto"/>
                <w:szCs w:val="21"/>
                <w:lang w:val="en-US" w:eastAsia="zh-CN"/>
              </w:rPr>
              <w:t>10.00</w:t>
            </w:r>
            <w:r>
              <w:rPr>
                <w:rFonts w:hint="eastAsia" w:ascii="宋体" w:hAnsi="宋体" w:eastAsia="宋体" w:cs="宋体"/>
                <w:color w:val="auto"/>
                <w:szCs w:val="21"/>
                <w:lang w:val="en-US"/>
              </w:rPr>
              <w:t>）</w:t>
            </w:r>
          </w:p>
        </w:tc>
        <w:tc>
          <w:tcPr>
            <w:tcW w:w="1730" w:type="dxa"/>
            <w:tcBorders>
              <w:top w:val="nil"/>
              <w:left w:val="nil"/>
              <w:bottom w:val="nil"/>
              <w:right w:val="nil"/>
            </w:tcBorders>
            <w:vAlign w:val="top"/>
          </w:tcPr>
          <w:p w14:paraId="5C543072">
            <w:pPr>
              <w:spacing w:line="360" w:lineRule="auto"/>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36</w:t>
            </w:r>
            <w:r>
              <w:rPr>
                <w:rFonts w:hint="eastAsia" w:ascii="宋体" w:hAnsi="宋体" w:eastAsia="宋体" w:cs="宋体"/>
                <w:color w:val="auto"/>
                <w:szCs w:val="21"/>
                <w:lang w:val="en-US"/>
              </w:rPr>
              <w:t>（</w:t>
            </w:r>
            <w:r>
              <w:rPr>
                <w:rFonts w:hint="eastAsia" w:ascii="宋体" w:hAnsi="宋体" w:eastAsia="宋体" w:cs="宋体"/>
                <w:color w:val="auto"/>
                <w:szCs w:val="21"/>
                <w:lang w:val="en-US" w:eastAsia="zh-CN"/>
              </w:rPr>
              <w:t>90.00</w:t>
            </w:r>
            <w:r>
              <w:rPr>
                <w:rFonts w:hint="eastAsia" w:ascii="宋体" w:hAnsi="宋体" w:eastAsia="宋体" w:cs="宋体"/>
                <w:color w:val="auto"/>
                <w:szCs w:val="21"/>
                <w:lang w:val="en-US"/>
              </w:rPr>
              <w:t>）</w:t>
            </w:r>
          </w:p>
        </w:tc>
      </w:tr>
      <w:tr w14:paraId="751E0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625" w:type="pct"/>
            <w:tcBorders>
              <w:top w:val="nil"/>
              <w:left w:val="nil"/>
              <w:bottom w:val="nil"/>
              <w:right w:val="nil"/>
            </w:tcBorders>
            <w:vAlign w:val="center"/>
          </w:tcPr>
          <w:p w14:paraId="1BB6A01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对照组</w:t>
            </w:r>
          </w:p>
        </w:tc>
        <w:tc>
          <w:tcPr>
            <w:tcW w:w="314" w:type="pct"/>
            <w:tcBorders>
              <w:top w:val="nil"/>
              <w:left w:val="nil"/>
              <w:bottom w:val="nil"/>
              <w:right w:val="nil"/>
            </w:tcBorders>
            <w:vAlign w:val="center"/>
          </w:tcPr>
          <w:p w14:paraId="333A6169">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40</w:t>
            </w:r>
          </w:p>
        </w:tc>
        <w:tc>
          <w:tcPr>
            <w:tcW w:w="1729" w:type="dxa"/>
            <w:tcBorders>
              <w:top w:val="nil"/>
              <w:left w:val="nil"/>
              <w:bottom w:val="nil"/>
              <w:right w:val="nil"/>
            </w:tcBorders>
            <w:vAlign w:val="top"/>
          </w:tcPr>
          <w:p w14:paraId="4FD68F89">
            <w:pPr>
              <w:spacing w:line="360" w:lineRule="auto"/>
              <w:jc w:val="center"/>
              <w:rPr>
                <w:rFonts w:hint="eastAsia" w:ascii="宋体" w:hAnsi="宋体" w:eastAsia="宋体" w:cs="宋体"/>
                <w:color w:val="auto"/>
                <w:szCs w:val="21"/>
                <w:lang w:val="en-US"/>
              </w:rPr>
            </w:pPr>
            <w:r>
              <w:rPr>
                <w:rFonts w:hint="eastAsia" w:ascii="宋体" w:hAnsi="宋体" w:eastAsia="宋体" w:cs="宋体"/>
                <w:color w:val="auto"/>
                <w:szCs w:val="21"/>
                <w:lang w:val="en-US" w:eastAsia="zh-CN"/>
              </w:rPr>
              <w:t>15</w:t>
            </w:r>
            <w:r>
              <w:rPr>
                <w:rFonts w:hint="eastAsia" w:ascii="宋体" w:hAnsi="宋体" w:eastAsia="宋体" w:cs="宋体"/>
                <w:color w:val="auto"/>
                <w:szCs w:val="21"/>
                <w:lang w:val="en-US"/>
              </w:rPr>
              <w:t>（</w:t>
            </w:r>
            <w:r>
              <w:rPr>
                <w:rFonts w:hint="eastAsia" w:ascii="宋体" w:hAnsi="宋体" w:eastAsia="宋体" w:cs="宋体"/>
                <w:color w:val="auto"/>
                <w:szCs w:val="21"/>
                <w:lang w:val="en-US" w:eastAsia="zh-CN"/>
              </w:rPr>
              <w:t>37.50</w:t>
            </w:r>
            <w:r>
              <w:rPr>
                <w:rFonts w:hint="eastAsia" w:ascii="宋体" w:hAnsi="宋体" w:eastAsia="宋体" w:cs="宋体"/>
                <w:color w:val="auto"/>
                <w:szCs w:val="21"/>
                <w:lang w:val="en-US"/>
              </w:rPr>
              <w:t>）</w:t>
            </w:r>
          </w:p>
        </w:tc>
        <w:tc>
          <w:tcPr>
            <w:tcW w:w="1729" w:type="dxa"/>
            <w:tcBorders>
              <w:top w:val="nil"/>
              <w:left w:val="nil"/>
              <w:bottom w:val="nil"/>
              <w:right w:val="nil"/>
            </w:tcBorders>
            <w:vAlign w:val="top"/>
          </w:tcPr>
          <w:p w14:paraId="20DC8CA9">
            <w:pPr>
              <w:spacing w:line="360" w:lineRule="auto"/>
              <w:jc w:val="center"/>
              <w:rPr>
                <w:rFonts w:hint="eastAsia" w:ascii="宋体" w:hAnsi="宋体" w:eastAsia="宋体" w:cs="宋体"/>
                <w:color w:val="auto"/>
                <w:szCs w:val="21"/>
                <w:lang w:val="en-US"/>
              </w:rPr>
            </w:pPr>
            <w:r>
              <w:rPr>
                <w:rFonts w:hint="eastAsia" w:ascii="宋体" w:hAnsi="宋体" w:eastAsia="宋体" w:cs="宋体"/>
                <w:color w:val="auto"/>
                <w:szCs w:val="21"/>
                <w:lang w:val="en-US" w:eastAsia="zh-CN"/>
              </w:rPr>
              <w:t>14</w:t>
            </w:r>
            <w:r>
              <w:rPr>
                <w:rFonts w:hint="eastAsia" w:ascii="宋体" w:hAnsi="宋体" w:eastAsia="宋体" w:cs="宋体"/>
                <w:color w:val="auto"/>
                <w:szCs w:val="21"/>
                <w:lang w:val="en-US"/>
              </w:rPr>
              <w:t>（</w:t>
            </w:r>
            <w:r>
              <w:rPr>
                <w:rFonts w:hint="eastAsia" w:ascii="宋体" w:hAnsi="宋体" w:eastAsia="宋体" w:cs="宋体"/>
                <w:color w:val="auto"/>
                <w:szCs w:val="21"/>
                <w:lang w:val="en-US" w:eastAsia="zh-CN"/>
              </w:rPr>
              <w:t>35.00</w:t>
            </w:r>
            <w:r>
              <w:rPr>
                <w:rFonts w:hint="eastAsia" w:ascii="宋体" w:hAnsi="宋体" w:eastAsia="宋体" w:cs="宋体"/>
                <w:color w:val="auto"/>
                <w:szCs w:val="21"/>
                <w:lang w:val="en-US"/>
              </w:rPr>
              <w:t>）</w:t>
            </w:r>
          </w:p>
        </w:tc>
        <w:tc>
          <w:tcPr>
            <w:tcW w:w="1730" w:type="dxa"/>
            <w:tcBorders>
              <w:top w:val="nil"/>
              <w:left w:val="nil"/>
              <w:bottom w:val="nil"/>
              <w:right w:val="nil"/>
            </w:tcBorders>
            <w:vAlign w:val="top"/>
          </w:tcPr>
          <w:p w14:paraId="22D4549A">
            <w:pPr>
              <w:spacing w:line="360" w:lineRule="auto"/>
              <w:jc w:val="center"/>
              <w:rPr>
                <w:rFonts w:hint="eastAsia" w:ascii="宋体" w:hAnsi="宋体" w:eastAsia="宋体" w:cs="宋体"/>
                <w:color w:val="auto"/>
                <w:szCs w:val="21"/>
                <w:lang w:val="en-US"/>
              </w:rPr>
            </w:pPr>
            <w:r>
              <w:rPr>
                <w:rFonts w:hint="eastAsia" w:ascii="宋体" w:hAnsi="宋体" w:eastAsia="宋体" w:cs="宋体"/>
                <w:color w:val="auto"/>
                <w:szCs w:val="21"/>
                <w:lang w:val="en-US" w:eastAsia="zh-CN"/>
              </w:rPr>
              <w:t>11</w:t>
            </w:r>
            <w:r>
              <w:rPr>
                <w:rFonts w:hint="eastAsia" w:ascii="宋体" w:hAnsi="宋体" w:eastAsia="宋体" w:cs="宋体"/>
                <w:color w:val="auto"/>
                <w:szCs w:val="21"/>
                <w:lang w:val="en-US"/>
              </w:rPr>
              <w:t>（2</w:t>
            </w:r>
            <w:r>
              <w:rPr>
                <w:rFonts w:hint="eastAsia" w:ascii="宋体" w:hAnsi="宋体" w:eastAsia="宋体" w:cs="宋体"/>
                <w:color w:val="auto"/>
                <w:szCs w:val="21"/>
                <w:lang w:val="en-US" w:eastAsia="zh-CN"/>
              </w:rPr>
              <w:t>7.50</w:t>
            </w:r>
            <w:r>
              <w:rPr>
                <w:rFonts w:hint="eastAsia" w:ascii="宋体" w:hAnsi="宋体" w:eastAsia="宋体" w:cs="宋体"/>
                <w:color w:val="auto"/>
                <w:szCs w:val="21"/>
                <w:lang w:val="en-US"/>
              </w:rPr>
              <w:t>）</w:t>
            </w:r>
          </w:p>
        </w:tc>
        <w:tc>
          <w:tcPr>
            <w:tcW w:w="1730" w:type="dxa"/>
            <w:tcBorders>
              <w:top w:val="nil"/>
              <w:left w:val="nil"/>
              <w:bottom w:val="nil"/>
              <w:right w:val="nil"/>
            </w:tcBorders>
            <w:vAlign w:val="top"/>
          </w:tcPr>
          <w:p w14:paraId="2BD9401D">
            <w:pPr>
              <w:spacing w:line="360" w:lineRule="auto"/>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29</w:t>
            </w:r>
            <w:r>
              <w:rPr>
                <w:rFonts w:hint="eastAsia" w:ascii="宋体" w:hAnsi="宋体" w:eastAsia="宋体" w:cs="宋体"/>
                <w:color w:val="auto"/>
                <w:szCs w:val="21"/>
                <w:lang w:val="en-US"/>
              </w:rPr>
              <w:t>（</w:t>
            </w:r>
            <w:r>
              <w:rPr>
                <w:rFonts w:hint="eastAsia" w:ascii="宋体" w:hAnsi="宋体" w:eastAsia="宋体" w:cs="宋体"/>
                <w:color w:val="auto"/>
                <w:szCs w:val="21"/>
                <w:lang w:val="en-US" w:eastAsia="zh-CN"/>
              </w:rPr>
              <w:t>72.50</w:t>
            </w:r>
            <w:r>
              <w:rPr>
                <w:rFonts w:hint="eastAsia" w:ascii="宋体" w:hAnsi="宋体" w:eastAsia="宋体" w:cs="宋体"/>
                <w:color w:val="auto"/>
                <w:szCs w:val="21"/>
                <w:lang w:val="en-US"/>
              </w:rPr>
              <w:t>）</w:t>
            </w:r>
          </w:p>
        </w:tc>
      </w:tr>
      <w:tr w14:paraId="43556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5" w:type="pct"/>
            <w:tcBorders>
              <w:top w:val="nil"/>
              <w:left w:val="nil"/>
              <w:bottom w:val="nil"/>
              <w:right w:val="nil"/>
            </w:tcBorders>
            <w:vAlign w:val="center"/>
          </w:tcPr>
          <w:p w14:paraId="1BD1620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rPr>
            </w:pPr>
            <w:r>
              <w:rPr>
                <w:rFonts w:hint="default" w:ascii="宋体" w:hAnsi="宋体" w:eastAsia="宋体" w:cs="宋体"/>
                <w:color w:val="auto"/>
                <w:szCs w:val="21"/>
                <w:lang w:val="en-US" w:eastAsia="zh-CN"/>
              </w:rPr>
              <w:sym w:font="Symbol" w:char="0063"/>
            </w:r>
            <w:r>
              <w:rPr>
                <w:rFonts w:hint="default" w:ascii="宋体" w:hAnsi="宋体" w:eastAsia="宋体" w:cs="宋体"/>
                <w:color w:val="auto"/>
                <w:szCs w:val="21"/>
                <w:vertAlign w:val="superscript"/>
                <w:lang w:val="en-US" w:eastAsia="zh-CN"/>
              </w:rPr>
              <w:t>2</w:t>
            </w:r>
            <w:r>
              <w:rPr>
                <w:rFonts w:hint="eastAsia" w:ascii="宋体" w:hAnsi="宋体" w:eastAsia="宋体" w:cs="宋体"/>
                <w:color w:val="auto"/>
                <w:szCs w:val="21"/>
                <w:vertAlign w:val="baseline"/>
                <w:lang w:val="en-US" w:eastAsia="zh-CN"/>
              </w:rPr>
              <w:t>值</w:t>
            </w:r>
          </w:p>
        </w:tc>
        <w:tc>
          <w:tcPr>
            <w:tcW w:w="314" w:type="pct"/>
            <w:tcBorders>
              <w:top w:val="nil"/>
              <w:left w:val="nil"/>
              <w:bottom w:val="nil"/>
              <w:right w:val="nil"/>
            </w:tcBorders>
            <w:vAlign w:val="center"/>
          </w:tcPr>
          <w:p w14:paraId="23F2A039">
            <w:pPr>
              <w:spacing w:line="360" w:lineRule="auto"/>
              <w:jc w:val="center"/>
              <w:rPr>
                <w:rFonts w:hint="eastAsia" w:ascii="宋体" w:hAnsi="宋体" w:eastAsia="宋体" w:cs="宋体"/>
                <w:color w:val="auto"/>
                <w:szCs w:val="21"/>
                <w:lang w:val="en-US" w:eastAsia="zh-CN"/>
              </w:rPr>
            </w:pPr>
            <w:r>
              <w:rPr>
                <w:rFonts w:hint="eastAsia" w:ascii="宋体" w:hAnsi="宋体" w:eastAsia="宋体" w:cs="Times New Roman"/>
                <w:color w:val="auto"/>
              </w:rPr>
              <w:t>/</w:t>
            </w:r>
          </w:p>
        </w:tc>
        <w:tc>
          <w:tcPr>
            <w:tcW w:w="1729" w:type="dxa"/>
            <w:tcBorders>
              <w:top w:val="nil"/>
              <w:left w:val="nil"/>
              <w:bottom w:val="nil"/>
              <w:right w:val="nil"/>
            </w:tcBorders>
            <w:vAlign w:val="center"/>
          </w:tcPr>
          <w:p w14:paraId="6964D2C3">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3.208</w:t>
            </w:r>
          </w:p>
        </w:tc>
        <w:tc>
          <w:tcPr>
            <w:tcW w:w="1729" w:type="dxa"/>
            <w:tcBorders>
              <w:top w:val="nil"/>
              <w:left w:val="nil"/>
              <w:bottom w:val="nil"/>
              <w:right w:val="nil"/>
            </w:tcBorders>
            <w:vAlign w:val="center"/>
          </w:tcPr>
          <w:p w14:paraId="1D7A5224">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0.056</w:t>
            </w:r>
          </w:p>
        </w:tc>
        <w:tc>
          <w:tcPr>
            <w:tcW w:w="1730" w:type="dxa"/>
            <w:tcBorders>
              <w:top w:val="nil"/>
              <w:left w:val="nil"/>
              <w:bottom w:val="nil"/>
              <w:right w:val="nil"/>
            </w:tcBorders>
            <w:vAlign w:val="center"/>
          </w:tcPr>
          <w:p w14:paraId="798D9750">
            <w:pPr>
              <w:spacing w:line="360" w:lineRule="auto"/>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4.021</w:t>
            </w:r>
          </w:p>
        </w:tc>
        <w:tc>
          <w:tcPr>
            <w:tcW w:w="1015" w:type="pct"/>
            <w:tcBorders>
              <w:top w:val="nil"/>
              <w:left w:val="nil"/>
              <w:bottom w:val="nil"/>
              <w:right w:val="nil"/>
            </w:tcBorders>
            <w:vAlign w:val="center"/>
          </w:tcPr>
          <w:p w14:paraId="3233835F">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4.021</w:t>
            </w:r>
          </w:p>
        </w:tc>
      </w:tr>
      <w:tr w14:paraId="11F4C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5" w:type="pct"/>
            <w:tcBorders>
              <w:top w:val="nil"/>
              <w:left w:val="nil"/>
              <w:bottom w:val="single" w:color="auto" w:sz="4" w:space="0"/>
              <w:right w:val="nil"/>
            </w:tcBorders>
            <w:vAlign w:val="center"/>
          </w:tcPr>
          <w:p w14:paraId="333BC4B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P</w:t>
            </w:r>
            <w:r>
              <w:rPr>
                <w:rFonts w:hint="eastAsia" w:ascii="宋体" w:hAnsi="宋体" w:eastAsia="宋体" w:cs="宋体"/>
                <w:color w:val="auto"/>
                <w:szCs w:val="21"/>
                <w:vertAlign w:val="baseline"/>
                <w:lang w:val="en-US" w:eastAsia="zh-CN"/>
              </w:rPr>
              <w:t>值</w:t>
            </w:r>
          </w:p>
        </w:tc>
        <w:tc>
          <w:tcPr>
            <w:tcW w:w="314" w:type="pct"/>
            <w:tcBorders>
              <w:top w:val="nil"/>
              <w:left w:val="nil"/>
              <w:bottom w:val="single" w:color="auto" w:sz="4" w:space="0"/>
              <w:right w:val="nil"/>
            </w:tcBorders>
            <w:vAlign w:val="center"/>
          </w:tcPr>
          <w:p w14:paraId="481B85F4">
            <w:pPr>
              <w:spacing w:line="360" w:lineRule="auto"/>
              <w:jc w:val="center"/>
              <w:rPr>
                <w:rFonts w:hint="eastAsia" w:ascii="宋体" w:hAnsi="宋体" w:eastAsia="宋体" w:cs="宋体"/>
                <w:color w:val="auto"/>
                <w:szCs w:val="21"/>
                <w:lang w:val="en-US" w:eastAsia="zh-CN"/>
              </w:rPr>
            </w:pPr>
            <w:r>
              <w:rPr>
                <w:rFonts w:hint="eastAsia" w:ascii="宋体" w:hAnsi="宋体" w:eastAsia="宋体" w:cs="Times New Roman"/>
                <w:color w:val="auto"/>
              </w:rPr>
              <w:t>/</w:t>
            </w:r>
          </w:p>
        </w:tc>
        <w:tc>
          <w:tcPr>
            <w:tcW w:w="1729" w:type="dxa"/>
            <w:tcBorders>
              <w:top w:val="nil"/>
              <w:left w:val="nil"/>
              <w:bottom w:val="single" w:color="auto" w:sz="4" w:space="0"/>
              <w:right w:val="nil"/>
            </w:tcBorders>
            <w:vAlign w:val="center"/>
          </w:tcPr>
          <w:p w14:paraId="722274D9">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0.073</w:t>
            </w:r>
          </w:p>
        </w:tc>
        <w:tc>
          <w:tcPr>
            <w:tcW w:w="1729" w:type="dxa"/>
            <w:tcBorders>
              <w:top w:val="nil"/>
              <w:left w:val="nil"/>
              <w:bottom w:val="single" w:color="auto" w:sz="4" w:space="0"/>
              <w:right w:val="nil"/>
            </w:tcBorders>
            <w:vAlign w:val="center"/>
          </w:tcPr>
          <w:p w14:paraId="5E7F2357">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0.813</w:t>
            </w:r>
          </w:p>
        </w:tc>
        <w:tc>
          <w:tcPr>
            <w:tcW w:w="1730" w:type="dxa"/>
            <w:tcBorders>
              <w:top w:val="nil"/>
              <w:left w:val="nil"/>
              <w:bottom w:val="single" w:color="auto" w:sz="4" w:space="0"/>
              <w:right w:val="nil"/>
            </w:tcBorders>
            <w:vAlign w:val="center"/>
          </w:tcPr>
          <w:p w14:paraId="75D2D7FA">
            <w:pPr>
              <w:spacing w:line="360" w:lineRule="auto"/>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0.045</w:t>
            </w:r>
          </w:p>
        </w:tc>
        <w:tc>
          <w:tcPr>
            <w:tcW w:w="1015" w:type="pct"/>
            <w:tcBorders>
              <w:top w:val="nil"/>
              <w:left w:val="nil"/>
              <w:bottom w:val="single" w:color="auto" w:sz="4" w:space="0"/>
              <w:right w:val="nil"/>
            </w:tcBorders>
            <w:vAlign w:val="center"/>
          </w:tcPr>
          <w:p w14:paraId="4B61496A">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0.045</w:t>
            </w:r>
          </w:p>
        </w:tc>
      </w:tr>
    </w:tbl>
    <w:p w14:paraId="3EC7122E">
      <w:pPr>
        <w:widowControl/>
        <w:spacing w:line="480" w:lineRule="auto"/>
        <w:rPr>
          <w:rFonts w:hint="default" w:ascii="宋体" w:hAnsi="宋体"/>
          <w:color w:val="auto"/>
          <w:lang w:val="en-US" w:eastAsia="zh-CN"/>
        </w:rPr>
      </w:pPr>
      <w:r>
        <w:rPr>
          <w:rFonts w:hint="eastAsia" w:ascii="宋体" w:hAnsi="宋体"/>
          <w:color w:val="auto"/>
          <w:lang w:val="en-US" w:eastAsia="zh-CN"/>
        </w:rPr>
        <w:t>2.3比较</w:t>
      </w:r>
      <w:r>
        <w:rPr>
          <w:rFonts w:hint="eastAsia" w:ascii="宋体" w:hAnsi="宋体" w:cs="宋体"/>
          <w:color w:val="auto"/>
          <w:szCs w:val="21"/>
          <w:lang w:val="en-US" w:eastAsia="zh-CN"/>
        </w:rPr>
        <w:t>患儿并发症发生率</w:t>
      </w:r>
    </w:p>
    <w:p w14:paraId="668ADDCA">
      <w:pPr>
        <w:widowControl/>
        <w:spacing w:line="480" w:lineRule="auto"/>
        <w:ind w:firstLine="420" w:firstLineChars="200"/>
        <w:rPr>
          <w:rFonts w:hint="eastAsia" w:ascii="宋体" w:hAnsi="宋体"/>
          <w:color w:val="auto"/>
          <w:lang w:val="en-US" w:eastAsia="zh-CN"/>
        </w:rPr>
      </w:pPr>
      <w:r>
        <w:rPr>
          <w:rFonts w:hint="eastAsia" w:ascii="宋体" w:hAnsi="宋体" w:eastAsia="宋体" w:cs="宋体"/>
          <w:b w:val="0"/>
          <w:bCs w:val="0"/>
          <w:color w:val="auto"/>
          <w:szCs w:val="21"/>
          <w:lang w:val="en-US" w:eastAsia="zh-CN"/>
        </w:rPr>
        <w:t>观察组</w:t>
      </w:r>
      <w:r>
        <w:rPr>
          <w:rFonts w:hint="eastAsia" w:ascii="宋体" w:hAnsi="宋体" w:cs="宋体"/>
          <w:color w:val="auto"/>
          <w:szCs w:val="21"/>
          <w:lang w:val="en-US" w:eastAsia="zh-CN"/>
        </w:rPr>
        <w:t>患儿并发症发生率低于</w:t>
      </w:r>
      <w:r>
        <w:rPr>
          <w:rFonts w:hint="eastAsia" w:ascii="宋体" w:hAnsi="宋体" w:eastAsia="宋体" w:cs="宋体"/>
          <w:b w:val="0"/>
          <w:bCs w:val="0"/>
          <w:color w:val="auto"/>
          <w:szCs w:val="21"/>
          <w:lang w:val="en-US" w:eastAsia="zh-CN"/>
        </w:rPr>
        <w:t>对照组，</w:t>
      </w:r>
      <w:r>
        <w:rPr>
          <w:rFonts w:hint="eastAsia" w:ascii="宋体" w:hAnsi="宋体"/>
          <w:color w:val="auto"/>
          <w:lang w:val="en-US" w:eastAsia="zh-CN"/>
        </w:rPr>
        <w:t>P＜0.05，见表4。</w:t>
      </w:r>
    </w:p>
    <w:p w14:paraId="5324640B">
      <w:pPr>
        <w:pStyle w:val="3"/>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hint="eastAsia" w:ascii="宋体" w:hAnsi="宋体" w:eastAsia="宋体" w:cs="宋体"/>
          <w:color w:val="auto"/>
          <w:szCs w:val="21"/>
        </w:rPr>
      </w:pPr>
      <w:r>
        <w:rPr>
          <w:rFonts w:hint="eastAsia" w:ascii="宋体" w:hAnsi="宋体" w:eastAsia="宋体" w:cs="宋体"/>
          <w:color w:val="auto"/>
          <w:szCs w:val="21"/>
        </w:rPr>
        <w:t>表</w:t>
      </w:r>
      <w:r>
        <w:rPr>
          <w:rFonts w:hint="eastAsia" w:ascii="宋体" w:hAnsi="宋体" w:cs="宋体"/>
          <w:color w:val="auto"/>
          <w:szCs w:val="21"/>
          <w:lang w:val="en-US" w:eastAsia="zh-CN"/>
        </w:rPr>
        <w:t>4</w:t>
      </w:r>
      <w:r>
        <w:rPr>
          <w:rFonts w:hint="eastAsia" w:ascii="宋体" w:hAnsi="宋体"/>
          <w:color w:val="auto"/>
          <w:lang w:val="en-US" w:eastAsia="zh-CN"/>
        </w:rPr>
        <w:t>比较</w:t>
      </w:r>
      <w:r>
        <w:rPr>
          <w:rFonts w:hint="eastAsia" w:ascii="宋体" w:hAnsi="宋体" w:cs="宋体"/>
          <w:color w:val="auto"/>
          <w:szCs w:val="21"/>
          <w:lang w:val="en-US" w:eastAsia="zh-CN"/>
        </w:rPr>
        <w:t>患儿的并发症发生率</w:t>
      </w:r>
      <w:r>
        <w:rPr>
          <w:rFonts w:hint="eastAsia" w:ascii="宋体" w:hAnsi="宋体" w:eastAsia="宋体" w:cs="宋体"/>
          <w:color w:val="auto"/>
          <w:szCs w:val="21"/>
        </w:rPr>
        <w:t>（</w:t>
      </w:r>
      <w:r>
        <w:rPr>
          <w:rFonts w:hint="eastAsia" w:ascii="宋体" w:hAnsi="宋体" w:eastAsia="宋体" w:cs="宋体"/>
          <w:color w:val="auto"/>
          <w:szCs w:val="21"/>
          <w:lang w:val="en-US" w:eastAsia="zh-CN"/>
        </w:rPr>
        <w:t>n，%</w:t>
      </w:r>
      <w:r>
        <w:rPr>
          <w:rFonts w:hint="eastAsia" w:ascii="宋体" w:hAnsi="宋体" w:eastAsia="宋体" w:cs="宋体"/>
          <w:color w:val="auto"/>
          <w:szCs w:val="21"/>
        </w:rPr>
        <w:t>）</w:t>
      </w:r>
    </w:p>
    <w:tbl>
      <w:tblPr>
        <w:tblStyle w:val="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536"/>
        <w:gridCol w:w="1729"/>
        <w:gridCol w:w="1729"/>
        <w:gridCol w:w="1729"/>
        <w:gridCol w:w="1729"/>
      </w:tblGrid>
      <w:tr w14:paraId="0FDD1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625" w:type="pct"/>
            <w:tcBorders>
              <w:left w:val="nil"/>
              <w:bottom w:val="single" w:color="auto" w:sz="4" w:space="0"/>
              <w:right w:val="nil"/>
            </w:tcBorders>
            <w:vAlign w:val="center"/>
          </w:tcPr>
          <w:p w14:paraId="3CE59B6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组别</w:t>
            </w:r>
          </w:p>
        </w:tc>
        <w:tc>
          <w:tcPr>
            <w:tcW w:w="315" w:type="pct"/>
            <w:tcBorders>
              <w:left w:val="nil"/>
              <w:bottom w:val="single" w:color="auto" w:sz="4" w:space="0"/>
              <w:right w:val="nil"/>
            </w:tcBorders>
            <w:vAlign w:val="center"/>
          </w:tcPr>
          <w:p w14:paraId="4DFCD81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n</w:t>
            </w:r>
          </w:p>
        </w:tc>
        <w:tc>
          <w:tcPr>
            <w:tcW w:w="1014" w:type="pct"/>
            <w:tcBorders>
              <w:top w:val="single" w:color="auto" w:sz="4" w:space="0"/>
              <w:left w:val="nil"/>
              <w:bottom w:val="single" w:color="auto" w:sz="4" w:space="0"/>
              <w:right w:val="nil"/>
            </w:tcBorders>
            <w:vAlign w:val="center"/>
          </w:tcPr>
          <w:p w14:paraId="3FDF13A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lang w:val="en-US" w:eastAsia="zh-CN"/>
              </w:rPr>
              <w:t>皮下血肿</w:t>
            </w:r>
          </w:p>
        </w:tc>
        <w:tc>
          <w:tcPr>
            <w:tcW w:w="1014" w:type="pct"/>
            <w:tcBorders>
              <w:top w:val="single" w:color="auto" w:sz="4" w:space="0"/>
              <w:left w:val="nil"/>
              <w:bottom w:val="single" w:color="auto" w:sz="4" w:space="0"/>
              <w:right w:val="nil"/>
            </w:tcBorders>
            <w:vAlign w:val="center"/>
          </w:tcPr>
          <w:p w14:paraId="15D20ED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疼痛</w:t>
            </w:r>
          </w:p>
        </w:tc>
        <w:tc>
          <w:tcPr>
            <w:tcW w:w="1014" w:type="pct"/>
            <w:tcBorders>
              <w:top w:val="single" w:color="auto" w:sz="4" w:space="0"/>
              <w:left w:val="nil"/>
              <w:bottom w:val="single" w:color="auto" w:sz="4" w:space="0"/>
              <w:right w:val="nil"/>
            </w:tcBorders>
            <w:vAlign w:val="center"/>
          </w:tcPr>
          <w:p w14:paraId="752C22B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cs="宋体"/>
                <w:color w:val="0000FF"/>
                <w:szCs w:val="21"/>
                <w:lang w:val="en-US" w:eastAsia="zh-CN"/>
              </w:rPr>
              <w:t>液体渗出</w:t>
            </w:r>
          </w:p>
        </w:tc>
        <w:tc>
          <w:tcPr>
            <w:tcW w:w="1014" w:type="pct"/>
            <w:tcBorders>
              <w:top w:val="single" w:color="auto" w:sz="4" w:space="0"/>
              <w:left w:val="nil"/>
              <w:bottom w:val="single" w:color="auto" w:sz="4" w:space="0"/>
              <w:right w:val="nil"/>
            </w:tcBorders>
            <w:vAlign w:val="center"/>
          </w:tcPr>
          <w:p w14:paraId="0EC1043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eastAsia="zh-CN"/>
              </w:rPr>
            </w:pPr>
            <w:r>
              <w:rPr>
                <w:rFonts w:hint="eastAsia" w:ascii="宋体" w:hAnsi="宋体" w:cs="宋体"/>
                <w:color w:val="auto"/>
                <w:szCs w:val="21"/>
                <w:lang w:val="en-US" w:eastAsia="zh-CN"/>
              </w:rPr>
              <w:t>并发症发生率</w:t>
            </w:r>
          </w:p>
        </w:tc>
      </w:tr>
      <w:tr w14:paraId="214B3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625" w:type="pct"/>
            <w:tcBorders>
              <w:top w:val="nil"/>
              <w:left w:val="nil"/>
              <w:bottom w:val="nil"/>
              <w:right w:val="nil"/>
            </w:tcBorders>
            <w:vAlign w:val="center"/>
          </w:tcPr>
          <w:p w14:paraId="502D8C4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观察组</w:t>
            </w:r>
          </w:p>
        </w:tc>
        <w:tc>
          <w:tcPr>
            <w:tcW w:w="315" w:type="pct"/>
            <w:tcBorders>
              <w:top w:val="nil"/>
              <w:left w:val="nil"/>
              <w:bottom w:val="nil"/>
              <w:right w:val="nil"/>
            </w:tcBorders>
            <w:vAlign w:val="center"/>
          </w:tcPr>
          <w:p w14:paraId="34FA20ED">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40</w:t>
            </w:r>
          </w:p>
        </w:tc>
        <w:tc>
          <w:tcPr>
            <w:tcW w:w="1014" w:type="pct"/>
            <w:tcBorders>
              <w:top w:val="nil"/>
              <w:left w:val="nil"/>
              <w:bottom w:val="nil"/>
              <w:right w:val="nil"/>
            </w:tcBorders>
            <w:vAlign w:val="center"/>
          </w:tcPr>
          <w:p w14:paraId="5E100DC5">
            <w:pPr>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lang w:val="en-US" w:eastAsia="zh-CN"/>
              </w:rPr>
              <w:t>1</w:t>
            </w:r>
            <w:r>
              <w:rPr>
                <w:rFonts w:hint="eastAsia" w:ascii="宋体" w:hAnsi="宋体" w:eastAsia="宋体" w:cs="宋体"/>
                <w:color w:val="auto"/>
                <w:szCs w:val="21"/>
              </w:rPr>
              <w:t>（</w:t>
            </w:r>
            <w:r>
              <w:rPr>
                <w:rFonts w:hint="eastAsia" w:ascii="宋体" w:hAnsi="宋体" w:eastAsia="宋体" w:cs="宋体"/>
                <w:color w:val="auto"/>
                <w:szCs w:val="21"/>
                <w:lang w:val="en-US" w:eastAsia="zh-CN"/>
              </w:rPr>
              <w:t>2.50</w:t>
            </w:r>
            <w:r>
              <w:rPr>
                <w:rFonts w:hint="eastAsia" w:ascii="宋体" w:hAnsi="宋体" w:eastAsia="宋体" w:cs="宋体"/>
                <w:color w:val="auto"/>
                <w:szCs w:val="21"/>
              </w:rPr>
              <w:t>）</w:t>
            </w:r>
          </w:p>
        </w:tc>
        <w:tc>
          <w:tcPr>
            <w:tcW w:w="1014" w:type="pct"/>
            <w:tcBorders>
              <w:top w:val="nil"/>
              <w:left w:val="nil"/>
              <w:bottom w:val="nil"/>
              <w:right w:val="nil"/>
            </w:tcBorders>
            <w:vAlign w:val="center"/>
          </w:tcPr>
          <w:p w14:paraId="511B835C">
            <w:pPr>
              <w:spacing w:line="240" w:lineRule="auto"/>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0（0.00）</w:t>
            </w:r>
          </w:p>
        </w:tc>
        <w:tc>
          <w:tcPr>
            <w:tcW w:w="1014" w:type="pct"/>
            <w:tcBorders>
              <w:top w:val="nil"/>
              <w:left w:val="nil"/>
              <w:bottom w:val="nil"/>
              <w:right w:val="nil"/>
            </w:tcBorders>
            <w:vAlign w:val="center"/>
          </w:tcPr>
          <w:p w14:paraId="1C2205B2">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w:t>
            </w:r>
            <w:r>
              <w:rPr>
                <w:rFonts w:hint="eastAsia" w:ascii="宋体" w:hAnsi="宋体" w:eastAsia="宋体" w:cs="宋体"/>
                <w:color w:val="auto"/>
                <w:szCs w:val="21"/>
              </w:rPr>
              <w:t>（</w:t>
            </w:r>
            <w:r>
              <w:rPr>
                <w:rFonts w:hint="eastAsia" w:ascii="宋体" w:hAnsi="宋体" w:eastAsia="宋体" w:cs="宋体"/>
                <w:color w:val="auto"/>
                <w:szCs w:val="21"/>
                <w:lang w:val="en-US" w:eastAsia="zh-CN"/>
              </w:rPr>
              <w:t>2.50</w:t>
            </w:r>
            <w:r>
              <w:rPr>
                <w:rFonts w:hint="eastAsia" w:ascii="宋体" w:hAnsi="宋体" w:eastAsia="宋体" w:cs="宋体"/>
                <w:color w:val="auto"/>
                <w:szCs w:val="21"/>
              </w:rPr>
              <w:t>）</w:t>
            </w:r>
          </w:p>
        </w:tc>
        <w:tc>
          <w:tcPr>
            <w:tcW w:w="1014" w:type="pct"/>
            <w:tcBorders>
              <w:top w:val="nil"/>
              <w:left w:val="nil"/>
              <w:bottom w:val="nil"/>
              <w:right w:val="nil"/>
            </w:tcBorders>
            <w:vAlign w:val="center"/>
          </w:tcPr>
          <w:p w14:paraId="5417FF5D">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2</w:t>
            </w:r>
            <w:r>
              <w:rPr>
                <w:rFonts w:hint="eastAsia" w:ascii="宋体" w:hAnsi="宋体" w:eastAsia="宋体" w:cs="宋体"/>
                <w:color w:val="auto"/>
                <w:szCs w:val="21"/>
              </w:rPr>
              <w:t>（</w:t>
            </w:r>
            <w:r>
              <w:rPr>
                <w:rFonts w:hint="eastAsia" w:ascii="宋体" w:hAnsi="宋体" w:eastAsia="宋体" w:cs="宋体"/>
                <w:color w:val="auto"/>
                <w:szCs w:val="21"/>
                <w:lang w:val="en-US" w:eastAsia="zh-CN"/>
              </w:rPr>
              <w:t>5.00</w:t>
            </w:r>
            <w:r>
              <w:rPr>
                <w:rFonts w:hint="eastAsia" w:ascii="宋体" w:hAnsi="宋体" w:eastAsia="宋体" w:cs="宋体"/>
                <w:color w:val="auto"/>
                <w:szCs w:val="21"/>
              </w:rPr>
              <w:t>）</w:t>
            </w:r>
          </w:p>
        </w:tc>
      </w:tr>
      <w:tr w14:paraId="680ED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625" w:type="pct"/>
            <w:tcBorders>
              <w:top w:val="nil"/>
              <w:left w:val="nil"/>
              <w:bottom w:val="nil"/>
              <w:right w:val="nil"/>
            </w:tcBorders>
            <w:vAlign w:val="center"/>
          </w:tcPr>
          <w:p w14:paraId="17B92E7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对照组</w:t>
            </w:r>
          </w:p>
        </w:tc>
        <w:tc>
          <w:tcPr>
            <w:tcW w:w="315" w:type="pct"/>
            <w:tcBorders>
              <w:top w:val="nil"/>
              <w:left w:val="nil"/>
              <w:bottom w:val="nil"/>
              <w:right w:val="nil"/>
            </w:tcBorders>
            <w:vAlign w:val="center"/>
          </w:tcPr>
          <w:p w14:paraId="72B159E9">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40</w:t>
            </w:r>
          </w:p>
        </w:tc>
        <w:tc>
          <w:tcPr>
            <w:tcW w:w="1014" w:type="pct"/>
            <w:tcBorders>
              <w:top w:val="nil"/>
              <w:left w:val="nil"/>
              <w:bottom w:val="nil"/>
              <w:right w:val="nil"/>
            </w:tcBorders>
            <w:vAlign w:val="center"/>
          </w:tcPr>
          <w:p w14:paraId="159B0813">
            <w:pPr>
              <w:spacing w:line="24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lang w:val="en-US" w:eastAsia="zh-CN"/>
              </w:rPr>
              <w:t>2</w:t>
            </w:r>
            <w:r>
              <w:rPr>
                <w:rFonts w:hint="eastAsia" w:ascii="宋体" w:hAnsi="宋体" w:eastAsia="宋体" w:cs="宋体"/>
                <w:color w:val="auto"/>
                <w:szCs w:val="21"/>
              </w:rPr>
              <w:t>（</w:t>
            </w:r>
            <w:r>
              <w:rPr>
                <w:rFonts w:hint="eastAsia" w:ascii="宋体" w:hAnsi="宋体" w:eastAsia="宋体" w:cs="宋体"/>
                <w:color w:val="auto"/>
                <w:szCs w:val="21"/>
                <w:lang w:val="en-US" w:eastAsia="zh-CN"/>
              </w:rPr>
              <w:t>5.00</w:t>
            </w:r>
            <w:r>
              <w:rPr>
                <w:rFonts w:hint="eastAsia" w:ascii="宋体" w:hAnsi="宋体" w:eastAsia="宋体" w:cs="宋体"/>
                <w:color w:val="auto"/>
                <w:szCs w:val="21"/>
              </w:rPr>
              <w:t>）</w:t>
            </w:r>
          </w:p>
        </w:tc>
        <w:tc>
          <w:tcPr>
            <w:tcW w:w="1014" w:type="pct"/>
            <w:tcBorders>
              <w:top w:val="nil"/>
              <w:left w:val="nil"/>
              <w:bottom w:val="nil"/>
              <w:right w:val="nil"/>
            </w:tcBorders>
            <w:vAlign w:val="center"/>
          </w:tcPr>
          <w:p w14:paraId="47C19A24">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3</w:t>
            </w:r>
            <w:r>
              <w:rPr>
                <w:rFonts w:hint="eastAsia" w:ascii="宋体" w:hAnsi="宋体" w:eastAsia="宋体" w:cs="宋体"/>
                <w:color w:val="auto"/>
                <w:szCs w:val="21"/>
              </w:rPr>
              <w:t>（</w:t>
            </w:r>
            <w:r>
              <w:rPr>
                <w:rFonts w:hint="eastAsia" w:ascii="宋体" w:hAnsi="宋体" w:eastAsia="宋体" w:cs="宋体"/>
                <w:color w:val="auto"/>
                <w:szCs w:val="21"/>
                <w:lang w:val="en-US" w:eastAsia="zh-CN"/>
              </w:rPr>
              <w:t>7.50</w:t>
            </w:r>
            <w:r>
              <w:rPr>
                <w:rFonts w:hint="eastAsia" w:ascii="宋体" w:hAnsi="宋体" w:eastAsia="宋体" w:cs="宋体"/>
                <w:color w:val="auto"/>
                <w:szCs w:val="21"/>
              </w:rPr>
              <w:t>）</w:t>
            </w:r>
          </w:p>
        </w:tc>
        <w:tc>
          <w:tcPr>
            <w:tcW w:w="1014" w:type="pct"/>
            <w:tcBorders>
              <w:top w:val="nil"/>
              <w:left w:val="nil"/>
              <w:bottom w:val="nil"/>
              <w:right w:val="nil"/>
            </w:tcBorders>
            <w:vAlign w:val="center"/>
          </w:tcPr>
          <w:p w14:paraId="4DDA1BC8">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3</w:t>
            </w:r>
            <w:r>
              <w:rPr>
                <w:rFonts w:hint="eastAsia" w:ascii="宋体" w:hAnsi="宋体" w:eastAsia="宋体" w:cs="宋体"/>
                <w:color w:val="auto"/>
                <w:szCs w:val="21"/>
              </w:rPr>
              <w:t>（</w:t>
            </w:r>
            <w:r>
              <w:rPr>
                <w:rFonts w:hint="eastAsia" w:ascii="宋体" w:hAnsi="宋体" w:eastAsia="宋体" w:cs="宋体"/>
                <w:color w:val="auto"/>
                <w:szCs w:val="21"/>
                <w:lang w:val="en-US" w:eastAsia="zh-CN"/>
              </w:rPr>
              <w:t>7.50</w:t>
            </w:r>
            <w:r>
              <w:rPr>
                <w:rFonts w:hint="eastAsia" w:ascii="宋体" w:hAnsi="宋体" w:eastAsia="宋体" w:cs="宋体"/>
                <w:color w:val="auto"/>
                <w:szCs w:val="21"/>
              </w:rPr>
              <w:t>）</w:t>
            </w:r>
          </w:p>
        </w:tc>
        <w:tc>
          <w:tcPr>
            <w:tcW w:w="1014" w:type="pct"/>
            <w:tcBorders>
              <w:top w:val="nil"/>
              <w:left w:val="nil"/>
              <w:bottom w:val="nil"/>
              <w:right w:val="nil"/>
            </w:tcBorders>
            <w:vAlign w:val="center"/>
          </w:tcPr>
          <w:p w14:paraId="79D41185">
            <w:pPr>
              <w:spacing w:line="240" w:lineRule="auto"/>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8</w:t>
            </w:r>
            <w:r>
              <w:rPr>
                <w:rFonts w:hint="eastAsia" w:ascii="宋体" w:hAnsi="宋体" w:eastAsia="宋体" w:cs="宋体"/>
                <w:color w:val="auto"/>
                <w:szCs w:val="21"/>
              </w:rPr>
              <w:t>（</w:t>
            </w:r>
            <w:r>
              <w:rPr>
                <w:rFonts w:hint="eastAsia" w:ascii="宋体" w:hAnsi="宋体" w:eastAsia="宋体" w:cs="宋体"/>
                <w:color w:val="auto"/>
                <w:szCs w:val="21"/>
                <w:lang w:val="en-US" w:eastAsia="zh-CN"/>
              </w:rPr>
              <w:t>20.00</w:t>
            </w:r>
            <w:r>
              <w:rPr>
                <w:rFonts w:hint="eastAsia" w:ascii="宋体" w:hAnsi="宋体" w:eastAsia="宋体" w:cs="宋体"/>
                <w:color w:val="auto"/>
                <w:szCs w:val="21"/>
              </w:rPr>
              <w:t>）</w:t>
            </w:r>
          </w:p>
        </w:tc>
      </w:tr>
      <w:tr w14:paraId="48AB2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5" w:type="pct"/>
            <w:tcBorders>
              <w:top w:val="nil"/>
              <w:left w:val="nil"/>
              <w:bottom w:val="nil"/>
              <w:right w:val="nil"/>
            </w:tcBorders>
            <w:vAlign w:val="center"/>
          </w:tcPr>
          <w:p w14:paraId="3F049E0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lang w:val="en-US"/>
              </w:rPr>
            </w:pPr>
            <w:r>
              <w:rPr>
                <w:rFonts w:hint="default" w:ascii="宋体" w:hAnsi="宋体" w:eastAsia="宋体" w:cs="宋体"/>
                <w:color w:val="auto"/>
                <w:szCs w:val="21"/>
                <w:lang w:val="en-US" w:eastAsia="zh-CN"/>
              </w:rPr>
              <w:sym w:font="Symbol" w:char="0063"/>
            </w:r>
            <w:r>
              <w:rPr>
                <w:rFonts w:hint="default" w:ascii="宋体" w:hAnsi="宋体" w:eastAsia="宋体" w:cs="宋体"/>
                <w:color w:val="auto"/>
                <w:szCs w:val="21"/>
                <w:vertAlign w:val="superscript"/>
                <w:lang w:val="en-US" w:eastAsia="zh-CN"/>
              </w:rPr>
              <w:t>2</w:t>
            </w:r>
            <w:r>
              <w:rPr>
                <w:rFonts w:hint="eastAsia" w:ascii="宋体" w:hAnsi="宋体" w:eastAsia="宋体" w:cs="宋体"/>
                <w:color w:val="auto"/>
                <w:szCs w:val="21"/>
                <w:vertAlign w:val="baseline"/>
                <w:lang w:val="en-US" w:eastAsia="zh-CN"/>
              </w:rPr>
              <w:t>值</w:t>
            </w:r>
          </w:p>
        </w:tc>
        <w:tc>
          <w:tcPr>
            <w:tcW w:w="315" w:type="pct"/>
            <w:tcBorders>
              <w:top w:val="nil"/>
              <w:left w:val="nil"/>
              <w:bottom w:val="nil"/>
              <w:right w:val="nil"/>
            </w:tcBorders>
            <w:vAlign w:val="center"/>
          </w:tcPr>
          <w:p w14:paraId="3A7E2729">
            <w:pPr>
              <w:spacing w:line="360" w:lineRule="auto"/>
              <w:jc w:val="center"/>
              <w:rPr>
                <w:rFonts w:hint="eastAsia" w:ascii="宋体" w:hAnsi="宋体" w:eastAsia="宋体" w:cs="宋体"/>
                <w:color w:val="auto"/>
                <w:szCs w:val="21"/>
                <w:lang w:val="en-US" w:eastAsia="zh-CN"/>
              </w:rPr>
            </w:pPr>
            <w:r>
              <w:rPr>
                <w:rFonts w:hint="eastAsia" w:ascii="宋体" w:hAnsi="宋体" w:eastAsia="宋体" w:cs="Times New Roman"/>
                <w:color w:val="auto"/>
              </w:rPr>
              <w:t>/</w:t>
            </w:r>
          </w:p>
        </w:tc>
        <w:tc>
          <w:tcPr>
            <w:tcW w:w="1729" w:type="dxa"/>
            <w:tcBorders>
              <w:top w:val="nil"/>
              <w:left w:val="nil"/>
              <w:bottom w:val="nil"/>
              <w:right w:val="nil"/>
            </w:tcBorders>
            <w:vAlign w:val="center"/>
          </w:tcPr>
          <w:p w14:paraId="7AB34961">
            <w:pPr>
              <w:spacing w:line="360" w:lineRule="auto"/>
              <w:jc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0.346</w:t>
            </w:r>
          </w:p>
        </w:tc>
        <w:tc>
          <w:tcPr>
            <w:tcW w:w="1729" w:type="dxa"/>
            <w:tcBorders>
              <w:top w:val="nil"/>
              <w:left w:val="nil"/>
              <w:bottom w:val="nil"/>
              <w:right w:val="nil"/>
            </w:tcBorders>
            <w:vAlign w:val="center"/>
          </w:tcPr>
          <w:p w14:paraId="5ACD6F2D">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3.117</w:t>
            </w:r>
          </w:p>
        </w:tc>
        <w:tc>
          <w:tcPr>
            <w:tcW w:w="1014" w:type="pct"/>
            <w:tcBorders>
              <w:top w:val="nil"/>
              <w:left w:val="nil"/>
              <w:bottom w:val="nil"/>
              <w:right w:val="nil"/>
            </w:tcBorders>
            <w:vAlign w:val="center"/>
          </w:tcPr>
          <w:p w14:paraId="34BBCED9">
            <w:pPr>
              <w:spacing w:line="360" w:lineRule="auto"/>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1.053</w:t>
            </w:r>
          </w:p>
        </w:tc>
        <w:tc>
          <w:tcPr>
            <w:tcW w:w="1014" w:type="pct"/>
            <w:tcBorders>
              <w:top w:val="nil"/>
              <w:left w:val="nil"/>
              <w:bottom w:val="nil"/>
              <w:right w:val="nil"/>
            </w:tcBorders>
            <w:vAlign w:val="center"/>
          </w:tcPr>
          <w:p w14:paraId="5CF4A6D2">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4.114</w:t>
            </w:r>
          </w:p>
        </w:tc>
      </w:tr>
      <w:tr w14:paraId="2D096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5" w:type="pct"/>
            <w:tcBorders>
              <w:top w:val="nil"/>
              <w:left w:val="nil"/>
              <w:bottom w:val="single" w:color="auto" w:sz="4" w:space="0"/>
              <w:right w:val="nil"/>
            </w:tcBorders>
            <w:vAlign w:val="center"/>
          </w:tcPr>
          <w:p w14:paraId="07F81A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eastAsia="宋体" w:cs="宋体"/>
                <w:color w:val="auto"/>
                <w:szCs w:val="21"/>
              </w:rPr>
            </w:pPr>
            <w:r>
              <w:rPr>
                <w:rFonts w:hint="eastAsia" w:ascii="宋体" w:hAnsi="宋体" w:eastAsia="宋体" w:cs="宋体"/>
                <w:color w:val="auto"/>
                <w:szCs w:val="21"/>
              </w:rPr>
              <w:t>P</w:t>
            </w:r>
            <w:r>
              <w:rPr>
                <w:rFonts w:hint="eastAsia" w:ascii="宋体" w:hAnsi="宋体" w:eastAsia="宋体" w:cs="宋体"/>
                <w:color w:val="auto"/>
                <w:szCs w:val="21"/>
                <w:vertAlign w:val="baseline"/>
                <w:lang w:val="en-US" w:eastAsia="zh-CN"/>
              </w:rPr>
              <w:t>值</w:t>
            </w:r>
          </w:p>
        </w:tc>
        <w:tc>
          <w:tcPr>
            <w:tcW w:w="315" w:type="pct"/>
            <w:tcBorders>
              <w:top w:val="nil"/>
              <w:left w:val="nil"/>
              <w:bottom w:val="single" w:color="auto" w:sz="4" w:space="0"/>
              <w:right w:val="nil"/>
            </w:tcBorders>
            <w:vAlign w:val="center"/>
          </w:tcPr>
          <w:p w14:paraId="008667ED">
            <w:pPr>
              <w:spacing w:line="360" w:lineRule="auto"/>
              <w:jc w:val="center"/>
              <w:rPr>
                <w:rFonts w:hint="eastAsia" w:ascii="宋体" w:hAnsi="宋体" w:eastAsia="宋体" w:cs="宋体"/>
                <w:color w:val="auto"/>
                <w:szCs w:val="21"/>
                <w:lang w:val="en-US" w:eastAsia="zh-CN"/>
              </w:rPr>
            </w:pPr>
            <w:r>
              <w:rPr>
                <w:rFonts w:hint="eastAsia" w:ascii="宋体" w:hAnsi="宋体" w:eastAsia="宋体" w:cs="Times New Roman"/>
                <w:color w:val="auto"/>
              </w:rPr>
              <w:t>/</w:t>
            </w:r>
          </w:p>
        </w:tc>
        <w:tc>
          <w:tcPr>
            <w:tcW w:w="1729" w:type="dxa"/>
            <w:tcBorders>
              <w:top w:val="nil"/>
              <w:left w:val="nil"/>
              <w:bottom w:val="single" w:color="auto" w:sz="4" w:space="0"/>
              <w:right w:val="nil"/>
            </w:tcBorders>
            <w:vAlign w:val="center"/>
          </w:tcPr>
          <w:p w14:paraId="15EC878E">
            <w:pPr>
              <w:spacing w:line="360" w:lineRule="auto"/>
              <w:jc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0.556</w:t>
            </w:r>
          </w:p>
        </w:tc>
        <w:tc>
          <w:tcPr>
            <w:tcW w:w="1729" w:type="dxa"/>
            <w:tcBorders>
              <w:top w:val="nil"/>
              <w:left w:val="nil"/>
              <w:bottom w:val="single" w:color="auto" w:sz="4" w:space="0"/>
              <w:right w:val="nil"/>
            </w:tcBorders>
            <w:vAlign w:val="center"/>
          </w:tcPr>
          <w:p w14:paraId="3B86D554">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0.077</w:t>
            </w:r>
          </w:p>
        </w:tc>
        <w:tc>
          <w:tcPr>
            <w:tcW w:w="1014" w:type="pct"/>
            <w:tcBorders>
              <w:top w:val="nil"/>
              <w:left w:val="nil"/>
              <w:bottom w:val="single" w:color="auto" w:sz="4" w:space="0"/>
              <w:right w:val="nil"/>
            </w:tcBorders>
            <w:vAlign w:val="center"/>
          </w:tcPr>
          <w:p w14:paraId="1F801855">
            <w:pPr>
              <w:spacing w:line="360" w:lineRule="auto"/>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0.305</w:t>
            </w:r>
          </w:p>
        </w:tc>
        <w:tc>
          <w:tcPr>
            <w:tcW w:w="1014" w:type="pct"/>
            <w:tcBorders>
              <w:top w:val="nil"/>
              <w:left w:val="nil"/>
              <w:bottom w:val="single" w:color="auto" w:sz="4" w:space="0"/>
              <w:right w:val="nil"/>
            </w:tcBorders>
            <w:vAlign w:val="center"/>
          </w:tcPr>
          <w:p w14:paraId="2A358AF5">
            <w:pPr>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0.043</w:t>
            </w:r>
          </w:p>
        </w:tc>
      </w:tr>
    </w:tbl>
    <w:p w14:paraId="1E0FA078">
      <w:pPr>
        <w:widowControl/>
        <w:spacing w:line="480" w:lineRule="auto"/>
        <w:jc w:val="left"/>
        <w:rPr>
          <w:rFonts w:hint="eastAsia" w:ascii="宋体" w:hAnsi="宋体" w:eastAsia="宋体" w:cs="宋体"/>
          <w:color w:val="auto"/>
          <w:kern w:val="2"/>
          <w:sz w:val="21"/>
          <w:szCs w:val="21"/>
          <w:lang w:val="en-US" w:eastAsia="zh-CN" w:bidi="ar-SA"/>
        </w:rPr>
      </w:pPr>
      <w:r>
        <w:rPr>
          <w:rFonts w:hint="eastAsia" w:ascii="宋体" w:hAnsi="宋体" w:eastAsia="宋体" w:cs="宋体"/>
          <w:b/>
          <w:bCs/>
          <w:color w:val="auto"/>
          <w:szCs w:val="21"/>
        </w:rPr>
        <w:t>3讨论</w:t>
      </w:r>
    </w:p>
    <w:p w14:paraId="12B405C8">
      <w:pPr>
        <w:widowControl/>
        <w:spacing w:line="480" w:lineRule="auto"/>
        <w:ind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本次研究显示，观察组患儿一次穿刺成功率高于对照组且二次穿刺成功率、多次穿刺成功率低于对照组，P＜0.05。究其原因，首先，护理人员在</w:t>
      </w:r>
      <w:r>
        <w:rPr>
          <w:rFonts w:hint="eastAsia" w:ascii="宋体" w:hAnsi="宋体" w:eastAsia="宋体" w:cs="宋体"/>
          <w:b w:val="0"/>
          <w:bCs w:val="0"/>
          <w:color w:val="auto"/>
          <w:szCs w:val="21"/>
          <w:lang w:val="en-US" w:eastAsia="zh-CN"/>
        </w:rPr>
        <w:t>临床护理路径中和</w:t>
      </w:r>
      <w:r>
        <w:rPr>
          <w:rFonts w:hint="eastAsia" w:ascii="宋体" w:hAnsi="宋体" w:eastAsia="宋体" w:cs="宋体"/>
          <w:color w:val="auto"/>
          <w:kern w:val="2"/>
          <w:sz w:val="21"/>
          <w:szCs w:val="21"/>
          <w:lang w:val="en-US" w:eastAsia="zh-CN" w:bidi="ar-SA"/>
        </w:rPr>
        <w:t>患儿及其家属详细的沟通，并且详细解释</w:t>
      </w:r>
      <w:r>
        <w:rPr>
          <w:rFonts w:hint="eastAsia" w:ascii="宋体" w:hAnsi="宋体" w:eastAsia="宋体" w:cs="宋体"/>
          <w:b w:val="0"/>
          <w:bCs w:val="0"/>
          <w:color w:val="auto"/>
          <w:szCs w:val="21"/>
          <w:lang w:val="en-US" w:eastAsia="zh-CN"/>
        </w:rPr>
        <w:t>小儿静脉留置针</w:t>
      </w:r>
      <w:r>
        <w:rPr>
          <w:rFonts w:hint="eastAsia" w:ascii="宋体" w:hAnsi="宋体" w:eastAsia="宋体" w:cs="宋体"/>
          <w:color w:val="auto"/>
          <w:kern w:val="2"/>
          <w:sz w:val="21"/>
          <w:szCs w:val="21"/>
          <w:lang w:val="en-US" w:eastAsia="zh-CN" w:bidi="ar-SA"/>
        </w:rPr>
        <w:t>的必要性，降低患儿的恐惧和抗拒，有利于保证患儿顺利完成穿刺</w:t>
      </w:r>
      <w:r>
        <w:rPr>
          <w:rFonts w:hint="eastAsia" w:ascii="宋体" w:hAnsi="宋体" w:cs="宋体"/>
          <w:color w:val="auto"/>
          <w:szCs w:val="21"/>
          <w:vertAlign w:val="superscript"/>
          <w:lang w:val="en-US" w:eastAsia="zh-CN"/>
        </w:rPr>
        <w:t>[4]</w:t>
      </w:r>
      <w:r>
        <w:rPr>
          <w:rFonts w:hint="eastAsia" w:ascii="宋体" w:hAnsi="宋体" w:eastAsia="宋体" w:cs="宋体"/>
          <w:color w:val="auto"/>
          <w:kern w:val="2"/>
          <w:sz w:val="21"/>
          <w:szCs w:val="21"/>
          <w:lang w:val="en-US" w:eastAsia="zh-CN" w:bidi="ar-SA"/>
        </w:rPr>
        <w:t>。其次，护理人员和患儿沟通时给予患儿足够的耐心和关爱，不仅可以缓解患儿的焦虑情绪，提升其对护理人员信任感和安全感，从而提高一次性穿刺成功率。同时，护理人员在对患儿穿刺时，利用动画片、玩具等转移患儿注意力，减轻患儿的恐惧和疼痛感，</w:t>
      </w:r>
      <w:r>
        <w:rPr>
          <w:rFonts w:hint="eastAsia" w:ascii="宋体" w:hAnsi="宋体" w:eastAsia="宋体" w:cs="宋体"/>
          <w:color w:val="0000FF"/>
          <w:kern w:val="2"/>
          <w:sz w:val="21"/>
          <w:szCs w:val="21"/>
          <w:lang w:val="en-US" w:eastAsia="zh-CN" w:bidi="ar-SA"/>
        </w:rPr>
        <w:t>提高一次性穿刺成功率</w:t>
      </w:r>
      <w:r>
        <w:rPr>
          <w:rFonts w:hint="eastAsia" w:ascii="宋体" w:hAnsi="宋体" w:eastAsia="宋体" w:cs="宋体"/>
          <w:color w:val="auto"/>
          <w:kern w:val="2"/>
          <w:sz w:val="21"/>
          <w:szCs w:val="21"/>
          <w:lang w:val="en-US" w:eastAsia="zh-CN" w:bidi="ar-SA"/>
        </w:rPr>
        <w:t>。再者，护理人员详细了解患儿的兴趣和爱好，为患儿制定个性化的护理方案，有利于提高患儿的依从性，可以提高患儿地配合穿刺操作。最后，护理人员评估患儿的心理状态，有效减轻患儿的焦虑和恐惧感，提高患儿的配合度。同时，护理人员为患儿家属讲解相关的医疗知识，增加家属的理解和支持，限制患儿的行动，避免因肢体乱动导致穿刺失败。</w:t>
      </w:r>
    </w:p>
    <w:p w14:paraId="1033A28C">
      <w:pPr>
        <w:widowControl/>
        <w:spacing w:line="480" w:lineRule="auto"/>
        <w:ind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本次研究显示，观察组患儿家属护理满意度高于对照组，P＜0.05。究其原因，首先，护理人员将临床护理路径应用在小儿静脉留置针穿刺中和患儿及其家属进行详细的沟通，为其解释穿刺的过程、必要性以及潜在注意事项。同时，家属因相关知识的缺乏导致的焦虑和不安得到有效地缓解，提高患者、家属的理解</w:t>
      </w:r>
      <w:r>
        <w:rPr>
          <w:rFonts w:hint="eastAsia" w:ascii="宋体" w:hAnsi="宋体" w:cs="宋体"/>
          <w:color w:val="auto"/>
          <w:szCs w:val="21"/>
          <w:vertAlign w:val="superscript"/>
          <w:lang w:val="en-US" w:eastAsia="zh-CN"/>
        </w:rPr>
        <w:t>[5-6]</w:t>
      </w:r>
      <w:r>
        <w:rPr>
          <w:rFonts w:hint="eastAsia" w:ascii="宋体" w:hAnsi="宋体" w:eastAsia="宋体" w:cs="宋体"/>
          <w:color w:val="auto"/>
          <w:kern w:val="2"/>
          <w:sz w:val="21"/>
          <w:szCs w:val="21"/>
          <w:lang w:val="en-US" w:eastAsia="zh-CN" w:bidi="ar-SA"/>
        </w:rPr>
        <w:t>。其次，护理人员在穿刺过程中及之后，为患儿、家属反馈患儿的状态和穿刺情况，给予患儿必要的情绪安抚，提高家属的护理满意度。再者，护理人员给予患儿、家属充分的人文关怀，增加家属对护理工作的认可。同时，护理人员对患儿及其家属进行心理疏导，帮助患儿家属在小儿穿刺中的冷静，提高家属对护理工作的满意度。其次，护理人员详细了解患儿的兴趣和爱好，采取适当的方式转移患儿的注意力，使穿刺过程更加顺利。再者，护理人员在穿刺过程中采用动画片、玩具等方式分散患儿的注意力，提高患儿穿刺配合度，减少家属因患儿哭闹而产生的焦虑，提升了满意度。</w:t>
      </w:r>
    </w:p>
    <w:p w14:paraId="30EEBE7A">
      <w:pPr>
        <w:widowControl/>
        <w:spacing w:line="480" w:lineRule="auto"/>
        <w:ind w:firstLine="420" w:firstLine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本次研究显示，观察组患儿并发症发生率低于对照组，P＜0.05。究其原因，首先，护理人员在</w:t>
      </w:r>
      <w:r>
        <w:rPr>
          <w:rFonts w:hint="eastAsia" w:ascii="宋体" w:hAnsi="宋体" w:cs="宋体"/>
          <w:color w:val="auto"/>
          <w:szCs w:val="21"/>
          <w:lang w:val="en-US" w:eastAsia="zh-CN"/>
        </w:rPr>
        <w:t>临床护理路径中要</w:t>
      </w:r>
      <w:r>
        <w:rPr>
          <w:rFonts w:hint="eastAsia" w:ascii="宋体" w:hAnsi="宋体" w:eastAsia="宋体" w:cs="宋体"/>
          <w:color w:val="auto"/>
          <w:kern w:val="2"/>
          <w:sz w:val="21"/>
          <w:szCs w:val="21"/>
          <w:lang w:val="en-US" w:eastAsia="zh-CN" w:bidi="ar-SA"/>
        </w:rPr>
        <w:t>严格遵守无菌操作规程，有利于预防细菌感染，降低患儿穿刺部位的感染风险</w:t>
      </w:r>
      <w:r>
        <w:rPr>
          <w:rFonts w:hint="eastAsia" w:ascii="宋体" w:hAnsi="宋体" w:cs="宋体"/>
          <w:color w:val="auto"/>
          <w:szCs w:val="21"/>
          <w:vertAlign w:val="superscript"/>
          <w:lang w:val="en-US" w:eastAsia="zh-CN"/>
        </w:rPr>
        <w:t>[7-8]</w:t>
      </w:r>
      <w:r>
        <w:rPr>
          <w:rFonts w:hint="eastAsia" w:ascii="宋体" w:hAnsi="宋体" w:eastAsia="宋体" w:cs="宋体"/>
          <w:color w:val="auto"/>
          <w:kern w:val="2"/>
          <w:sz w:val="21"/>
          <w:szCs w:val="21"/>
          <w:lang w:val="en-US" w:eastAsia="zh-CN" w:bidi="ar-SA"/>
        </w:rPr>
        <w:t>。其次，医院定期对护理人员进行静脉留置针穿刺的培训和技能考核，提升操作技能和加深穿刺知识的理解，从而减少并发症的发生。最后，护理人员为患儿家属详细讲解静脉留置针的护理知识，加深患儿家属</w:t>
      </w:r>
      <w:r>
        <w:rPr>
          <w:rFonts w:hint="eastAsia" w:ascii="宋体" w:hAnsi="宋体" w:eastAsia="宋体" w:cs="宋体"/>
          <w:b w:val="0"/>
          <w:bCs w:val="0"/>
          <w:color w:val="auto"/>
          <w:szCs w:val="21"/>
          <w:lang w:val="en-US" w:eastAsia="zh-CN"/>
        </w:rPr>
        <w:t>静脉留置针穿刺护理</w:t>
      </w:r>
      <w:r>
        <w:rPr>
          <w:rFonts w:hint="eastAsia" w:ascii="宋体" w:hAnsi="宋体" w:eastAsia="宋体" w:cs="宋体"/>
          <w:color w:val="auto"/>
          <w:kern w:val="2"/>
          <w:sz w:val="21"/>
          <w:szCs w:val="21"/>
          <w:lang w:val="en-US" w:eastAsia="zh-CN" w:bidi="ar-SA"/>
        </w:rPr>
        <w:t>正确掌握正确的护理方法和注意事项，降低患儿因操作不当导致的并发症。</w:t>
      </w:r>
    </w:p>
    <w:p w14:paraId="0DE0DD3D">
      <w:pPr>
        <w:widowControl/>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kern w:val="2"/>
          <w:sz w:val="21"/>
          <w:szCs w:val="21"/>
          <w:lang w:val="en-US" w:eastAsia="zh-CN" w:bidi="ar-SA"/>
        </w:rPr>
        <w:t>综上所述，</w:t>
      </w:r>
      <w:r>
        <w:rPr>
          <w:rFonts w:hint="eastAsia" w:ascii="宋体" w:hAnsi="宋体" w:eastAsia="宋体" w:cs="宋体"/>
          <w:b w:val="0"/>
          <w:bCs w:val="0"/>
          <w:color w:val="auto"/>
          <w:szCs w:val="21"/>
          <w:lang w:val="en-US" w:eastAsia="zh-CN"/>
        </w:rPr>
        <w:t>在小儿静脉留置针穿刺护理应用临床护理路径可以提高临床</w:t>
      </w:r>
      <w:r>
        <w:rPr>
          <w:rFonts w:hint="eastAsia" w:ascii="宋体" w:hAnsi="宋体" w:eastAsia="宋体" w:cs="宋体"/>
          <w:color w:val="auto"/>
          <w:szCs w:val="21"/>
          <w:lang w:val="en-US" w:eastAsia="zh-CN"/>
        </w:rPr>
        <w:t>穿刺成功率，降低患儿并发症发生风险，提高家属护理满意度</w:t>
      </w:r>
      <w:r>
        <w:rPr>
          <w:rFonts w:hint="eastAsia" w:ascii="宋体" w:hAnsi="宋体" w:eastAsia="宋体" w:cs="宋体"/>
          <w:color w:val="auto"/>
          <w:szCs w:val="21"/>
        </w:rPr>
        <w:t>。</w:t>
      </w:r>
    </w:p>
    <w:p w14:paraId="70FBDF5C">
      <w:pPr>
        <w:spacing w:line="480" w:lineRule="auto"/>
        <w:rPr>
          <w:rFonts w:ascii="宋体" w:hAnsi="宋体" w:eastAsia="宋体" w:cs="宋体"/>
          <w:color w:val="auto"/>
          <w:szCs w:val="21"/>
        </w:rPr>
      </w:pPr>
      <w:r>
        <w:rPr>
          <w:rFonts w:hint="eastAsia" w:ascii="宋体" w:hAnsi="宋体" w:eastAsia="宋体" w:cs="宋体"/>
          <w:b/>
          <w:bCs/>
          <w:color w:val="auto"/>
          <w:szCs w:val="21"/>
        </w:rPr>
        <w:t>参考文献</w:t>
      </w:r>
    </w:p>
    <w:p w14:paraId="31A29514">
      <w:pPr>
        <w:spacing w:line="480" w:lineRule="auto"/>
        <w:rPr>
          <w:rFonts w:hint="eastAsia" w:ascii="宋体" w:hAnsi="宋体" w:cs="宋体"/>
          <w:color w:val="auto"/>
          <w:szCs w:val="21"/>
          <w:lang w:val="en-US" w:eastAsia="zh-CN"/>
        </w:rPr>
      </w:pPr>
      <w:r>
        <w:rPr>
          <w:rFonts w:hint="eastAsia" w:ascii="宋体" w:hAnsi="宋体" w:cs="宋体"/>
          <w:color w:val="auto"/>
          <w:szCs w:val="21"/>
          <w:lang w:val="en-US" w:eastAsia="zh-CN"/>
        </w:rPr>
        <w:t>[1]吕蓓芳.临床护理路径在小儿静脉留置针穿刺护理效果分析[J].医学食疗与健康,2022,20(8):65-68.</w:t>
      </w:r>
    </w:p>
    <w:p w14:paraId="4CA5BD7C">
      <w:pPr>
        <w:spacing w:line="480" w:lineRule="auto"/>
        <w:rPr>
          <w:rFonts w:hint="eastAsia" w:ascii="宋体" w:hAnsi="宋体" w:cs="宋体"/>
          <w:color w:val="auto"/>
          <w:szCs w:val="21"/>
          <w:lang w:val="en-US" w:eastAsia="zh-CN"/>
        </w:rPr>
      </w:pPr>
      <w:r>
        <w:rPr>
          <w:rFonts w:hint="eastAsia" w:ascii="宋体" w:hAnsi="宋体" w:cs="宋体"/>
          <w:color w:val="auto"/>
          <w:szCs w:val="21"/>
          <w:lang w:val="en-US" w:eastAsia="zh-CN"/>
        </w:rPr>
        <w:t>[2]司书红.临床护理路径在小儿静脉留置针穿刺护理效果分析[J].中外医疗,2021,40(13):110-112,115.</w:t>
      </w:r>
    </w:p>
    <w:p w14:paraId="3315D595">
      <w:pPr>
        <w:spacing w:line="480" w:lineRule="auto"/>
        <w:rPr>
          <w:rFonts w:hint="eastAsia" w:ascii="宋体" w:hAnsi="宋体" w:cs="宋体"/>
          <w:color w:val="auto"/>
          <w:szCs w:val="21"/>
          <w:lang w:val="en-US" w:eastAsia="zh-CN"/>
        </w:rPr>
      </w:pPr>
      <w:r>
        <w:rPr>
          <w:rFonts w:hint="eastAsia" w:ascii="宋体" w:hAnsi="宋体" w:cs="宋体"/>
          <w:color w:val="auto"/>
          <w:szCs w:val="21"/>
          <w:lang w:val="en-US" w:eastAsia="zh-CN"/>
        </w:rPr>
        <w:t>[3]杨诗月,雍彩霞,席慧菊.临床护理路径在小儿静脉留置针穿刺护理中的应用效果[J].检验医学与临床,2020,17(7):974-976.</w:t>
      </w:r>
    </w:p>
    <w:p w14:paraId="15322CED">
      <w:pPr>
        <w:spacing w:line="480" w:lineRule="auto"/>
        <w:rPr>
          <w:rFonts w:hint="eastAsia" w:ascii="宋体" w:hAnsi="宋体" w:cs="宋体"/>
          <w:color w:val="auto"/>
          <w:szCs w:val="21"/>
          <w:lang w:val="en-US" w:eastAsia="zh-CN"/>
        </w:rPr>
      </w:pPr>
      <w:r>
        <w:rPr>
          <w:rFonts w:hint="eastAsia" w:ascii="宋体" w:hAnsi="宋体" w:cs="宋体"/>
          <w:color w:val="auto"/>
          <w:szCs w:val="21"/>
          <w:lang w:val="en-US" w:eastAsia="zh-CN"/>
        </w:rPr>
        <w:t>[4]杨美银.临床护理路径在小儿静脉留置针穿刺护理中的应用效果观察[J].母婴世界,2024(8):157-159.</w:t>
      </w:r>
    </w:p>
    <w:p w14:paraId="461C7837">
      <w:pPr>
        <w:spacing w:line="480" w:lineRule="auto"/>
        <w:rPr>
          <w:rFonts w:hint="eastAsia" w:ascii="宋体" w:hAnsi="宋体" w:cs="宋体"/>
          <w:color w:val="auto"/>
          <w:szCs w:val="21"/>
          <w:lang w:val="en-US" w:eastAsia="zh-CN"/>
        </w:rPr>
      </w:pPr>
      <w:r>
        <w:rPr>
          <w:rFonts w:hint="eastAsia" w:ascii="宋体" w:hAnsi="宋体" w:cs="宋体"/>
          <w:color w:val="auto"/>
          <w:szCs w:val="21"/>
          <w:lang w:val="en-US" w:eastAsia="zh-CN"/>
        </w:rPr>
        <w:t>[5]周丽君,班丽君.临床护理路径在小儿静脉留置针穿刺护理效果分析[J].康颐,2023(9):34-36.</w:t>
      </w:r>
    </w:p>
    <w:p w14:paraId="6CF312C8">
      <w:pPr>
        <w:spacing w:line="480" w:lineRule="auto"/>
        <w:rPr>
          <w:rFonts w:hint="eastAsia" w:ascii="宋体" w:hAnsi="宋体" w:cs="宋体"/>
          <w:color w:val="auto"/>
          <w:szCs w:val="21"/>
          <w:lang w:val="en-US" w:eastAsia="zh-CN"/>
        </w:rPr>
      </w:pPr>
      <w:r>
        <w:rPr>
          <w:rFonts w:hint="eastAsia" w:ascii="宋体" w:hAnsi="宋体" w:cs="宋体"/>
          <w:color w:val="auto"/>
          <w:szCs w:val="21"/>
          <w:lang w:val="en-US" w:eastAsia="zh-CN"/>
        </w:rPr>
        <w:t>[6]毛婷.临床护理路径在小儿静脉留置针穿刺护理中的应用效果观察[J].特别健康,2022(3):180-181.</w:t>
      </w:r>
    </w:p>
    <w:p w14:paraId="5C99644C">
      <w:pPr>
        <w:spacing w:line="480" w:lineRule="auto"/>
        <w:rPr>
          <w:rFonts w:hint="eastAsia" w:ascii="宋体" w:hAnsi="宋体" w:cs="宋体"/>
          <w:color w:val="auto"/>
          <w:szCs w:val="21"/>
          <w:lang w:val="en-US" w:eastAsia="zh-CN"/>
        </w:rPr>
      </w:pPr>
      <w:r>
        <w:rPr>
          <w:rFonts w:hint="eastAsia" w:ascii="宋体" w:hAnsi="宋体" w:cs="宋体"/>
          <w:color w:val="auto"/>
          <w:szCs w:val="21"/>
          <w:lang w:val="en-US" w:eastAsia="zh-CN"/>
        </w:rPr>
        <w:t>[7]耿静静,周甜,张慧苹.临床护理路径在小儿静脉留置针穿刺中的应用研究[J].糖尿病天地,2022,19(4):230-231.</w:t>
      </w:r>
    </w:p>
    <w:p w14:paraId="079A4B08">
      <w:pPr>
        <w:spacing w:line="480" w:lineRule="auto"/>
        <w:rPr>
          <w:rFonts w:hint="default" w:ascii="宋体" w:hAnsi="宋体" w:cs="宋体"/>
          <w:color w:val="auto"/>
          <w:szCs w:val="21"/>
          <w:lang w:val="en-US" w:eastAsia="zh-CN"/>
        </w:rPr>
      </w:pPr>
      <w:r>
        <w:rPr>
          <w:rFonts w:hint="eastAsia" w:ascii="宋体" w:hAnsi="宋体" w:cs="宋体"/>
          <w:color w:val="auto"/>
          <w:szCs w:val="21"/>
          <w:lang w:val="en-US" w:eastAsia="zh-CN"/>
        </w:rPr>
        <w:t>[8]钟甜甜,姚映宏.临床护理路径对静脉留置针穿刺输液治疗患儿的影响[J].饮食保健,2021(42):203-204.</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E225B0"/>
    <w:multiLevelType w:val="multilevel"/>
    <w:tmpl w:val="BAE225B0"/>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wNDg5MzMwZmM5MTNhN2VjYmEwNDQxNzQyMjIxYzQifQ=="/>
  </w:docVars>
  <w:rsids>
    <w:rsidRoot w:val="2AA6106C"/>
    <w:rsid w:val="00133528"/>
    <w:rsid w:val="003D1A43"/>
    <w:rsid w:val="00612345"/>
    <w:rsid w:val="01E054EB"/>
    <w:rsid w:val="028A088B"/>
    <w:rsid w:val="03802AE2"/>
    <w:rsid w:val="03D42D07"/>
    <w:rsid w:val="04610B65"/>
    <w:rsid w:val="053C0C8A"/>
    <w:rsid w:val="05F6352F"/>
    <w:rsid w:val="06471FDD"/>
    <w:rsid w:val="06622973"/>
    <w:rsid w:val="06AC1E40"/>
    <w:rsid w:val="072B545A"/>
    <w:rsid w:val="09842C00"/>
    <w:rsid w:val="09B90AFC"/>
    <w:rsid w:val="0B6C7DF0"/>
    <w:rsid w:val="0C3E353A"/>
    <w:rsid w:val="0C430B50"/>
    <w:rsid w:val="0CCA3020"/>
    <w:rsid w:val="0D470B14"/>
    <w:rsid w:val="0DD34156"/>
    <w:rsid w:val="0E527771"/>
    <w:rsid w:val="0F36499C"/>
    <w:rsid w:val="0F452E31"/>
    <w:rsid w:val="0F5B4403"/>
    <w:rsid w:val="0F924FDD"/>
    <w:rsid w:val="107240FA"/>
    <w:rsid w:val="111927C8"/>
    <w:rsid w:val="12394ECF"/>
    <w:rsid w:val="12C34799"/>
    <w:rsid w:val="14553B17"/>
    <w:rsid w:val="1461426A"/>
    <w:rsid w:val="171C091C"/>
    <w:rsid w:val="17D336D0"/>
    <w:rsid w:val="17FD24FB"/>
    <w:rsid w:val="18AE7C99"/>
    <w:rsid w:val="18FC1F3B"/>
    <w:rsid w:val="1A613215"/>
    <w:rsid w:val="1B6F1962"/>
    <w:rsid w:val="1BE55780"/>
    <w:rsid w:val="1BF6798D"/>
    <w:rsid w:val="1C2D7127"/>
    <w:rsid w:val="1C381D54"/>
    <w:rsid w:val="1E205195"/>
    <w:rsid w:val="202645B9"/>
    <w:rsid w:val="20601702"/>
    <w:rsid w:val="20BD316F"/>
    <w:rsid w:val="20CB4127"/>
    <w:rsid w:val="20D77EB9"/>
    <w:rsid w:val="22521696"/>
    <w:rsid w:val="2273035C"/>
    <w:rsid w:val="23265579"/>
    <w:rsid w:val="2351194D"/>
    <w:rsid w:val="23863CED"/>
    <w:rsid w:val="24443260"/>
    <w:rsid w:val="25D7082F"/>
    <w:rsid w:val="25DA3E7C"/>
    <w:rsid w:val="265B0961"/>
    <w:rsid w:val="278774F8"/>
    <w:rsid w:val="28125B4F"/>
    <w:rsid w:val="28BA7F95"/>
    <w:rsid w:val="293E0BC6"/>
    <w:rsid w:val="297A7E50"/>
    <w:rsid w:val="29AB625B"/>
    <w:rsid w:val="29FA0F90"/>
    <w:rsid w:val="2AA6106C"/>
    <w:rsid w:val="2B0D0850"/>
    <w:rsid w:val="2B3B056A"/>
    <w:rsid w:val="2B487ADA"/>
    <w:rsid w:val="2C9D5C03"/>
    <w:rsid w:val="2D522E91"/>
    <w:rsid w:val="2E093550"/>
    <w:rsid w:val="30134B5A"/>
    <w:rsid w:val="30EB33E1"/>
    <w:rsid w:val="31434F33"/>
    <w:rsid w:val="321E1594"/>
    <w:rsid w:val="331D7C8C"/>
    <w:rsid w:val="334D3EDF"/>
    <w:rsid w:val="33B57CD6"/>
    <w:rsid w:val="33FB1B8D"/>
    <w:rsid w:val="35246EC1"/>
    <w:rsid w:val="35472BB0"/>
    <w:rsid w:val="36E90CCE"/>
    <w:rsid w:val="378E2D18"/>
    <w:rsid w:val="38404012"/>
    <w:rsid w:val="38540383"/>
    <w:rsid w:val="386F66A6"/>
    <w:rsid w:val="38AA1DD4"/>
    <w:rsid w:val="393A3157"/>
    <w:rsid w:val="398443D3"/>
    <w:rsid w:val="3A0B68A2"/>
    <w:rsid w:val="3B6049CB"/>
    <w:rsid w:val="3C163B20"/>
    <w:rsid w:val="3CFC3141"/>
    <w:rsid w:val="3D0A1093"/>
    <w:rsid w:val="3D29776B"/>
    <w:rsid w:val="3D3103CE"/>
    <w:rsid w:val="3D957523"/>
    <w:rsid w:val="3DD60F75"/>
    <w:rsid w:val="3DE23DBE"/>
    <w:rsid w:val="3E401741"/>
    <w:rsid w:val="3EAC4BE0"/>
    <w:rsid w:val="3F9643C0"/>
    <w:rsid w:val="3FC90D91"/>
    <w:rsid w:val="3FD16EDC"/>
    <w:rsid w:val="417E7959"/>
    <w:rsid w:val="420936C7"/>
    <w:rsid w:val="421107CE"/>
    <w:rsid w:val="42165DE4"/>
    <w:rsid w:val="42786A9F"/>
    <w:rsid w:val="42FF4BE0"/>
    <w:rsid w:val="43195B8C"/>
    <w:rsid w:val="43CA57C8"/>
    <w:rsid w:val="4497145E"/>
    <w:rsid w:val="46340F2E"/>
    <w:rsid w:val="466A4950"/>
    <w:rsid w:val="46C04C25"/>
    <w:rsid w:val="46DC3AA0"/>
    <w:rsid w:val="47541888"/>
    <w:rsid w:val="48802209"/>
    <w:rsid w:val="49044BE8"/>
    <w:rsid w:val="490746D8"/>
    <w:rsid w:val="49494CF1"/>
    <w:rsid w:val="495B43A7"/>
    <w:rsid w:val="498875C7"/>
    <w:rsid w:val="49B02FC2"/>
    <w:rsid w:val="4A5E2A1E"/>
    <w:rsid w:val="4ADB1FE7"/>
    <w:rsid w:val="4ADB7BCB"/>
    <w:rsid w:val="4BA6467C"/>
    <w:rsid w:val="4BC32B39"/>
    <w:rsid w:val="4CBE77A4"/>
    <w:rsid w:val="4D626381"/>
    <w:rsid w:val="4EBC7D13"/>
    <w:rsid w:val="4F696DEC"/>
    <w:rsid w:val="4FBA24A4"/>
    <w:rsid w:val="51597A9B"/>
    <w:rsid w:val="52DC0984"/>
    <w:rsid w:val="530F0D59"/>
    <w:rsid w:val="56EF07AE"/>
    <w:rsid w:val="572A43B4"/>
    <w:rsid w:val="57C55E8A"/>
    <w:rsid w:val="587F24DD"/>
    <w:rsid w:val="59104003"/>
    <w:rsid w:val="59170968"/>
    <w:rsid w:val="594828CF"/>
    <w:rsid w:val="59943D66"/>
    <w:rsid w:val="5A3A2B60"/>
    <w:rsid w:val="5AF54E55"/>
    <w:rsid w:val="5B082E79"/>
    <w:rsid w:val="5B2A26DF"/>
    <w:rsid w:val="5C62014C"/>
    <w:rsid w:val="5CD728E8"/>
    <w:rsid w:val="5DFA4633"/>
    <w:rsid w:val="5E471CBA"/>
    <w:rsid w:val="5F275E09"/>
    <w:rsid w:val="606F1089"/>
    <w:rsid w:val="60940AF0"/>
    <w:rsid w:val="61131A15"/>
    <w:rsid w:val="611F485D"/>
    <w:rsid w:val="6256605D"/>
    <w:rsid w:val="65071890"/>
    <w:rsid w:val="65340C45"/>
    <w:rsid w:val="663E7534"/>
    <w:rsid w:val="66BE4468"/>
    <w:rsid w:val="66CD08B8"/>
    <w:rsid w:val="67DA7730"/>
    <w:rsid w:val="68921DB9"/>
    <w:rsid w:val="68A67612"/>
    <w:rsid w:val="69567CE1"/>
    <w:rsid w:val="69C7445F"/>
    <w:rsid w:val="6B040620"/>
    <w:rsid w:val="6BBA58AE"/>
    <w:rsid w:val="6BCE135A"/>
    <w:rsid w:val="6BEC6D2D"/>
    <w:rsid w:val="6C727F37"/>
    <w:rsid w:val="6CB73B9C"/>
    <w:rsid w:val="6D2B458A"/>
    <w:rsid w:val="6E8D72AA"/>
    <w:rsid w:val="6EC9405A"/>
    <w:rsid w:val="6FBD6CD1"/>
    <w:rsid w:val="6FD9207B"/>
    <w:rsid w:val="704904F9"/>
    <w:rsid w:val="7080699B"/>
    <w:rsid w:val="712E63F7"/>
    <w:rsid w:val="73B70925"/>
    <w:rsid w:val="73CF7C0D"/>
    <w:rsid w:val="74082F2F"/>
    <w:rsid w:val="75153B55"/>
    <w:rsid w:val="75C86E1A"/>
    <w:rsid w:val="75CB690A"/>
    <w:rsid w:val="75EF084A"/>
    <w:rsid w:val="764F753B"/>
    <w:rsid w:val="76BD6253"/>
    <w:rsid w:val="77690189"/>
    <w:rsid w:val="78985EEC"/>
    <w:rsid w:val="78A0407E"/>
    <w:rsid w:val="7AB4796D"/>
    <w:rsid w:val="7C58666A"/>
    <w:rsid w:val="7CA63DDC"/>
    <w:rsid w:val="7E10135E"/>
    <w:rsid w:val="7E4269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auto"/>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index 8"/>
    <w:basedOn w:val="1"/>
    <w:next w:val="1"/>
    <w:qFormat/>
    <w:uiPriority w:val="0"/>
    <w:pPr>
      <w:ind w:left="2940"/>
    </w:pPr>
    <w:rPr>
      <w:rFonts w:ascii="Times New Roman" w:hAnsi="Times New Roman"/>
    </w:rPr>
  </w:style>
  <w:style w:type="paragraph" w:styleId="3">
    <w:name w:val="Normal Indent"/>
    <w:basedOn w:val="1"/>
    <w:qFormat/>
    <w:uiPriority w:val="0"/>
    <w:pPr>
      <w:ind w:firstLine="420" w:firstLineChars="200"/>
    </w:pPr>
    <w:rPr>
      <w:rFonts w:ascii="Times New Roman" w:hAnsi="Times New Roman" w:eastAsia="宋体" w:cs="Times New Roman"/>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3753</Words>
  <Characters>4286</Characters>
  <Lines>0</Lines>
  <Paragraphs>0</Paragraphs>
  <TotalTime>0</TotalTime>
  <ScaleCrop>false</ScaleCrop>
  <LinksUpToDate>false</LinksUpToDate>
  <CharactersWithSpaces>4288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2024-06-10T13:47:00Z</dcterms:created>
  <dc:creator>沐风</dc:creator>
  <cp:lastModifiedBy>Administrator</cp:lastModifiedBy>
  <dcterms:modified xsi:type="dcterms:W3CDTF">2024-06-13T05:34:57Z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463F09839C8F4B0EB3DE66651770DBAE_13</vt:lpwstr>
  </property>
</Properties>
</file>