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3F2B0599" w:rsidR="00347A61" w:rsidRPr="001763C6" w:rsidRDefault="0081577C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CNG</w:t>
      </w:r>
      <w:r>
        <w:rPr>
          <w:lang w:eastAsia="zh-CN"/>
        </w:rPr>
        <w:t>和</w:t>
      </w:r>
      <w:r>
        <w:rPr>
          <w:lang w:eastAsia="zh-CN"/>
        </w:rPr>
        <w:t>LNG</w:t>
      </w:r>
      <w:r>
        <w:rPr>
          <w:lang w:eastAsia="zh-CN"/>
        </w:rPr>
        <w:t>汽车</w:t>
      </w:r>
      <w:r w:rsidR="00CA0DA4">
        <w:rPr>
          <w:rFonts w:hint="eastAsia"/>
          <w:lang w:eastAsia="zh-CN"/>
        </w:rPr>
        <w:t>全球市场总体规模</w:t>
      </w:r>
    </w:p>
    <w:p w14:paraId="068AF304" w14:textId="09661C59" w:rsidR="00961627" w:rsidRDefault="0081577C" w:rsidP="00DF134C">
      <w:pPr>
        <w:pStyle w:val="-"/>
        <w:rPr>
          <w:lang w:eastAsia="zh-CN"/>
        </w:rPr>
      </w:pPr>
      <w:r>
        <w:rPr>
          <w:noProof/>
        </w:rPr>
        <w:drawing>
          <wp:inline distT="0" distB="0" distL="0" distR="0" wp14:anchorId="2D5A2C12" wp14:editId="775968AE">
            <wp:extent cx="3786997" cy="2368543"/>
            <wp:effectExtent l="0" t="0" r="4445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97009" cy="237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8E3C6" w14:textId="28B2E9B6" w:rsidR="005E7C7B" w:rsidRDefault="0081577C" w:rsidP="00DF134C">
      <w:pPr>
        <w:pStyle w:val="-"/>
        <w:rPr>
          <w:lang w:eastAsia="zh-CN"/>
        </w:rPr>
      </w:pPr>
      <w:r w:rsidRPr="0081577C">
        <w:rPr>
          <w:rFonts w:hint="eastAsia"/>
          <w:lang w:eastAsia="zh-CN"/>
        </w:rPr>
        <w:t>据</w:t>
      </w:r>
      <w:proofErr w:type="spellStart"/>
      <w:r w:rsidRPr="0081577C">
        <w:rPr>
          <w:rFonts w:hint="eastAsia"/>
          <w:lang w:eastAsia="zh-CN"/>
        </w:rPr>
        <w:t>QYResearch</w:t>
      </w:r>
      <w:proofErr w:type="spellEnd"/>
      <w:r w:rsidRPr="0081577C">
        <w:rPr>
          <w:rFonts w:hint="eastAsia"/>
          <w:lang w:eastAsia="zh-CN"/>
        </w:rPr>
        <w:t>调研团队最新报告“全球</w:t>
      </w:r>
      <w:r w:rsidRPr="0081577C">
        <w:rPr>
          <w:rFonts w:hint="eastAsia"/>
          <w:lang w:eastAsia="zh-CN"/>
        </w:rPr>
        <w:t>CNG</w:t>
      </w:r>
      <w:r w:rsidRPr="0081577C">
        <w:rPr>
          <w:rFonts w:hint="eastAsia"/>
          <w:lang w:eastAsia="zh-CN"/>
        </w:rPr>
        <w:t>和</w:t>
      </w:r>
      <w:r w:rsidRPr="0081577C">
        <w:rPr>
          <w:rFonts w:hint="eastAsia"/>
          <w:lang w:eastAsia="zh-CN"/>
        </w:rPr>
        <w:t>LNG</w:t>
      </w:r>
      <w:r w:rsidRPr="0081577C">
        <w:rPr>
          <w:rFonts w:hint="eastAsia"/>
          <w:lang w:eastAsia="zh-CN"/>
        </w:rPr>
        <w:t>汽车市场报告</w:t>
      </w:r>
      <w:r w:rsidRPr="0081577C">
        <w:rPr>
          <w:rFonts w:hint="eastAsia"/>
          <w:lang w:eastAsia="zh-CN"/>
        </w:rPr>
        <w:t>2023-2029</w:t>
      </w:r>
      <w:r w:rsidRPr="0081577C">
        <w:rPr>
          <w:rFonts w:hint="eastAsia"/>
          <w:lang w:eastAsia="zh-CN"/>
        </w:rPr>
        <w:t>”显示，预计</w:t>
      </w:r>
      <w:r w:rsidRPr="0081577C">
        <w:rPr>
          <w:rFonts w:hint="eastAsia"/>
          <w:lang w:eastAsia="zh-CN"/>
        </w:rPr>
        <w:t>2029</w:t>
      </w:r>
      <w:r w:rsidRPr="0081577C">
        <w:rPr>
          <w:rFonts w:hint="eastAsia"/>
          <w:lang w:eastAsia="zh-CN"/>
        </w:rPr>
        <w:t>年全球</w:t>
      </w:r>
      <w:r w:rsidRPr="0081577C">
        <w:rPr>
          <w:rFonts w:hint="eastAsia"/>
          <w:lang w:eastAsia="zh-CN"/>
        </w:rPr>
        <w:t>CNG</w:t>
      </w:r>
      <w:r w:rsidRPr="0081577C">
        <w:rPr>
          <w:rFonts w:hint="eastAsia"/>
          <w:lang w:eastAsia="zh-CN"/>
        </w:rPr>
        <w:t>和</w:t>
      </w:r>
      <w:r w:rsidRPr="0081577C">
        <w:rPr>
          <w:rFonts w:hint="eastAsia"/>
          <w:lang w:eastAsia="zh-CN"/>
        </w:rPr>
        <w:t>LNG</w:t>
      </w:r>
      <w:r w:rsidRPr="0081577C">
        <w:rPr>
          <w:rFonts w:hint="eastAsia"/>
          <w:lang w:eastAsia="zh-CN"/>
        </w:rPr>
        <w:t>汽车市场规模将达到</w:t>
      </w:r>
      <w:r w:rsidRPr="0081577C">
        <w:rPr>
          <w:rFonts w:hint="eastAsia"/>
          <w:lang w:eastAsia="zh-CN"/>
        </w:rPr>
        <w:t>219.7</w:t>
      </w:r>
      <w:r w:rsidRPr="0081577C">
        <w:rPr>
          <w:rFonts w:hint="eastAsia"/>
          <w:lang w:eastAsia="zh-CN"/>
        </w:rPr>
        <w:t>亿美元，未来几年年复合增长率</w:t>
      </w:r>
      <w:r w:rsidRPr="0081577C">
        <w:rPr>
          <w:rFonts w:hint="eastAsia"/>
          <w:lang w:eastAsia="zh-CN"/>
        </w:rPr>
        <w:t>CAGR</w:t>
      </w:r>
      <w:r w:rsidRPr="0081577C">
        <w:rPr>
          <w:rFonts w:hint="eastAsia"/>
          <w:lang w:eastAsia="zh-CN"/>
        </w:rPr>
        <w:t>为</w:t>
      </w:r>
      <w:r w:rsidRPr="0081577C">
        <w:rPr>
          <w:rFonts w:hint="eastAsia"/>
          <w:lang w:eastAsia="zh-CN"/>
        </w:rPr>
        <w:t>8.5%</w:t>
      </w:r>
      <w:r w:rsidRPr="0081577C">
        <w:rPr>
          <w:rFonts w:hint="eastAsia"/>
          <w:lang w:eastAsia="zh-CN"/>
        </w:rPr>
        <w:t>。</w:t>
      </w:r>
    </w:p>
    <w:p w14:paraId="3F6C2722" w14:textId="5E350C5C" w:rsidR="00347A61" w:rsidRDefault="0081577C" w:rsidP="000A1AB9">
      <w:pPr>
        <w:pStyle w:val="FigureStyle"/>
        <w:rPr>
          <w:lang w:eastAsia="zh-CN"/>
        </w:rPr>
      </w:pPr>
      <w:r>
        <w:rPr>
          <w:lang w:eastAsia="zh-CN"/>
        </w:rPr>
        <w:t>CNG</w:t>
      </w:r>
      <w:r>
        <w:rPr>
          <w:lang w:eastAsia="zh-CN"/>
        </w:rPr>
        <w:t>和</w:t>
      </w:r>
      <w:r>
        <w:rPr>
          <w:lang w:eastAsia="zh-CN"/>
        </w:rPr>
        <w:t>LNG</w:t>
      </w:r>
      <w:r>
        <w:rPr>
          <w:lang w:eastAsia="zh-CN"/>
        </w:rPr>
        <w:t>汽车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2ED28088" w:rsidR="00347A61" w:rsidRDefault="0081577C" w:rsidP="00347A61">
      <w:pPr>
        <w:pStyle w:val="-"/>
      </w:pPr>
      <w:r>
        <w:rPr>
          <w:noProof/>
        </w:rPr>
        <w:drawing>
          <wp:inline distT="0" distB="0" distL="0" distR="0" wp14:anchorId="5C99ABCF" wp14:editId="7EB8BB99">
            <wp:extent cx="6188710" cy="2886710"/>
            <wp:effectExtent l="0" t="0" r="2540" b="889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1BB02D86-AFE2-B421-A436-D0973B3802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48964BA" w14:textId="00BFD941" w:rsidR="00FC3115" w:rsidRDefault="003D612F" w:rsidP="00FC3115">
      <w:pPr>
        <w:pStyle w:val="Source"/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</w:rPr>
        <w:t>全球</w:t>
      </w:r>
      <w:r w:rsidR="0081577C">
        <w:t>CNG</w:t>
      </w:r>
      <w:r w:rsidR="0081577C">
        <w:t>和</w:t>
      </w:r>
      <w:r w:rsidR="0081577C">
        <w:t>LNG</w:t>
      </w:r>
      <w:r w:rsidR="0081577C">
        <w:t>汽车</w:t>
      </w:r>
      <w:r w:rsidR="00775B01" w:rsidRPr="00775B01">
        <w:rPr>
          <w:rFonts w:hint="eastAsia"/>
        </w:rPr>
        <w:t>市场研究报告</w:t>
      </w:r>
      <w:r w:rsidR="00775B01" w:rsidRPr="00775B01">
        <w:rPr>
          <w:rFonts w:hint="eastAsia"/>
        </w:rPr>
        <w:t>2023-2029</w:t>
      </w:r>
      <w:r w:rsidR="00FC3115">
        <w:t>.</w:t>
      </w:r>
    </w:p>
    <w:p w14:paraId="2EC36BCD" w14:textId="77777777" w:rsidR="00E4617E" w:rsidRPr="00BF5880" w:rsidRDefault="00E4617E" w:rsidP="00BF5880">
      <w:pPr>
        <w:pStyle w:val="-"/>
      </w:pPr>
    </w:p>
    <w:p w14:paraId="520681BA" w14:textId="65A60B1E" w:rsidR="00C5533E" w:rsidRPr="00C5533E" w:rsidRDefault="00A023BF" w:rsidP="00C5533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81577C">
        <w:rPr>
          <w:lang w:eastAsia="zh-CN"/>
        </w:rPr>
        <w:t>CNG</w:t>
      </w:r>
      <w:r w:rsidR="0081577C">
        <w:rPr>
          <w:lang w:eastAsia="zh-CN"/>
        </w:rPr>
        <w:t>和</w:t>
      </w:r>
      <w:r w:rsidR="0081577C">
        <w:rPr>
          <w:lang w:eastAsia="zh-CN"/>
        </w:rPr>
        <w:t>LNG</w:t>
      </w:r>
      <w:r w:rsidR="0081577C">
        <w:rPr>
          <w:lang w:eastAsia="zh-CN"/>
        </w:rPr>
        <w:t>汽车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81577C">
        <w:rPr>
          <w:lang w:eastAsia="zh-CN"/>
        </w:rPr>
        <w:t>12</w:t>
      </w:r>
      <w:r w:rsidR="001052F0">
        <w:rPr>
          <w:rFonts w:hint="eastAsia"/>
          <w:lang w:eastAsia="zh-CN"/>
        </w:rPr>
        <w:t>强生产商排名及市场占有率</w:t>
      </w:r>
      <w:r w:rsidR="00C5533E" w:rsidRPr="00C5533E">
        <w:rPr>
          <w:rFonts w:hint="eastAsia"/>
          <w:lang w:eastAsia="zh-CN"/>
        </w:rPr>
        <w:t>（基于</w:t>
      </w:r>
      <w:r w:rsidR="00C5533E" w:rsidRPr="00C5533E">
        <w:rPr>
          <w:rFonts w:hint="eastAsia"/>
          <w:lang w:eastAsia="zh-CN"/>
        </w:rPr>
        <w:t>202</w:t>
      </w:r>
      <w:bookmarkStart w:id="13" w:name="_GoBack"/>
      <w:bookmarkEnd w:id="13"/>
      <w:r w:rsidR="00C5533E">
        <w:rPr>
          <w:lang w:eastAsia="zh-CN"/>
        </w:rPr>
        <w:t>1</w:t>
      </w:r>
      <w:r w:rsidR="00C5533E" w:rsidRPr="00C5533E">
        <w:rPr>
          <w:rFonts w:hint="eastAsia"/>
          <w:lang w:eastAsia="zh-CN"/>
        </w:rPr>
        <w:t>年调研数据；目前最新数据以本公司最新调研数据为准）</w:t>
      </w:r>
    </w:p>
    <w:p w14:paraId="259C9F9E" w14:textId="7D5ED623" w:rsidR="004721C4" w:rsidRDefault="0081577C" w:rsidP="004721C4">
      <w:pPr>
        <w:pStyle w:val="-"/>
        <w:jc w:val="center"/>
      </w:pPr>
      <w:r>
        <w:rPr>
          <w:noProof/>
        </w:rPr>
        <w:drawing>
          <wp:inline distT="0" distB="0" distL="0" distR="0" wp14:anchorId="3A49EFCE" wp14:editId="21D83D86">
            <wp:extent cx="4572000" cy="4400544"/>
            <wp:effectExtent l="0" t="0" r="0" b="635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57CAAAB" w14:textId="0173502B" w:rsidR="00C5533E" w:rsidRDefault="00C5533E" w:rsidP="004721C4">
      <w:pPr>
        <w:pStyle w:val="Source"/>
        <w:rPr>
          <w:lang w:eastAsia="zh-CN"/>
        </w:rPr>
      </w:pPr>
      <w:r w:rsidRPr="00C5533E">
        <w:rPr>
          <w:rFonts w:hint="eastAsia"/>
          <w:lang w:eastAsia="zh-CN"/>
        </w:rPr>
        <w:t>如上图表</w:t>
      </w:r>
      <w:r w:rsidRPr="00C5533E">
        <w:rPr>
          <w:rFonts w:hint="eastAsia"/>
          <w:lang w:eastAsia="zh-CN"/>
        </w:rPr>
        <w:t>/</w:t>
      </w:r>
      <w:r w:rsidRPr="00C5533E">
        <w:rPr>
          <w:rFonts w:hint="eastAsia"/>
          <w:lang w:eastAsia="zh-CN"/>
        </w:rPr>
        <w:t>数据，摘自</w:t>
      </w:r>
      <w:r w:rsidRPr="00C5533E">
        <w:rPr>
          <w:rFonts w:hint="eastAsia"/>
          <w:lang w:eastAsia="zh-CN"/>
        </w:rPr>
        <w:t>QYResearch</w:t>
      </w:r>
      <w:r w:rsidRPr="00C5533E">
        <w:rPr>
          <w:rFonts w:hint="eastAsia"/>
          <w:lang w:eastAsia="zh-CN"/>
        </w:rPr>
        <w:t>报告“全球</w:t>
      </w:r>
      <w:r w:rsidR="0081577C">
        <w:rPr>
          <w:rFonts w:hint="eastAsia"/>
          <w:lang w:eastAsia="zh-CN"/>
        </w:rPr>
        <w:t>CNG</w:t>
      </w:r>
      <w:r w:rsidR="0081577C">
        <w:rPr>
          <w:rFonts w:hint="eastAsia"/>
          <w:lang w:eastAsia="zh-CN"/>
        </w:rPr>
        <w:t>和</w:t>
      </w:r>
      <w:r w:rsidR="0081577C">
        <w:rPr>
          <w:rFonts w:hint="eastAsia"/>
          <w:lang w:eastAsia="zh-CN"/>
        </w:rPr>
        <w:t>LNG</w:t>
      </w:r>
      <w:r w:rsidR="0081577C">
        <w:rPr>
          <w:rFonts w:hint="eastAsia"/>
          <w:lang w:eastAsia="zh-CN"/>
        </w:rPr>
        <w:t>汽车</w:t>
      </w:r>
      <w:r w:rsidRPr="00C5533E">
        <w:rPr>
          <w:rFonts w:hint="eastAsia"/>
          <w:lang w:eastAsia="zh-CN"/>
        </w:rPr>
        <w:t>市场研究报告</w:t>
      </w:r>
      <w:r w:rsidRPr="00C5533E">
        <w:rPr>
          <w:rFonts w:hint="eastAsia"/>
          <w:lang w:eastAsia="zh-CN"/>
        </w:rPr>
        <w:t>2023-2029</w:t>
      </w:r>
      <w:r w:rsidRPr="00C5533E">
        <w:rPr>
          <w:rFonts w:hint="eastAsia"/>
          <w:lang w:eastAsia="zh-CN"/>
        </w:rPr>
        <w:t>，排名基于</w:t>
      </w:r>
      <w:r w:rsidRPr="00C5533E">
        <w:rPr>
          <w:rFonts w:hint="eastAsia"/>
          <w:lang w:eastAsia="zh-CN"/>
        </w:rPr>
        <w:t>2022</w:t>
      </w:r>
      <w:r w:rsidRPr="00C5533E">
        <w:rPr>
          <w:rFonts w:hint="eastAsia"/>
          <w:lang w:eastAsia="zh-CN"/>
        </w:rPr>
        <w:t>数据。目前最新数据，以本公司最新调研数据为准。</w:t>
      </w:r>
    </w:p>
    <w:p w14:paraId="04A43543" w14:textId="6888DC6A" w:rsidR="004721C4" w:rsidRDefault="003174BC" w:rsidP="004721C4">
      <w:pPr>
        <w:pStyle w:val="Source"/>
      </w:pPr>
      <w:r>
        <w:t>.</w:t>
      </w:r>
    </w:p>
    <w:p w14:paraId="732DEE17" w14:textId="3B8BA7A6" w:rsidR="007F61D5" w:rsidRDefault="0081577C" w:rsidP="00BF5880">
      <w:pPr>
        <w:pStyle w:val="-"/>
      </w:pPr>
      <w:r w:rsidRPr="0081577C">
        <w:rPr>
          <w:rFonts w:hint="eastAsia"/>
          <w:lang w:eastAsia="zh-CN"/>
        </w:rPr>
        <w:t>全球范围内</w:t>
      </w:r>
      <w:r w:rsidRPr="0081577C">
        <w:rPr>
          <w:rFonts w:hint="eastAsia"/>
          <w:lang w:eastAsia="zh-CN"/>
        </w:rPr>
        <w:t>CNG</w:t>
      </w:r>
      <w:r w:rsidRPr="0081577C">
        <w:rPr>
          <w:rFonts w:hint="eastAsia"/>
          <w:lang w:eastAsia="zh-CN"/>
        </w:rPr>
        <w:t>和</w:t>
      </w:r>
      <w:r w:rsidRPr="0081577C">
        <w:rPr>
          <w:rFonts w:hint="eastAsia"/>
          <w:lang w:eastAsia="zh-CN"/>
        </w:rPr>
        <w:t>LNG</w:t>
      </w:r>
      <w:r w:rsidRPr="0081577C">
        <w:rPr>
          <w:rFonts w:hint="eastAsia"/>
          <w:lang w:eastAsia="zh-CN"/>
        </w:rPr>
        <w:t>汽车生产商主要包括</w:t>
      </w:r>
      <w:proofErr w:type="spellStart"/>
      <w:r w:rsidRPr="0081577C">
        <w:rPr>
          <w:rFonts w:hint="eastAsia"/>
          <w:lang w:eastAsia="zh-CN"/>
        </w:rPr>
        <w:t>Maruti</w:t>
      </w:r>
      <w:proofErr w:type="spellEnd"/>
      <w:r w:rsidRPr="0081577C">
        <w:rPr>
          <w:rFonts w:hint="eastAsia"/>
          <w:lang w:eastAsia="zh-CN"/>
        </w:rPr>
        <w:t xml:space="preserve"> Suzuki</w:t>
      </w:r>
      <w:r w:rsidRPr="0081577C">
        <w:rPr>
          <w:rFonts w:hint="eastAsia"/>
          <w:lang w:eastAsia="zh-CN"/>
        </w:rPr>
        <w:t>、</w:t>
      </w:r>
      <w:r w:rsidRPr="0081577C">
        <w:rPr>
          <w:rFonts w:hint="eastAsia"/>
          <w:lang w:eastAsia="zh-CN"/>
        </w:rPr>
        <w:t xml:space="preserve">Iran </w:t>
      </w:r>
      <w:proofErr w:type="spellStart"/>
      <w:r w:rsidRPr="0081577C">
        <w:rPr>
          <w:rFonts w:hint="eastAsia"/>
          <w:lang w:eastAsia="zh-CN"/>
        </w:rPr>
        <w:t>Khodro</w:t>
      </w:r>
      <w:proofErr w:type="spellEnd"/>
      <w:r w:rsidRPr="0081577C">
        <w:rPr>
          <w:rFonts w:hint="eastAsia"/>
          <w:lang w:eastAsia="zh-CN"/>
        </w:rPr>
        <w:t>、</w:t>
      </w:r>
      <w:r w:rsidRPr="0081577C">
        <w:rPr>
          <w:rFonts w:hint="eastAsia"/>
          <w:lang w:eastAsia="zh-CN"/>
        </w:rPr>
        <w:t>Volkswagen</w:t>
      </w:r>
      <w:r w:rsidRPr="0081577C">
        <w:rPr>
          <w:rFonts w:hint="eastAsia"/>
          <w:lang w:eastAsia="zh-CN"/>
        </w:rPr>
        <w:t>、</w:t>
      </w:r>
      <w:r w:rsidRPr="0081577C">
        <w:rPr>
          <w:rFonts w:hint="eastAsia"/>
          <w:lang w:eastAsia="zh-CN"/>
        </w:rPr>
        <w:t>Hyundai Motor</w:t>
      </w:r>
      <w:r w:rsidRPr="0081577C">
        <w:rPr>
          <w:rFonts w:hint="eastAsia"/>
          <w:lang w:eastAsia="zh-CN"/>
        </w:rPr>
        <w:t>、</w:t>
      </w:r>
      <w:proofErr w:type="spellStart"/>
      <w:r w:rsidRPr="0081577C">
        <w:rPr>
          <w:rFonts w:hint="eastAsia"/>
          <w:lang w:eastAsia="zh-CN"/>
        </w:rPr>
        <w:t>Stellantis</w:t>
      </w:r>
      <w:proofErr w:type="spellEnd"/>
      <w:r w:rsidRPr="0081577C">
        <w:rPr>
          <w:rFonts w:hint="eastAsia"/>
          <w:lang w:eastAsia="zh-CN"/>
        </w:rPr>
        <w:t>、</w:t>
      </w:r>
      <w:r w:rsidRPr="0081577C">
        <w:rPr>
          <w:rFonts w:hint="eastAsia"/>
          <w:lang w:eastAsia="zh-CN"/>
        </w:rPr>
        <w:t>FAW Group</w:t>
      </w:r>
      <w:r w:rsidRPr="0081577C">
        <w:rPr>
          <w:rFonts w:hint="eastAsia"/>
          <w:lang w:eastAsia="zh-CN"/>
        </w:rPr>
        <w:t>、</w:t>
      </w:r>
      <w:r w:rsidRPr="0081577C">
        <w:rPr>
          <w:rFonts w:hint="eastAsia"/>
          <w:lang w:eastAsia="zh-CN"/>
        </w:rPr>
        <w:t>Volvo Truck</w:t>
      </w:r>
      <w:r w:rsidRPr="0081577C">
        <w:rPr>
          <w:rFonts w:hint="eastAsia"/>
          <w:lang w:eastAsia="zh-CN"/>
        </w:rPr>
        <w:t>、</w:t>
      </w:r>
      <w:r w:rsidRPr="0081577C">
        <w:rPr>
          <w:rFonts w:hint="eastAsia"/>
          <w:lang w:eastAsia="zh-CN"/>
        </w:rPr>
        <w:t xml:space="preserve">IVECO </w:t>
      </w:r>
      <w:r w:rsidRPr="0081577C">
        <w:rPr>
          <w:rFonts w:hint="eastAsia"/>
          <w:lang w:eastAsia="zh-CN"/>
        </w:rPr>
        <w:t>、</w:t>
      </w:r>
      <w:r w:rsidRPr="0081577C">
        <w:rPr>
          <w:rFonts w:hint="eastAsia"/>
          <w:lang w:eastAsia="zh-CN"/>
        </w:rPr>
        <w:t>Scania</w:t>
      </w:r>
      <w:r w:rsidRPr="0081577C">
        <w:rPr>
          <w:rFonts w:hint="eastAsia"/>
          <w:lang w:eastAsia="zh-CN"/>
        </w:rPr>
        <w:t>、</w:t>
      </w:r>
      <w:r w:rsidRPr="0081577C">
        <w:rPr>
          <w:rFonts w:hint="eastAsia"/>
          <w:lang w:eastAsia="zh-CN"/>
        </w:rPr>
        <w:t>Honda</w:t>
      </w:r>
      <w:r w:rsidRPr="0081577C">
        <w:rPr>
          <w:rFonts w:hint="eastAsia"/>
          <w:lang w:eastAsia="zh-CN"/>
        </w:rPr>
        <w:t>等。</w:t>
      </w:r>
      <w:r w:rsidRPr="0081577C">
        <w:rPr>
          <w:rFonts w:hint="eastAsia"/>
          <w:lang w:eastAsia="zh-CN"/>
        </w:rPr>
        <w:t>2021</w:t>
      </w:r>
      <w:r w:rsidRPr="0081577C">
        <w:rPr>
          <w:rFonts w:hint="eastAsia"/>
          <w:lang w:eastAsia="zh-CN"/>
        </w:rPr>
        <w:t>年，全球前十强厂商占有大约</w:t>
      </w:r>
      <w:r w:rsidRPr="0081577C">
        <w:rPr>
          <w:rFonts w:hint="eastAsia"/>
          <w:lang w:eastAsia="zh-CN"/>
        </w:rPr>
        <w:t>51.0%</w:t>
      </w:r>
      <w:r w:rsidRPr="0081577C">
        <w:rPr>
          <w:rFonts w:hint="eastAsia"/>
          <w:lang w:eastAsia="zh-CN"/>
        </w:rPr>
        <w:t>的市场份额。</w:t>
      </w: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proofErr w:type="spellStart"/>
      <w:r w:rsidRPr="000464F9">
        <w:rPr>
          <w:rFonts w:hint="eastAsia"/>
          <w:lang w:eastAsia="zh-CN"/>
        </w:rPr>
        <w:t>IoT</w:t>
      </w:r>
      <w:proofErr w:type="spellEnd"/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A79197" w14:textId="77777777" w:rsidR="00F46629" w:rsidRDefault="00F46629" w:rsidP="00AD7B8C">
      <w:r>
        <w:separator/>
      </w:r>
    </w:p>
  </w:endnote>
  <w:endnote w:type="continuationSeparator" w:id="0">
    <w:p w14:paraId="2A3FECC2" w14:textId="77777777" w:rsidR="00F46629" w:rsidRDefault="00F46629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17F3BD" w14:textId="77777777" w:rsidR="00F46629" w:rsidRDefault="00F46629" w:rsidP="00AD7B8C">
      <w:r>
        <w:separator/>
      </w:r>
    </w:p>
  </w:footnote>
  <w:footnote w:type="continuationSeparator" w:id="0">
    <w:p w14:paraId="74B9C338" w14:textId="77777777" w:rsidR="00F46629" w:rsidRDefault="00F46629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F46629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F46629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77C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62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Compressed%20Natural%20Gas%20and%20Liquefied%20Natural%20Gas%20Vehicle%20CNG&#21644;LNG&#27773;&#36710;\&#35266;&#28857;&#25968;&#25454;&#22270;&#34920;&#27169;&#26495;-&#20840;&#29699;20231017%20&#23454;&#20064;&#21516;&#23398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Compressed%20Natural%20Gas%20and%20Liquefied%20Natural%20Gas%20Vehicle%20CNG&#21644;LNG&#27773;&#36710;\&#35266;&#28857;&#25968;&#25454;&#22270;&#34920;&#27169;&#26495;-&#20840;&#29699;20231017%20&#23454;&#20064;&#21516;&#23398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8" charset="0"/>
              </a:rPr>
              <a:t>Global Market Size ($ Mn)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2.5488425925925925E-2"/>
          <c:y val="0.13144084967320263"/>
          <c:w val="0.93728395061728398"/>
          <c:h val="0.7930303921568627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10878.7</c:v>
                </c:pt>
                <c:pt idx="1">
                  <c:v>12483.2</c:v>
                </c:pt>
                <c:pt idx="2">
                  <c:v>21970.808994987612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BBD-49DA-9709-136DD329F0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8" charset="0"/>
              </a:rPr>
              <a:t>全球市场主要企业排名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3649-48AB-9880-45F54D0DADF3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3649-48AB-9880-45F54D0DADF3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3649-48AB-9880-45F54D0DADF3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3649-48AB-9880-45F54D0DADF3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3649-48AB-9880-45F54D0DADF3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3649-48AB-9880-45F54D0DADF3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3649-48AB-9880-45F54D0DADF3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3649-48AB-9880-45F54D0DADF3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3649-48AB-9880-45F54D0DADF3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3649-48AB-9880-45F54D0DADF3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3649-48AB-9880-45F54D0DADF3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3649-48AB-9880-45F54D0DADF3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3649-48AB-9880-45F54D0DADF3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3649-48AB-9880-45F54D0DADF3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3649-48AB-9880-45F54D0DADF3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3649-48AB-9880-45F54D0DADF3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3649-48AB-9880-45F54D0DADF3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3649-48AB-9880-45F54D0DADF3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3649-48AB-9880-45F54D0DADF3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3649-48AB-9880-45F54D0DADF3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3649-48AB-9880-45F54D0DADF3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3649-48AB-9880-45F54D0DADF3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3649-48AB-9880-45F54D0DADF3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3649-48AB-9880-45F54D0DADF3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3649-48AB-9880-45F54D0DADF3}"/>
              </c:ext>
            </c:extLst>
          </c:dPt>
          <c:cat>
            <c:strRef>
              <c:f>企业排序!$F$2:$F$25</c:f>
              <c:strCache>
                <c:ptCount val="12"/>
                <c:pt idx="0">
                  <c:v>General Motors</c:v>
                </c:pt>
                <c:pt idx="1">
                  <c:v>Chang'an Automobile</c:v>
                </c:pt>
                <c:pt idx="2">
                  <c:v>Honda</c:v>
                </c:pt>
                <c:pt idx="3">
                  <c:v>Scania</c:v>
                </c:pt>
                <c:pt idx="4">
                  <c:v>IVECO </c:v>
                </c:pt>
                <c:pt idx="5">
                  <c:v>Volvo Truck</c:v>
                </c:pt>
                <c:pt idx="6">
                  <c:v>FAW Group</c:v>
                </c:pt>
                <c:pt idx="7">
                  <c:v>Stellantis</c:v>
                </c:pt>
                <c:pt idx="8">
                  <c:v>Hyundai Motor</c:v>
                </c:pt>
                <c:pt idx="9">
                  <c:v>Volkswagen</c:v>
                </c:pt>
                <c:pt idx="10">
                  <c:v>Iran Khodro</c:v>
                </c:pt>
                <c:pt idx="11">
                  <c:v>Maruti Suzuki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2"/>
                <c:pt idx="0">
                  <c:v>106.9</c:v>
                </c:pt>
                <c:pt idx="1">
                  <c:v>119.4</c:v>
                </c:pt>
                <c:pt idx="2">
                  <c:v>121.6</c:v>
                </c:pt>
                <c:pt idx="3">
                  <c:v>133.5</c:v>
                </c:pt>
                <c:pt idx="4">
                  <c:v>161.6</c:v>
                </c:pt>
                <c:pt idx="5">
                  <c:v>274.7</c:v>
                </c:pt>
                <c:pt idx="6">
                  <c:v>305.89999999999998</c:v>
                </c:pt>
                <c:pt idx="7">
                  <c:v>381.9</c:v>
                </c:pt>
                <c:pt idx="8">
                  <c:v>666.1</c:v>
                </c:pt>
                <c:pt idx="9">
                  <c:v>877.6</c:v>
                </c:pt>
                <c:pt idx="10">
                  <c:v>945.2</c:v>
                </c:pt>
                <c:pt idx="11">
                  <c:v>2132.6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3649-48AB-9880-45F54D0DAD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0.55078</cdr:x>
      <cdr:y>0.23401</cdr:y>
    </cdr:from>
    <cdr:to>
      <cdr:x>0.74446</cdr:x>
      <cdr:y>0.38049</cdr:y>
    </cdr:to>
    <cdr:cxnSp macro="">
      <cdr:nvCxnSpPr>
        <cdr:cNvPr id="5" name="直接箭头连接符 4">
          <a:extLst xmlns:a="http://schemas.openxmlformats.org/drawingml/2006/main">
            <a:ext uri="{FF2B5EF4-FFF2-40B4-BE49-F238E27FC236}">
              <a16:creationId xmlns:a16="http://schemas.microsoft.com/office/drawing/2014/main" id="{7C0F8726-E0CE-749D-A7E8-A68034B95088}"/>
            </a:ext>
          </a:extLst>
        </cdr:cNvPr>
        <cdr:cNvCxnSpPr/>
      </cdr:nvCxnSpPr>
      <cdr:spPr>
        <a:xfrm xmlns:a="http://schemas.openxmlformats.org/drawingml/2006/main" flipV="1">
          <a:off x="3612259" y="716071"/>
          <a:ext cx="1270239" cy="448228"/>
        </a:xfrm>
        <a:prstGeom xmlns:a="http://schemas.openxmlformats.org/drawingml/2006/main" prst="straightConnector1">
          <a:avLst/>
        </a:prstGeom>
        <a:solidFill xmlns:a="http://schemas.openxmlformats.org/drawingml/2006/main">
          <a:srgbClr val="FFC000"/>
        </a:solidFill>
        <a:ln xmlns:a="http://schemas.openxmlformats.org/drawingml/2006/main"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0.57349</cdr:x>
      <cdr:y>0.26379</cdr:y>
    </cdr:from>
    <cdr:to>
      <cdr:x>0.709</cdr:x>
      <cdr:y>0.35696</cdr:y>
    </cdr:to>
    <cdr:sp macro="" textlink="">
      <cdr:nvSpPr>
        <cdr:cNvPr id="7" name="椭圆 6">
          <a:extLst xmlns:a="http://schemas.openxmlformats.org/drawingml/2006/main">
            <a:ext uri="{FF2B5EF4-FFF2-40B4-BE49-F238E27FC236}">
              <a16:creationId xmlns:a16="http://schemas.microsoft.com/office/drawing/2014/main" id="{CC879612-7BE5-6DBC-CBE2-35163FEB7D18}"/>
            </a:ext>
          </a:extLst>
        </cdr:cNvPr>
        <cdr:cNvSpPr/>
      </cdr:nvSpPr>
      <cdr:spPr>
        <a:xfrm xmlns:a="http://schemas.openxmlformats.org/drawingml/2006/main" rot="20477554">
          <a:off x="3761181" y="807183"/>
          <a:ext cx="888776" cy="285126"/>
        </a:xfrm>
        <a:prstGeom xmlns:a="http://schemas.openxmlformats.org/drawingml/2006/main" prst="ellipse">
          <a:avLst/>
        </a:prstGeom>
        <a:solidFill xmlns:a="http://schemas.openxmlformats.org/drawingml/2006/main">
          <a:srgbClr val="FFC000"/>
        </a:solidFill>
        <a:ln xmlns:a="http://schemas.openxmlformats.org/drawingml/2006/main"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 anchor="ctr"/>
        <a:lstStyle xmlns:a="http://schemas.openxmlformats.org/drawingml/2006/main"/>
        <a:p xmlns:a="http://schemas.openxmlformats.org/drawingml/2006/main">
          <a:pPr algn="ctr"/>
          <a:r>
            <a:rPr lang="en-US" altLang="zh-CN" baseline="0">
              <a:solidFill>
                <a:sysClr val="windowText" lastClr="000000"/>
              </a:solidFill>
              <a:latin typeface="Book Antiqua" panose="02040602050305030304" pitchFamily="18" charset="0"/>
              <a:ea typeface="宋体" panose="02010600030101010101" pitchFamily="2" charset="-122"/>
            </a:rPr>
            <a:t>8.5%</a:t>
          </a:r>
          <a:endParaRPr lang="zh-CN" baseline="0">
            <a:solidFill>
              <a:sysClr val="windowText" lastClr="000000"/>
            </a:solidFill>
            <a:latin typeface="Book Antiqua" panose="02040602050305030304" pitchFamily="18" charset="0"/>
            <a:ea typeface="宋体" panose="02010600030101010101" pitchFamily="2" charset="-122"/>
          </a:endParaRPr>
        </a:p>
      </cdr:txBody>
    </cdr:sp>
  </cdr:relSizeAnchor>
  <cdr:relSizeAnchor xmlns:cdr="http://schemas.openxmlformats.org/drawingml/2006/chartDrawing">
    <cdr:from>
      <cdr:x>0.25418</cdr:x>
      <cdr:y>0.26495</cdr:y>
    </cdr:from>
    <cdr:to>
      <cdr:x>0.37701</cdr:x>
      <cdr:y>0.7542</cdr:y>
    </cdr:to>
    <cdr:grpSp>
      <cdr:nvGrpSpPr>
        <cdr:cNvPr id="10" name="组合 9">
          <a:extLst xmlns:a="http://schemas.openxmlformats.org/drawingml/2006/main">
            <a:ext uri="{FF2B5EF4-FFF2-40B4-BE49-F238E27FC236}">
              <a16:creationId xmlns:a16="http://schemas.microsoft.com/office/drawing/2014/main" id="{6B7A3CD2-C889-3229-B21A-3FA502297347}"/>
            </a:ext>
          </a:extLst>
        </cdr:cNvPr>
        <cdr:cNvGrpSpPr/>
      </cdr:nvGrpSpPr>
      <cdr:grpSpPr>
        <a:xfrm xmlns:a="http://schemas.openxmlformats.org/drawingml/2006/main" rot="2852386">
          <a:off x="1321264" y="1156527"/>
          <a:ext cx="1497095" cy="805545"/>
          <a:chOff x="3014141" y="1779723"/>
          <a:chExt cx="1170560" cy="814928"/>
        </a:xfrm>
      </cdr:grpSpPr>
      <cdr:cxnSp macro="">
        <cdr:nvCxnSpPr>
          <cdr:cNvPr id="11" name="直接箭头连接符 10">
            <a:extLst xmlns:a="http://schemas.openxmlformats.org/drawingml/2006/main">
              <a:ext uri="{FF2B5EF4-FFF2-40B4-BE49-F238E27FC236}">
                <a16:creationId xmlns:a16="http://schemas.microsoft.com/office/drawing/2014/main" id="{447CF9D2-5DA5-24EA-6BE5-BAB32B2111EE}"/>
              </a:ext>
            </a:extLst>
          </cdr:cNvPr>
          <cdr:cNvCxnSpPr/>
        </cdr:nvCxnSpPr>
        <cdr:spPr>
          <a:xfrm xmlns:a="http://schemas.openxmlformats.org/drawingml/2006/main" rot="19816677" flipV="1">
            <a:off x="3014141" y="1818573"/>
            <a:ext cx="1170560" cy="691521"/>
          </a:xfrm>
          <a:prstGeom xmlns:a="http://schemas.openxmlformats.org/drawingml/2006/main" prst="straightConnector1">
            <a:avLst/>
          </a:prstGeom>
          <a:ln xmlns:a="http://schemas.openxmlformats.org/drawingml/2006/main"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 macro="" textlink="">
        <cdr:nvSpPr>
          <cdr:cNvPr id="12" name="椭圆 11">
            <a:extLst xmlns:a="http://schemas.openxmlformats.org/drawingml/2006/main">
              <a:ext uri="{FF2B5EF4-FFF2-40B4-BE49-F238E27FC236}">
                <a16:creationId xmlns:a16="http://schemas.microsoft.com/office/drawing/2014/main" id="{2D7734B5-7741-FC2B-4739-174648792318}"/>
              </a:ext>
            </a:extLst>
          </cdr:cNvPr>
          <cdr:cNvSpPr/>
        </cdr:nvSpPr>
        <cdr:spPr>
          <a:xfrm xmlns:a="http://schemas.openxmlformats.org/drawingml/2006/main" rot="18358947">
            <a:off x="3177981" y="2099589"/>
            <a:ext cx="814928" cy="175195"/>
          </a:xfrm>
          <a:prstGeom xmlns:a="http://schemas.openxmlformats.org/drawingml/2006/main" prst="ellipse">
            <a:avLst/>
          </a:prstGeom>
          <a:solidFill xmlns:a="http://schemas.openxmlformats.org/drawingml/2006/main">
            <a:srgbClr val="FFC000"/>
          </a:solidFill>
          <a:ln xmlns:a="http://schemas.openxmlformats.org/drawingml/2006/main"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>
          <a:bodyPr xmlns:a="http://schemas.openxmlformats.org/drawingml/2006/main" vertOverflow="clip" anchor="ctr"/>
          <a:lstStyle xmlns:a="http://schemas.openxmlformats.org/drawingml/2006/main"/>
          <a:p xmlns:a="http://schemas.openxmlformats.org/drawingml/2006/main">
            <a:pPr algn="ctr"/>
            <a:r>
              <a:rPr lang="en-US" altLang="zh-CN">
                <a:solidFill>
                  <a:sysClr val="windowText" lastClr="000000"/>
                </a:solidFill>
                <a:latin typeface="Book Antiqua" panose="02040602050305030304" pitchFamily="18" charset="0"/>
              </a:rPr>
              <a:t>3.5%</a:t>
            </a:r>
            <a:endParaRPr lang="zh-CN">
              <a:solidFill>
                <a:sysClr val="windowText" lastClr="000000"/>
              </a:solidFill>
              <a:latin typeface="Book Antiqua" panose="02040602050305030304" pitchFamily="18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B2A5EC-44ED-4BC8-ABE9-2E102CAAA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637</TotalTime>
  <Pages>3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admin</cp:lastModifiedBy>
  <cp:revision>800</cp:revision>
  <dcterms:created xsi:type="dcterms:W3CDTF">2021-11-11T07:47:00Z</dcterms:created>
  <dcterms:modified xsi:type="dcterms:W3CDTF">2024-01-03T03:10:00Z</dcterms:modified>
</cp:coreProperties>
</file>