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32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28"/>
        </w:rPr>
        <w:t>医疗器械分类目录查询方法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作为保障医疗安全与行业规范的核心基石，涵盖医疗器械与体外诊断试剂的分类目录体系，是国家药品监督管理部门依据风险分级原则构建的权威监管框架，贯穿于两类产品注册、生产、经营、使用的全生命周期管理全过程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bookmarkStart w:id="2" w:name="_GoBack"/>
      <w:bookmarkEnd w:id="2"/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在医疗器械领域，从 2002 年版的 43 个子目录到 2018 年优化后的 22 个子目录，再经持续动态调整，已形成包含 206 个一级产品类别、1157 个二级产品类别的科学体系，为 6609 种医疗器械提供清晰的分类指引。而在体外诊断试剂领域，随着技术快速迭代，监管体系不断完善：2013 年发布的《6840 体外诊断试剂分类子目录》经多轮调整后，2024 年国家药监局正式推出新版《体外诊断试剂分类目录》，沿用 6840 分类编码，设置 25 个一级产品类别、1852 个二级产品类别，精准覆盖从基础样本处理到高端分子诊断的各类试剂，明确了不同检测靶标、预期用途产品的管理类别边界。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对于医疗器械企业与体外诊断试剂研发生产机构而言，精准查询分类目录是明确注册路径、规避合规风险的前提；对于医疗机构，它是规范采购流程、保障临床诊疗安全的关键；对于监管部门，它更是优化监管资源、实现精准监管的重要支撑。尤其在创新器械与新型诊断技术不断涌现、分类标准动态更新的当下，掌握高效的目录查询方法，不仅能帮助相关主体快速适配政策要求，更能为医疗产业高质量发展注入合规动能。本文将聚焦这一核心需求，系统梳理医疗器械与体外诊断试剂分类目录的查询路径与实操技巧，为行业各界提供实用指引。</w:t>
      </w:r>
    </w:p>
    <w:p>
      <w:pPr>
        <w:pStyle w:val="3"/>
        <w:spacing w:line="360" w:lineRule="auto"/>
        <w:rPr>
          <w:rFonts w:hint="eastAsia" w:ascii="微软雅黑" w:hAnsi="微软雅黑" w:eastAsia="微软雅黑" w:cs="微软雅黑"/>
        </w:rPr>
      </w:pPr>
      <w:bookmarkStart w:id="0" w:name="mh4o68wje6xfzgvw73v"/>
      <w:r>
        <w:rPr>
          <w:rFonts w:hint="eastAsia" w:ascii="微软雅黑" w:hAnsi="微软雅黑" w:eastAsia="微软雅黑" w:cs="微软雅黑"/>
          <w:b/>
          <w:sz w:val="29"/>
        </w:rPr>
        <w:t>国家药品监督管理局医疗器械标准管理中心</w:t>
      </w:r>
      <w:bookmarkEnd w:id="0"/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访问路径：首页&gt;信息公开&gt;数据查询&gt;医疗器械分类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直达链接：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"https://www.nifdc.org.cn/nifdc/xxgk/sjcx/ylqxfl/index.html" \h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2"/>
        </w:rPr>
        <w:t>https://www.nifdc.org.cn/nifdc/xxgk/sjcx/ylqxfl/index.html</w:t>
      </w:r>
      <w:r>
        <w:rPr>
          <w:rStyle w:val="7"/>
          <w:rFonts w:hint="eastAsia" w:ascii="微软雅黑" w:hAnsi="微软雅黑" w:eastAsia="微软雅黑" w:cs="微软雅黑"/>
          <w:sz w:val="22"/>
        </w:rPr>
        <w:fldChar w:fldCharType="end"/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 w:val="0"/>
          <w:sz w:val="22"/>
        </w:rPr>
        <w:t>特点：</w:t>
      </w:r>
      <w:r>
        <w:rPr>
          <w:rFonts w:hint="eastAsia" w:ascii="微软雅黑" w:hAnsi="微软雅黑" w:eastAsia="微软雅黑" w:cs="微软雅黑"/>
          <w:sz w:val="22"/>
        </w:rPr>
        <w:t>官方数据、权威可信，分为医疗器械和体外诊断试剂两个数据库，都是现行有效的版本，但无分类界定相关信息。数据库无需登录即可查询，查询方式可按目录逐级筛选，也可以通过关键词直接检索。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7124700" cy="3075305"/>
            <wp:effectExtent l="0" t="0" r="0" b="0"/>
            <wp:docPr id="1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3075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分类界定结果需单独查询，可直接网站内搜索分类界定相关公告。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7124700" cy="3432175"/>
            <wp:effectExtent l="0" t="0" r="0" b="0"/>
            <wp:docPr id="2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3432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除了检索分类界定公告外，也可以前往医疗器械分类界定信息系统查询分类界定汇总结果。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访问路径：网站首页&gt;办事大厅&gt;医疗器械标准与分类管理&gt;医疗器械分类界定信息系统&gt;医疗器械分类界定结果公开查询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直达链接：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"http://app.nifdc.org.cn/biaogzx/dataGk.do?formAction=listFljdResult" \h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2"/>
        </w:rPr>
        <w:t>http://app.nifdc.org.cn/biaogzx/dataGk.do?formAction=listFljdResult</w:t>
      </w:r>
      <w:r>
        <w:rPr>
          <w:rStyle w:val="7"/>
          <w:rFonts w:hint="eastAsia" w:ascii="微软雅黑" w:hAnsi="微软雅黑" w:eastAsia="微软雅黑" w:cs="微软雅黑"/>
          <w:sz w:val="22"/>
        </w:rPr>
        <w:fldChar w:fldCharType="end"/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7124700" cy="3424555"/>
            <wp:effectExtent l="0" t="0" r="0" b="0"/>
            <wp:docPr id="3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3424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line="360" w:lineRule="auto"/>
        <w:rPr>
          <w:rFonts w:hint="eastAsia" w:ascii="微软雅黑" w:hAnsi="微软雅黑" w:eastAsia="微软雅黑" w:cs="微软雅黑"/>
        </w:rPr>
      </w:pPr>
      <w:bookmarkStart w:id="1" w:name="mh4occsz5l3ag4h6qs3"/>
      <w:r>
        <w:rPr>
          <w:rFonts w:hint="eastAsia" w:ascii="微软雅黑" w:hAnsi="微软雅黑" w:eastAsia="微软雅黑" w:cs="微软雅黑"/>
          <w:b/>
          <w:sz w:val="29"/>
        </w:rPr>
        <w:t>药智医械数据-医械分类目录</w:t>
      </w:r>
      <w:bookmarkEnd w:id="1"/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药智医械数据分为企业版和专业版，其中企业版是收费版本，功能和数据更多些，专业版则对所有用户免费开放使用的版本（部分功能有一定使用限制），这里只介绍专业版。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访问路径：药智网首页&gt;医械数据&gt;专业版&gt;法规标准&gt;医械分类目录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直达链接：</w:t>
      </w:r>
      <w:r>
        <w:rPr>
          <w:rFonts w:hint="eastAsia" w:ascii="微软雅黑" w:hAnsi="微软雅黑" w:eastAsia="微软雅黑" w:cs="微软雅黑"/>
        </w:rPr>
        <w:fldChar w:fldCharType="begin"/>
      </w:r>
      <w:r>
        <w:rPr>
          <w:rFonts w:hint="eastAsia" w:ascii="微软雅黑" w:hAnsi="微软雅黑" w:eastAsia="微软雅黑" w:cs="微软雅黑"/>
        </w:rPr>
        <w:instrText xml:space="preserve"> HYPERLINK "https://db.yaozh.com/fenleimulu" \h </w:instrText>
      </w:r>
      <w:r>
        <w:rPr>
          <w:rFonts w:hint="eastAsia" w:ascii="微软雅黑" w:hAnsi="微软雅黑" w:eastAsia="微软雅黑" w:cs="微软雅黑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sz w:val="22"/>
        </w:rPr>
        <w:t>https://db.yaozh.com/fenleimulu</w:t>
      </w:r>
      <w:r>
        <w:rPr>
          <w:rStyle w:val="7"/>
          <w:rFonts w:hint="eastAsia" w:ascii="微软雅黑" w:hAnsi="微软雅黑" w:eastAsia="微软雅黑" w:cs="微软雅黑"/>
          <w:sz w:val="22"/>
        </w:rPr>
        <w:fldChar w:fldCharType="end"/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sz w:val="22"/>
        </w:rPr>
        <w:t>特点：信息来源于官方，权威可信。数据库将医疗器械分类目录、体外诊断试剂分类目录、分类界定文件以及临床推荐路径都集中到一起，相对来说查询起来更方便些。数据库除了现行版本外，对于历史版本也有收录，且可以进行自由筛选。数据库需要登录后才能正常查询与使用，未登录用户只能查看，不能检索和翻页。数据库查询方式可按目录逐级筛选，也可以通过关键词直接检索。</w:t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7124700" cy="4422140"/>
            <wp:effectExtent l="0" t="0" r="0" b="0"/>
            <wp:docPr id="4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4422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color w:val="333333"/>
          <w:sz w:val="22"/>
        </w:rPr>
        <w:t>对于新研制的尚未列入《分类目录》的医疗器械或者对管理类别存疑的医疗器械，最好能提前申请分类界定，避免在提交注册资料时才发现需要进行分类界定，从而导致不必要的延误和时间浪费。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drawing>
          <wp:inline distT="0" distB="0" distL="0" distR="0">
            <wp:extent cx="5886450" cy="5791200"/>
            <wp:effectExtent l="0" t="0" r="0" b="0"/>
            <wp:docPr id="5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57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FhZDA2ZGIwODkzY2JmNGUzZGFlZjRmMDJmMGY1ZDQifQ=="/>
  </w:docVars>
  <w:rsids>
    <w:rsidRoot w:val="00000000"/>
    <w:rsid w:val="0EBB2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next w:val="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paragraph" w:styleId="3">
    <w:name w:val="heading 3"/>
    <w:next w:val="1"/>
    <w:uiPriority w:val="0"/>
    <w:pPr>
      <w:keepNext/>
      <w:keepLines/>
      <w:spacing w:before="348" w:after="170"/>
    </w:pPr>
    <w:rPr>
      <w:rFonts w:asciiTheme="minorHAnsi" w:hAnsiTheme="minorHAnsi" w:eastAsiaTheme="minorEastAsia" w:cstheme="minorBidi"/>
      <w:b/>
      <w:kern w:val="2"/>
      <w:sz w:val="2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7">
    <w:name w:val="Hyperlink"/>
    <w:uiPriority w:val="0"/>
    <w:rPr>
      <w:color w:val="0563C1"/>
      <w:u w:val="single"/>
    </w:rPr>
  </w:style>
  <w:style w:type="paragraph" w:customStyle="1" w:styleId="8">
    <w:name w:val="dingdocnormal"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1258</Words>
  <Characters>1449</Characters>
  <TotalTime>2</TotalTime>
  <ScaleCrop>false</ScaleCrop>
  <LinksUpToDate>false</LinksUpToDate>
  <CharactersWithSpaces>1472</CharactersWithSpaces>
  <Application>WPS Office_11.1.0.15319_F1E327BC-269C-435d-A152-05C5408002CA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陈微</cp:lastModifiedBy>
  <dcterms:modified xsi:type="dcterms:W3CDTF">2025-10-28T06:21:55Z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FC59C12CF6BF431099996B4E4CA8C906_12</vt:lpwstr>
  </property>
</Properties>
</file>