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NVLGNG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21.2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KNAVJN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KNAVJN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NVLGNG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KNAVJN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KNAVJN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Lycorine</w:t>
      </w:r>
    </w:p>
    <w:p>
      <w:pPr>
        <w:spacing w:before="309" w:after="0" w:line="236" w:lineRule="exact"/>
        <w:ind w:left="0" w:right="0" w:firstLine="0"/>
        <w:jc w:val="left"/>
        <w:rPr>
          <w:rFonts w:ascii="NVLG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KNAVJN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HY-N0288</w:t>
      </w:r>
    </w:p>
    <w:p>
      <w:pPr>
        <w:spacing w:before="109" w:after="0" w:line="236" w:lineRule="exact"/>
        <w:ind w:left="0" w:right="0" w:firstLine="0"/>
        <w:jc w:val="left"/>
        <w:rPr>
          <w:rFonts w:ascii="NVLG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KNAVJN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476-28-8</w:t>
      </w:r>
    </w:p>
    <w:p>
      <w:pPr>
        <w:spacing w:before="107" w:after="0" w:line="238" w:lineRule="exact"/>
        <w:ind w:left="0" w:right="0" w:firstLine="0"/>
        <w:jc w:val="left"/>
        <w:rPr>
          <w:rFonts w:ascii="NVLG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RMWELF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NVLGNG+SegoeUI" w:eastAsiaTheme="minorEastAsia" w:cs="NVLGNG+SegoeUI"/>
          <w:color w:val="3E3A39"/>
          <w:sz w:val="17"/>
          <w:szCs w:val="22"/>
          <w:lang w:val="en-US" w:eastAsia="en-US" w:bidi="ar-SA"/>
        </w:rPr>
        <w:t>C₁₆H₁₇NO₄</w:t>
      </w:r>
    </w:p>
    <w:p>
      <w:pPr>
        <w:spacing w:before="105" w:after="0" w:line="238" w:lineRule="exact"/>
        <w:ind w:left="0" w:right="0" w:firstLine="0"/>
        <w:jc w:val="left"/>
        <w:rPr>
          <w:rFonts w:ascii="NVLG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RMWELF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287.31</w:t>
      </w:r>
    </w:p>
    <w:p>
      <w:pPr>
        <w:spacing w:before="105" w:after="0" w:line="238" w:lineRule="exact"/>
        <w:ind w:left="0" w:right="0" w:firstLine="0"/>
        <w:jc w:val="left"/>
        <w:rPr>
          <w:rFonts w:ascii="NVLG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RMWELF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Fatty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Synthase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(FAS);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Virus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Protease;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Bacterial;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</w:p>
    <w:p>
      <w:pPr>
        <w:spacing w:before="107" w:after="0" w:line="236" w:lineRule="exact"/>
        <w:ind w:left="0" w:right="0" w:firstLine="0"/>
        <w:jc w:val="left"/>
        <w:rPr>
          <w:rFonts w:ascii="NVLG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RMWELF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Metabolic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Enzyme/Protease;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Anti-infection;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</w:p>
    <w:p>
      <w:pPr>
        <w:spacing w:before="109" w:after="0" w:line="236" w:lineRule="exact"/>
        <w:ind w:left="0" w:right="0" w:firstLine="0"/>
        <w:jc w:val="left"/>
        <w:rPr>
          <w:rFonts w:ascii="NVLG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RMWELF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NVLGNG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NVLGNG+SegoeUI" w:eastAsiaTheme="minorEastAsia" w:cs="NVLGNG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NVLGNG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NVLG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VLGNG+SegoeUI" w:hAnsi="NVLGNG+SegoeUI" w:eastAsiaTheme="minorEastAsia" w:cs="NVLGNG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NVLGNG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NVLG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NVLGNG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NVLGNG+SegoeUI" w:eastAsiaTheme="minorEastAsia" w:cs="NVLGNG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NVLGNG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NVLG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VLGNG+SegoeUI" w:hAnsi="NVLGNG+SegoeUI" w:eastAsiaTheme="minorEastAsia" w:cs="NVLGNG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NVLGNG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RMWELF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RMWELF+AdobeHeitiStd-Regular-Identity-H" w:hAnsi="RMWELF+AdobeHeitiStd-Regular-Identity-H" w:eastAsiaTheme="minorEastAsia" w:cs="RMWELF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256" w:line="237" w:lineRule="exact"/>
        <w:ind w:left="250" w:right="0" w:firstLine="0"/>
        <w:jc w:val="left"/>
        <w:rPr>
          <w:rFonts w:ascii="NVLG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RMWELF+AdobeHeitiStd-Regular-Identity-H" w:hAnsi="Calibri" w:eastAsiaTheme="minorEastAsia" w:cstheme="minorBidi"/>
          <w:color w:val="3E3A39"/>
          <w:spacing w:val="1066"/>
          <w:sz w:val="17"/>
          <w:szCs w:val="22"/>
          <w:lang w:val="en-US" w:eastAsia="en-US" w:bidi="ar-SA"/>
        </w:rPr>
        <w:t xml:space="preserve"> 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25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87.01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84"/>
        <w:gridCol w:w="728"/>
        <w:gridCol w:w="20"/>
        <w:gridCol w:w="1148"/>
        <w:gridCol w:w="20"/>
        <w:gridCol w:w="4054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8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VLGNG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KNAVJN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NAVJN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48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KNAVJN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NAVJN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54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KNAVJN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pacing w:val="13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pacing w:val="128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43" w:right="0" w:firstLine="0"/>
        <w:jc w:val="left"/>
        <w:rPr>
          <w:rFonts w:ascii="KNAVJN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034"/>
        <w:gridCol w:w="2346"/>
        <w:gridCol w:w="20"/>
        <w:gridCol w:w="6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203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NAVJN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46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RMWEL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MWELF+AdobeHeitiStd-Regular-Identity-H" w:hAnsi="RMWELF+AdobeHeitiStd-Regular-Identity-H" w:eastAsiaTheme="minorEastAsia" w:cs="RMWELF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MWEL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4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NVLGNG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pacing w:val="131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3.4806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NVLGNG+SegoeUI" w:hAnsi="Calibri" w:eastAsiaTheme="minorEastAsia" w:cstheme="minorBidi"/>
                <w:color w:val="3E3A39"/>
                <w:spacing w:val="89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17.4028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NVLGNG+SegoeUI" w:hAnsi="Calibri" w:eastAsiaTheme="minorEastAsia" w:cstheme="minorBidi"/>
                <w:color w:val="3E3A39"/>
                <w:spacing w:val="86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34.8056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400" w:right="0" w:firstLine="0"/>
        <w:jc w:val="left"/>
        <w:rPr>
          <w:rFonts w:ascii="NVLG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KNAVJN+SegoeUI-SemiBold" w:hAnsi="Calibri" w:eastAsiaTheme="minorEastAsia" w:cstheme="minorBidi"/>
          <w:b/>
          <w:color w:val="3E3A39"/>
          <w:spacing w:val="1318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0.6961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NVLGNG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3.4806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NVLGNG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6.9611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52" w:right="0" w:firstLine="0"/>
        <w:jc w:val="left"/>
        <w:rPr>
          <w:rFonts w:ascii="NVLG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KNAVJN+SegoeUI-SemiBold" w:hAnsi="Calibri" w:eastAsiaTheme="minorEastAsia" w:cstheme="minorBidi"/>
          <w:b/>
          <w:color w:val="3E3A39"/>
          <w:spacing w:val="1271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0.3481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NVLGNG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1.7403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NVLGNG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3.4806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2034" w:right="0" w:firstLine="0"/>
        <w:jc w:val="left"/>
        <w:rPr>
          <w:rFonts w:ascii="RMWELF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</w:t>
      </w:r>
    </w:p>
    <w:p>
      <w:pPr>
        <w:spacing w:before="29" w:after="0" w:line="242" w:lineRule="exact"/>
        <w:ind w:left="2034" w:right="0" w:firstLine="0"/>
        <w:jc w:val="left"/>
        <w:rPr>
          <w:rFonts w:ascii="RMWELF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失效。储备液的保存⽅式和期限：</w:t>
      </w:r>
      <w:r>
        <w:rPr>
          <w:rFonts w:ascii="NVLGNG+SegoeUI" w:hAnsi="NVLGNG+SegoeUI" w:eastAsiaTheme="minorEastAsia" w:cs="NVLGNG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NVLGNG+SegoeUI" w:eastAsiaTheme="minorEastAsia" w:cs="NVLGNG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NVLGNG+SegoeUI" w:hAnsi="NVLGNG+SegoeUI" w:eastAsiaTheme="minorEastAsia" w:cs="NVLGNG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NVLGNG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RMWELF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NVLGNG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NVLGNG+SegoeUI" w:hAnsi="NVLGNG+SegoeUI" w:eastAsiaTheme="minorEastAsia" w:cs="NVLGNG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NVLGNG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储存时</w:t>
      </w:r>
    </w:p>
    <w:p>
      <w:pPr>
        <w:spacing w:before="31" w:after="0" w:line="242" w:lineRule="exact"/>
        <w:ind w:left="2034" w:right="0" w:firstLine="0"/>
        <w:jc w:val="left"/>
        <w:rPr>
          <w:rFonts w:ascii="RMWELF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，请在</w:t>
      </w:r>
      <w:r>
        <w:rPr>
          <w:rFonts w:ascii="RMWELF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NVLGNG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p>
      <w:pPr>
        <w:spacing w:before="808" w:after="218" w:line="276" w:lineRule="exact"/>
        <w:ind w:left="216" w:right="0" w:firstLine="0"/>
        <w:jc w:val="left"/>
        <w:rPr>
          <w:rFonts w:ascii="KNAVJN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KNAVJN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KNAVJN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KNAVJN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2585"/>
        <w:gridCol w:w="20"/>
        <w:gridCol w:w="783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NAVJN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258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NVLGNG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MWELF+AdobeHeitiStd-Regular-Identity-H" w:hAnsi="RMWELF+AdobeHeitiStd-Regular-Identity-H" w:eastAsiaTheme="minorEastAsia" w:cs="RMWELF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RMWELF+AdobeHeitiStd-Regular-Identity-H" w:hAnsi="Calibri" w:eastAsiaTheme="minorEastAsia" w:cstheme="minorBidi"/>
                <w:color w:val="3E3A39"/>
                <w:spacing w:val="104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Lycorine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VLGNG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83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RMWEL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MWELF+AdobeHeitiStd-Regular-Identity-H" w:hAnsi="RMWELF+AdobeHeitiStd-Regular-Identity-H" w:eastAsiaTheme="minorEastAsia" w:cs="RMWELF+AdobeHeitiStd-Regular-Identity-H"/>
                <w:color w:val="3E3A39"/>
                <w:sz w:val="17"/>
                <w:szCs w:val="22"/>
                <w:lang w:val="en-US" w:eastAsia="en-US" w:bidi="ar-SA"/>
              </w:rPr>
              <w:t>从⾦眼科植物科中提取的天然⽣物碱。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Lycorine</w:t>
            </w:r>
            <w:r>
              <w:rPr>
                <w:rFonts w:ascii="NVLGNG+SegoeUI" w:hAnsi="Calibri" w:eastAsiaTheme="minorEastAsia" w:cstheme="minorBidi"/>
                <w:color w:val="3E3A39"/>
                <w:spacing w:val="17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MWELF+AdobeHeitiStd-Regular-Identity-H" w:hAnsi="RMWELF+AdobeHeitiStd-Regular-Identity-H" w:eastAsiaTheme="minorEastAsia" w:cs="RMWELF+AdobeHeitiStd-Regular-Identity-H"/>
                <w:color w:val="3E3A39"/>
                <w:sz w:val="17"/>
                <w:szCs w:val="22"/>
                <w:lang w:val="en-US" w:eastAsia="en-US" w:bidi="ar-SA"/>
              </w:rPr>
              <w:t>强效具有⼝服活性的</w:t>
            </w:r>
            <w:r>
              <w:rPr>
                <w:rFonts w:ascii="RMWELF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SCAP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MWELF+AdobeHeitiStd-Regular-Identity-H" w:hAnsi="RMWELF+AdobeHeitiStd-Regular-Identity-H" w:eastAsiaTheme="minorEastAsia" w:cs="RMWELF+AdobeHeitiStd-Regular-Identity-H"/>
                <w:color w:val="3E3A39"/>
                <w:sz w:val="17"/>
                <w:szCs w:val="22"/>
                <w:lang w:val="en-US" w:eastAsia="en-US" w:bidi="ar-SA"/>
              </w:rPr>
              <w:t>抑制剂，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>d</w:t>
            </w:r>
            <w:r>
              <w:rPr>
                <w:rFonts w:ascii="KNAVJN+SegoeUI-SemiBold" w:hAnsi="Calibri" w:eastAsiaTheme="minorEastAsia" w:cstheme="minorBidi"/>
                <w:b/>
                <w:color w:val="3E3A39"/>
                <w:spacing w:val="1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MWELF+AdobeHeitiStd-Regular-Identity-H" w:hAnsi="RMWELF+AdobeHeitiStd-Regular-Identity-H" w:eastAsiaTheme="minorEastAsia" w:cs="RMWELF+AdobeHeitiStd-Regular-Identity-H"/>
                <w:color w:val="3E3A39"/>
                <w:sz w:val="17"/>
                <w:szCs w:val="22"/>
                <w:lang w:val="en-US" w:eastAsia="en-US" w:bidi="ar-SA"/>
              </w:rPr>
              <w:t>值</w:t>
            </w:r>
            <w:r>
              <w:rPr>
                <w:rFonts w:ascii="RMWELF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MWELF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15.24</w:t>
            </w:r>
            <w:r>
              <w:rPr>
                <w:rFonts w:ascii="RMWELF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nM</w:t>
            </w:r>
            <w:r>
              <w:rPr>
                <w:rFonts w:ascii="RMWELF+AdobeHeitiStd-Regular-Identity-H" w:hAnsi="RMWELF+AdobeHeitiStd-Regular-Identity-H" w:eastAsiaTheme="minorEastAsia" w:cs="RMWELF+AdobeHeitiStd-Regular-Identity-H"/>
                <w:color w:val="3E3A39"/>
                <w:sz w:val="17"/>
                <w:szCs w:val="22"/>
                <w:lang w:val="en-US" w:eastAsia="en-US" w:bidi="ar-SA"/>
              </w:rPr>
              <w:t>。</w:t>
            </w:r>
          </w:p>
        </w:tc>
      </w:tr>
    </w:tbl>
    <w:p>
      <w:pPr>
        <w:spacing w:before="35" w:after="0" w:line="242" w:lineRule="exact"/>
        <w:ind w:left="2013" w:right="0" w:firstLine="0"/>
        <w:jc w:val="left"/>
        <w:rPr>
          <w:rFonts w:ascii="RMWELF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Lycorine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下调</w:t>
      </w:r>
      <w:r>
        <w:rPr>
          <w:rFonts w:ascii="RMWELF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SCAP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蛋⽩⽔平⽽不改变其转录。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Lycorine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也</w:t>
      </w:r>
      <w:r>
        <w:rPr>
          <w:rFonts w:ascii="RMWELF+AdobeHeitiStd-Regular-Identity-H" w:hAnsi="Calibri" w:eastAsiaTheme="minorEastAsia" w:cstheme="minorBidi"/>
          <w:color w:val="3E3A39"/>
          <w:spacing w:val="132"/>
          <w:sz w:val="17"/>
          <w:szCs w:val="22"/>
          <w:lang w:val="en-US" w:eastAsia="en-US" w:bidi="ar-SA"/>
        </w:rPr>
        <w:t xml:space="preserve"> </w:t>
      </w: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⿊⾊素瘤⾎管⽣成抑制剂。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Lycorine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有潜⼒⽤于前列腺癌</w:t>
      </w:r>
    </w:p>
    <w:p>
      <w:pPr>
        <w:spacing w:before="34" w:after="0" w:line="222" w:lineRule="exact"/>
        <w:ind w:left="2013" w:right="0" w:firstLine="0"/>
        <w:jc w:val="left"/>
        <w:rPr>
          <w:rFonts w:ascii="RMWELF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RMWELF+AdobeHeitiStd-Regular-Identity-H" w:hAnsi="RMWELF+AdobeHeitiStd-Regular-Identity-H" w:eastAsiaTheme="minorEastAsia" w:cs="RMWELF+AdobeHeitiStd-Regular-Identity-H"/>
          <w:color w:val="3E3A39"/>
          <w:sz w:val="17"/>
          <w:szCs w:val="22"/>
          <w:lang w:val="en-US" w:eastAsia="en-US" w:bidi="ar-SA"/>
        </w:rPr>
        <w:t>和代谢疾病的研究。</w:t>
      </w:r>
    </w:p>
    <w:p>
      <w:pPr>
        <w:spacing w:before="312" w:after="276" w:line="236" w:lineRule="exact"/>
        <w:ind w:left="250" w:right="0" w:firstLine="0"/>
        <w:jc w:val="left"/>
        <w:rPr>
          <w:rFonts w:ascii="NVLGNG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KNAVJN+SegoeUI-SemiBold" w:hAnsi="KNAVJN+SegoeUI-SemiBold" w:eastAsiaTheme="minorEastAsia" w:cs="KNAVJN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AVJ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KNAVJN+SegoeUI-SemiBold" w:hAnsi="Calibri" w:eastAsiaTheme="minorEastAsia" w:cstheme="minorBidi"/>
          <w:b/>
          <w:color w:val="3E3A39"/>
          <w:spacing w:val="700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Kd: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15.24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VLG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(SCAP)</w:t>
      </w:r>
      <w:r>
        <w:rPr>
          <w:rFonts w:ascii="NVLGNG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44"/>
        <w:gridCol w:w="20"/>
        <w:gridCol w:w="873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583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VLGNG+SegoeUI" w:hAnsi="Calibri"/>
                <w:color w:val="000000"/>
                <w:sz w:val="14"/>
                <w:szCs w:val="22"/>
                <w:lang w:val="en-US" w:eastAsia="en-US" w:bidi="ar-SA"/>
              </w:rPr>
            </w:pPr>
          </w:p>
        </w:tc>
        <w:tc>
          <w:tcPr>
            <w:tcW w:w="174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RMWEL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MWELF+AdobeHeitiStd-Regular-Identity-H" w:hAnsi="RMWELF+AdobeHeitiStd-Regular-Identity-H" w:eastAsiaTheme="minorEastAsia" w:cs="RMWELF+AdobeHeitiStd-Regular-Identity-H"/>
                <w:color w:val="3E3A39"/>
                <w:sz w:val="17"/>
                <w:szCs w:val="22"/>
                <w:lang w:val="en-US" w:eastAsia="en-US" w:bidi="ar-SA"/>
              </w:rPr>
              <w:t>体外研究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MWEL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8730" w:type="dxa"/>
            <w:noWrap w:val="0"/>
            <w:textDirection w:val="lrTb"/>
            <w:tcFitText w:val="0"/>
            <w:vAlign w:val="top"/>
          </w:tcPr>
          <w:p>
            <w:pPr>
              <w:spacing w:before="1" w:after="0" w:line="226" w:lineRule="exact"/>
              <w:ind w:left="0" w:right="0" w:firstLine="0"/>
              <w:jc w:val="left"/>
              <w:rPr>
                <w:rFonts w:ascii="NVLGNG+SegoeUI" w:hAnsi="Calibri"/>
                <w:color w:val="000000"/>
                <w:sz w:val="14"/>
                <w:szCs w:val="22"/>
                <w:lang w:val="en-US" w:eastAsia="en-US" w:bidi="ar-SA"/>
              </w:rPr>
            </w:pP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Lycorine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inhibits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cell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proliferation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dose-dependent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manner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the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abovementioned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4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PCa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cell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lines,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and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the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IC</w:t>
            </w:r>
            <w:r>
              <w:rPr>
                <w:rFonts w:ascii="NVLGNG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271" w:lineRule="exact"/>
              <w:ind w:left="0" w:right="0" w:firstLine="0"/>
              <w:jc w:val="left"/>
              <w:rPr>
                <w:rFonts w:ascii="NVLGNG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ranged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from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NVLGNG+SegoeUI" w:eastAsiaTheme="minorEastAsia" w:cs="NVLGNG+SegoeUI"/>
                <w:color w:val="3E3A39"/>
                <w:sz w:val="17"/>
                <w:szCs w:val="22"/>
                <w:lang w:val="en-US" w:eastAsia="en-US" w:bidi="ar-SA"/>
              </w:rPr>
              <w:t>μM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to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NVLGNG+SegoeUI" w:eastAsiaTheme="minorEastAsia" w:cs="NVLGNG+SegoeUI"/>
                <w:color w:val="3E3A39"/>
                <w:sz w:val="17"/>
                <w:szCs w:val="22"/>
                <w:lang w:val="en-US" w:eastAsia="en-US" w:bidi="ar-SA"/>
              </w:rPr>
              <w:t>μM.,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it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also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shows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Lycorine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has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little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effects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on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PNT1A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cell's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proliferation</w:t>
            </w:r>
            <w:r>
              <w:rPr>
                <w:rFonts w:ascii="NVLGNG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[1]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271" w:lineRule="exact"/>
              <w:ind w:left="0" w:right="0" w:firstLine="0"/>
              <w:jc w:val="left"/>
              <w:rPr>
                <w:rFonts w:ascii="NVLGNG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SCAP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(SREBF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chaperone)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is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an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ER-toGolgi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transport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protein,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undergoes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conformational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change,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271" w:lineRule="exact"/>
              <w:ind w:left="0" w:right="0" w:firstLine="0"/>
              <w:jc w:val="left"/>
              <w:rPr>
                <w:rFonts w:ascii="NVLGNG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regulates/preserves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SREBFs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the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ER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by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forming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complex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with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INSIG1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(insulin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induced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gene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1)</w:t>
            </w:r>
            <w:r>
              <w:rPr>
                <w:rFonts w:ascii="NVLGNG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[2]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271" w:lineRule="exact"/>
              <w:ind w:left="0" w:right="0" w:firstLine="0"/>
              <w:jc w:val="left"/>
              <w:rPr>
                <w:rFonts w:ascii="NVLGNG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Lycorine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(5-40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NVLGNG+SegoeUI" w:eastAsiaTheme="minorEastAsia" w:cs="NVLGNG+SegoeUI"/>
                <w:color w:val="3E3A39"/>
                <w:sz w:val="17"/>
                <w:szCs w:val="22"/>
                <w:lang w:val="en-US" w:eastAsia="en-US" w:bidi="ar-SA"/>
              </w:rPr>
              <w:t>μM;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16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hours)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significantly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suppresses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SREBFs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activity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(up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to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-70%)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dosedependent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manner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271" w:lineRule="exact"/>
              <w:ind w:left="0" w:right="0" w:firstLine="0"/>
              <w:jc w:val="left"/>
              <w:rPr>
                <w:rFonts w:ascii="NVLGNG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does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not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cause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obvious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cytotoxicity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cells</w:t>
            </w:r>
            <w:r>
              <w:rPr>
                <w:rFonts w:ascii="NVLGNG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[2]</w:t>
            </w:r>
            <w:r>
              <w:rPr>
                <w:rFonts w:ascii="NVLGN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.</w:t>
            </w:r>
          </w:p>
        </w:tc>
      </w:tr>
    </w:tbl>
    <w:p>
      <w:pPr>
        <w:spacing w:before="320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35pt;height:702.6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Lycorine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(10-20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μM;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2-16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hours)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time-dependently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mature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SREBF1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SREBF2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3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HL-7702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IJFBQ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Lycorine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(20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μM;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16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hours)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neither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activates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NR1H3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transcription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nor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affect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NR1H3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genes,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including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ABCG5</w:t>
      </w:r>
    </w:p>
    <w:p>
      <w:pPr>
        <w:spacing w:before="3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ABCG8,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Sterols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activates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NR1H3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transcription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IJFBQ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Lycorine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hydrochloride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(0-25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μM;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hours)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markedly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suppresses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vascular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endothelial</w:t>
      </w:r>
    </w:p>
    <w:p>
      <w:pPr>
        <w:spacing w:before="3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(VE)-cadherin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manner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slightly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diminishes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Sema4D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C8161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</w:p>
    <w:p>
      <w:pPr>
        <w:spacing w:before="3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However,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six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affected</w:t>
      </w:r>
      <w:r>
        <w:rPr>
          <w:rFonts w:ascii="IJFBQ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Lycorine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hydrochloride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(0-25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μM;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hours)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markedly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reduces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VE-cadherin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C8161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</w:p>
    <w:p>
      <w:pPr>
        <w:spacing w:before="3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fashion</w:t>
      </w:r>
      <w:r>
        <w:rPr>
          <w:rFonts w:ascii="IJFBQ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94" w:after="0" w:line="236" w:lineRule="exact"/>
        <w:ind w:left="2013" w:right="0" w:firstLine="0"/>
        <w:jc w:val="left"/>
        <w:rPr>
          <w:rFonts w:ascii="TUJTPP+SegoeUI-SemiBold" w:hAnsi="Calibri"/>
          <w:b/>
          <w:color w:val="000000"/>
          <w:sz w:val="14"/>
          <w:szCs w:val="22"/>
          <w:lang w:val="en-US" w:eastAsia="en-US" w:bidi="ar-SA"/>
        </w:rPr>
      </w:pP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Viability</w:t>
      </w: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TUJTPP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</w:p>
    <w:p>
      <w:pPr>
        <w:spacing w:before="293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Line:</w:t>
      </w:r>
      <w:r>
        <w:rPr>
          <w:rFonts w:ascii="IJFBQR+SegoeUI" w:hAnsi="Calibri" w:eastAsiaTheme="minorEastAsia" w:cstheme="minorBidi"/>
          <w:color w:val="3E3A39"/>
          <w:spacing w:val="1503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HL-7702/SRE-Luc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</w:p>
    <w:p>
      <w:pPr>
        <w:spacing w:before="199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Concentration:</w:t>
      </w:r>
      <w:r>
        <w:rPr>
          <w:rFonts w:ascii="IJFBQR+SegoeUI" w:hAnsi="Calibri" w:eastAsiaTheme="minorEastAsia" w:cstheme="minorBidi"/>
          <w:color w:val="3E3A39"/>
          <w:spacing w:val="1071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16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</w:t>
      </w:r>
    </w:p>
    <w:p>
      <w:pPr>
        <w:spacing w:before="20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Time:</w:t>
      </w:r>
      <w:r>
        <w:rPr>
          <w:rFonts w:ascii="IJFBQR+SegoeUI" w:hAnsi="Calibri" w:eastAsiaTheme="minorEastAsia" w:cstheme="minorBidi"/>
          <w:color w:val="3E3A39"/>
          <w:spacing w:val="924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μM;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μM;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μM;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40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</w:t>
      </w:r>
    </w:p>
    <w:p>
      <w:pPr>
        <w:spacing w:before="20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Result:</w:t>
      </w:r>
      <w:r>
        <w:rPr>
          <w:rFonts w:ascii="IJFBQR+SegoeUI" w:hAnsi="Calibri" w:eastAsiaTheme="minorEastAsia" w:cstheme="minorBidi"/>
          <w:color w:val="3E3A39"/>
          <w:spacing w:val="1674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cytotoxicity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HL-7702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</w:p>
    <w:p>
      <w:pPr>
        <w:spacing w:before="277" w:after="0" w:line="236" w:lineRule="exact"/>
        <w:ind w:left="2013" w:right="0" w:firstLine="0"/>
        <w:jc w:val="left"/>
        <w:rPr>
          <w:rFonts w:ascii="TUJTPP+SegoeUI-SemiBold" w:hAnsi="Calibri"/>
          <w:b/>
          <w:color w:val="000000"/>
          <w:sz w:val="14"/>
          <w:szCs w:val="22"/>
          <w:lang w:val="en-US" w:eastAsia="en-US" w:bidi="ar-SA"/>
        </w:rPr>
      </w:pP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Western</w:t>
      </w: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Blot</w:t>
      </w: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Analysis</w:t>
      </w:r>
      <w:r>
        <w:rPr>
          <w:rFonts w:ascii="TUJTPP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</w:p>
    <w:p>
      <w:pPr>
        <w:spacing w:before="293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Line:</w:t>
      </w:r>
      <w:r>
        <w:rPr>
          <w:rFonts w:ascii="IJFBQR+SegoeUI" w:hAnsi="Calibri" w:eastAsiaTheme="minorEastAsia" w:cstheme="minorBidi"/>
          <w:color w:val="3E3A39"/>
          <w:spacing w:val="1503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HL-7702/SRE-Luc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</w:p>
    <w:p>
      <w:pPr>
        <w:spacing w:before="199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Concentration:</w:t>
      </w:r>
      <w:r>
        <w:rPr>
          <w:rFonts w:ascii="IJFBQR+SegoeUI" w:hAnsi="Calibri" w:eastAsiaTheme="minorEastAsia" w:cstheme="minorBidi"/>
          <w:color w:val="3E3A39"/>
          <w:spacing w:val="1071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8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16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</w:t>
      </w:r>
    </w:p>
    <w:p>
      <w:pPr>
        <w:spacing w:before="20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Time:</w:t>
      </w:r>
      <w:r>
        <w:rPr>
          <w:rFonts w:ascii="IJFBQR+SegoeUI" w:hAnsi="Calibri" w:eastAsiaTheme="minorEastAsia" w:cstheme="minorBidi"/>
          <w:color w:val="3E3A39"/>
          <w:spacing w:val="924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μM;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</w:t>
      </w:r>
    </w:p>
    <w:p>
      <w:pPr>
        <w:spacing w:before="20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Result:</w:t>
      </w:r>
      <w:r>
        <w:rPr>
          <w:rFonts w:ascii="IJFBQR+SegoeUI" w:hAnsi="Calibri" w:eastAsiaTheme="minorEastAsia" w:cstheme="minorBidi"/>
          <w:color w:val="3E3A39"/>
          <w:spacing w:val="1675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p-SREBF1,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m-SREBF1,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p-SREBF2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p-SREBF1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expression.</w:t>
      </w:r>
    </w:p>
    <w:p>
      <w:pPr>
        <w:spacing w:before="276" w:after="0" w:line="236" w:lineRule="exact"/>
        <w:ind w:left="2013" w:right="0" w:firstLine="0"/>
        <w:jc w:val="left"/>
        <w:rPr>
          <w:rFonts w:ascii="TUJTPP+SegoeUI-SemiBold" w:hAnsi="Calibri"/>
          <w:b/>
          <w:color w:val="000000"/>
          <w:sz w:val="14"/>
          <w:szCs w:val="22"/>
          <w:lang w:val="en-US" w:eastAsia="en-US" w:bidi="ar-SA"/>
        </w:rPr>
      </w:pP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RT-PCR</w:t>
      </w:r>
      <w:r>
        <w:rPr>
          <w:rFonts w:ascii="TUJTPP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[3]</w:t>
      </w:r>
    </w:p>
    <w:p>
      <w:pPr>
        <w:spacing w:before="294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Line:</w:t>
      </w:r>
      <w:r>
        <w:rPr>
          <w:rFonts w:ascii="IJFBQR+SegoeUI" w:hAnsi="Calibri" w:eastAsiaTheme="minorEastAsia" w:cstheme="minorBidi"/>
          <w:color w:val="3E3A39"/>
          <w:spacing w:val="1503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C8161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</w:p>
    <w:p>
      <w:pPr>
        <w:spacing w:before="199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Concentration:</w:t>
      </w:r>
      <w:r>
        <w:rPr>
          <w:rFonts w:ascii="IJFBQR+SegoeUI" w:hAnsi="Calibri" w:eastAsiaTheme="minorEastAsia" w:cstheme="minorBidi"/>
          <w:color w:val="3E3A39"/>
          <w:spacing w:val="1071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0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1.56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3.13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6.25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12.5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25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IJFBQR+SegoeUI" w:eastAsiaTheme="minorEastAsia" w:cs="IJFBQR+SegoeUI"/>
          <w:color w:val="3E3A39"/>
          <w:sz w:val="17"/>
          <w:szCs w:val="22"/>
          <w:lang w:val="en-US" w:eastAsia="en-US" w:bidi="ar-SA"/>
        </w:rPr>
        <w:t>μM</w:t>
      </w:r>
    </w:p>
    <w:p>
      <w:pPr>
        <w:spacing w:before="20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Time:</w:t>
      </w:r>
      <w:r>
        <w:rPr>
          <w:rFonts w:ascii="IJFBQR+SegoeUI" w:hAnsi="Calibri" w:eastAsiaTheme="minorEastAsia" w:cstheme="minorBidi"/>
          <w:color w:val="3E3A39"/>
          <w:spacing w:val="924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</w:t>
      </w:r>
    </w:p>
    <w:p>
      <w:pPr>
        <w:spacing w:before="20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Result:</w:t>
      </w:r>
      <w:r>
        <w:rPr>
          <w:rFonts w:ascii="IJFBQR+SegoeUI" w:hAnsi="Calibri" w:eastAsiaTheme="minorEastAsia" w:cstheme="minorBidi"/>
          <w:color w:val="3E3A39"/>
          <w:spacing w:val="1674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Markedly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suppressed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VE-cadherin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manner</w:t>
      </w:r>
    </w:p>
    <w:p>
      <w:pPr>
        <w:spacing w:before="35" w:after="0" w:line="236" w:lineRule="exact"/>
        <w:ind w:left="4228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slightly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diminished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Sema4D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C8161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</w:p>
    <w:p>
      <w:pPr>
        <w:spacing w:before="433" w:after="0" w:line="236" w:lineRule="exact"/>
        <w:ind w:left="250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MEDAAH+AdobeHeitiStd-Regular-Identity-H" w:hAnsi="MEDAAH+AdobeHeitiStd-Regular-Identity-H" w:eastAsiaTheme="minorEastAsia" w:cs="MEDAAH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hAnsi="Calibri" w:eastAsiaTheme="minorEastAsia" w:cstheme="minorBidi"/>
          <w:color w:val="3E3A39"/>
          <w:spacing w:val="1041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Lycorine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(oral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chow;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mg/kg;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once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daily)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alleviates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fat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accumulation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metabolic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syndrome,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increases</w:t>
      </w:r>
    </w:p>
    <w:p>
      <w:pPr>
        <w:spacing w:before="30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lipolysis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betaoxidation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fatty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along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precursor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mature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SREBFs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289" w:after="0" w:line="236" w:lineRule="exact"/>
        <w:ind w:left="2013" w:right="0" w:firstLine="0"/>
        <w:jc w:val="left"/>
        <w:rPr>
          <w:rFonts w:ascii="IJFBQR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Model:</w:t>
      </w:r>
      <w:r>
        <w:rPr>
          <w:rFonts w:ascii="TUJTPP+SegoeUI-SemiBold" w:hAnsi="Calibri" w:eastAsiaTheme="minorEastAsia" w:cstheme="minorBidi"/>
          <w:b/>
          <w:color w:val="3E3A39"/>
          <w:spacing w:val="1048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High-fat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diet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(HFD)-fed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C57BL/6J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IJFBQ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</w:p>
    <w:p>
      <w:pPr>
        <w:spacing w:before="195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Dosage:</w:t>
      </w:r>
      <w:r>
        <w:rPr>
          <w:rFonts w:ascii="TUJTPP+SegoeUI-SemiBold" w:hAnsi="Calibri" w:eastAsiaTheme="minorEastAsia" w:cstheme="minorBidi"/>
          <w:b/>
          <w:color w:val="3E3A39"/>
          <w:spacing w:val="1553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</w:p>
    <w:p>
      <w:pPr>
        <w:spacing w:before="200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Administration:</w:t>
      </w:r>
      <w:r>
        <w:rPr>
          <w:rFonts w:ascii="TUJTPP+SegoeUI-SemiBold" w:hAnsi="Calibri" w:eastAsiaTheme="minorEastAsia" w:cstheme="minorBidi"/>
          <w:b/>
          <w:color w:val="3E3A39"/>
          <w:spacing w:val="984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chow;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once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</w:t>
      </w:r>
    </w:p>
    <w:p>
      <w:pPr>
        <w:spacing w:before="200" w:after="0" w:line="236" w:lineRule="exact"/>
        <w:ind w:left="2013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UJTP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Result:</w:t>
      </w:r>
      <w:r>
        <w:rPr>
          <w:rFonts w:ascii="TUJTPP+SegoeUI-SemiBold" w:hAnsi="Calibri" w:eastAsiaTheme="minorEastAsia" w:cstheme="minorBidi"/>
          <w:b/>
          <w:color w:val="3E3A39"/>
          <w:spacing w:val="1657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Ameliorated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high-fat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diet-induced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hyperlipidemia,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hepatic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steatosis,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insulin</w:t>
      </w:r>
    </w:p>
    <w:p>
      <w:pPr>
        <w:spacing w:before="30" w:after="0" w:line="236" w:lineRule="exact"/>
        <w:ind w:left="4232" w:right="0" w:firstLine="0"/>
        <w:jc w:val="left"/>
        <w:rPr>
          <w:rFonts w:ascii="IJFBQ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resistance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JFBQ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mice.</w:t>
      </w:r>
    </w:p>
    <w:p>
      <w:pPr>
        <w:spacing w:before="865" w:after="564" w:line="276" w:lineRule="exact"/>
        <w:ind w:left="31" w:right="0" w:firstLine="0"/>
        <w:jc w:val="left"/>
        <w:rPr>
          <w:rFonts w:ascii="TUJTPP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TUJTPP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2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  <w:sectPr>
          <w:pgSz w:w="12240" w:h="15840"/>
          <w:pgMar w:top="837" w:right="100" w:bottom="0" w:left="602" w:header="720" w:footer="720" w:gutter="0"/>
          <w:pgNumType w:start="1"/>
          <w:cols w:sep="0" w:space="720"/>
          <w:docGrid w:linePitch="1"/>
        </w:sectPr>
      </w:pPr>
    </w:p>
    <w:p>
      <w:pPr>
        <w:spacing w:before="0" w:after="0" w:line="223" w:lineRule="exact"/>
        <w:ind w:left="0" w:right="0" w:firstLine="0"/>
        <w:jc w:val="left"/>
        <w:rPr>
          <w:rFonts w:ascii="ADPMBA+SegoeUI" w:hAnsi="Calibri"/>
          <w:color w:val="000000"/>
          <w:sz w:val="16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1072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25pt;height:117.3pt;margin-top:34pt;margin-left:29.85pt;mso-position-horizontal-relative:page;mso-position-vertical-relative:page;position:absolute;z-index:-251653120">
            <v:imagedata r:id="rId9" o:title=""/>
          </v:shape>
        </w:pict>
      </w:r>
      <w:r>
        <w:rPr>
          <w:noProof/>
        </w:rPr>
        <w:pict>
          <v:shape id="_x0000_s1032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M,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al.Lycorine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is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novel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growth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metastasis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hormone-refractory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prostate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cancer.Oncotarget.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2015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Jun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20;6(17):15348-61.</w:t>
      </w:r>
    </w:p>
    <w:p>
      <w:pPr>
        <w:spacing w:before="170" w:after="0" w:line="255" w:lineRule="exact"/>
        <w:ind w:left="0" w:right="0" w:firstLine="0"/>
        <w:jc w:val="left"/>
        <w:rPr>
          <w:rFonts w:ascii="ADPMBA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Zu-Guo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Zheng,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Discovery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Potent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SCAP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Degrader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That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Ameliorates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HFD-induced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Obesity,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Hyperlipidemia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Insulin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Resistance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via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ADPMBA+SegoeUI" w:eastAsiaTheme="minorEastAsia" w:cs="ADPMBA+SegoeUI"/>
          <w:color w:val="3E3A39"/>
          <w:sz w:val="16"/>
          <w:szCs w:val="22"/>
          <w:lang w:val="en-US" w:eastAsia="en-US" w:bidi="ar-SA"/>
        </w:rPr>
        <w:t>an</w:t>
      </w:r>
      <w:r>
        <w:rPr>
          <w:rFonts w:ascii="ADPMBA+SegoeUI" w:hAnsi="ADPMBA+SegoeUI" w:eastAsiaTheme="minorEastAsia" w:cs="ADPMBA+SegoeUI"/>
          <w:color w:val="3E3A39"/>
          <w:sz w:val="16"/>
          <w:szCs w:val="22"/>
          <w:lang w:val="en-US" w:eastAsia="en-US" w:bidi="ar-SA"/>
        </w:rPr>
        <w:cr/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Autophagy-Independent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Lysosomal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Pathway.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Autophagy.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2020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May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20;1-22.</w:t>
      </w:r>
    </w:p>
    <w:p>
      <w:pPr>
        <w:spacing w:before="203" w:after="0" w:line="223" w:lineRule="exact"/>
        <w:ind w:left="0" w:right="0" w:firstLine="0"/>
        <w:jc w:val="left"/>
        <w:rPr>
          <w:rFonts w:ascii="ADPMBA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[1].Liu,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R.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Lycorine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hydrochloride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inhibits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metastatic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melanoma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cell-dominant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vasculogenic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mimicry.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Pigment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&amp;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melanoma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research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25,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630-</w:t>
      </w:r>
    </w:p>
    <w:p>
      <w:pPr>
        <w:spacing w:before="32" w:after="0" w:line="223" w:lineRule="exact"/>
        <w:ind w:left="0" w:right="0" w:firstLine="0"/>
        <w:jc w:val="left"/>
        <w:rPr>
          <w:rFonts w:ascii="ADPMBA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638,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doi:10.1111/j.1755-148X.2012.01036.x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ADPMBA+SegoeUI" w:hAnsi="Calibri" w:eastAsiaTheme="minorEastAsia" w:cstheme="minorBidi"/>
          <w:color w:val="3E3A39"/>
          <w:sz w:val="16"/>
          <w:szCs w:val="22"/>
          <w:lang w:val="en-US" w:eastAsia="en-US" w:bidi="ar-SA"/>
        </w:rPr>
        <w:t>(2012).</w:t>
      </w:r>
    </w:p>
    <w:p>
      <w:pPr>
        <w:spacing w:before="428" w:after="0" w:line="257" w:lineRule="exact"/>
        <w:ind w:left="0" w:right="0" w:firstLine="0"/>
        <w:jc w:val="left"/>
        <w:rPr>
          <w:rFonts w:ascii="ADPMBA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ADPMBA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3862" w:after="0" w:line="236" w:lineRule="exact"/>
        <w:ind w:left="1918" w:right="0" w:firstLine="0"/>
        <w:jc w:val="left"/>
        <w:rPr>
          <w:rFonts w:ascii="SMOJCJ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OJC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GQNVNI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GQNVNI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GQNVNI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744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QNVNI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GQNVNI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GQNVNI+SegoeUI" w:hAnsi="GQNVNI+SegoeUI" w:eastAsiaTheme="minorEastAsia" w:cs="GQNVNI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GQNVNI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VUWNIC+AdobeHeitiStd-Regular-Identity-H" w:hAnsi="VUWNIC+AdobeHeitiStd-Regular-Identity-H" w:eastAsiaTheme="minorEastAsia" w:cs="VUWNIC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722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KNAVJN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NVLGNG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RMWELF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IJFBQR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TUJTPP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MEDAAH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DPMBA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SMOJCJ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GQNVNI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VUWNIC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