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4"/>
        <w:ind w:left="1285" w:right="1532" w:firstLine="0"/>
        <w:jc w:val="center"/>
        <w:rPr>
          <w:b/>
          <w:sz w:val="78"/>
        </w:rPr>
      </w:pPr>
      <w:r>
        <w:rPr>
          <w:b/>
          <w:sz w:val="78"/>
        </w:rPr>
        <w:t>各项施工材料管理措施</w:t>
      </w:r>
    </w:p>
    <w:p>
      <w:pPr>
        <w:pStyle w:val="BodyText"/>
        <w:rPr>
          <w:b/>
          <w:sz w:val="102"/>
        </w:rPr>
      </w:pPr>
    </w:p>
    <w:p>
      <w:pPr>
        <w:pStyle w:val="BodyText"/>
        <w:rPr>
          <w:b/>
          <w:sz w:val="102"/>
        </w:rPr>
      </w:pPr>
    </w:p>
    <w:p>
      <w:pPr>
        <w:pStyle w:val="BodyText"/>
        <w:spacing w:before="1"/>
        <w:rPr>
          <w:b/>
          <w:sz w:val="74"/>
        </w:rPr>
      </w:pPr>
    </w:p>
    <w:p>
      <w:pPr>
        <w:spacing w:before="0"/>
        <w:ind w:left="1321" w:right="0" w:firstLine="0"/>
        <w:jc w:val="left"/>
        <w:rPr>
          <w:b/>
          <w:sz w:val="42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3797300</wp:posOffset>
            </wp:positionH>
            <wp:positionV relativeFrom="paragraph">
              <wp:posOffset>466677</wp:posOffset>
            </wp:positionV>
            <wp:extent cx="4152900" cy="381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工程名称：</w:t>
      </w:r>
    </w:p>
    <w:p>
      <w:pPr>
        <w:pStyle w:val="BodyText"/>
        <w:spacing w:before="12" w:after="1"/>
        <w:rPr>
          <w:b/>
          <w:sz w:val="14"/>
        </w:rPr>
      </w:pPr>
    </w:p>
    <w:tbl>
      <w:tblPr>
        <w:tblW w:w="0" w:type="auto"/>
        <w:jc w:val="left"/>
        <w:tblInd w:w="1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"/>
        <w:gridCol w:w="630"/>
        <w:gridCol w:w="943"/>
        <w:gridCol w:w="1682"/>
        <w:gridCol w:w="2736"/>
        <w:gridCol w:w="2122"/>
      </w:tblGrid>
      <w:tr>
        <w:trPr>
          <w:trHeight w:val="627" w:hRule="atLeast"/>
        </w:trPr>
        <w:tc>
          <w:tcPr>
            <w:tcW w:w="576" w:type="dxa"/>
          </w:tcPr>
          <w:p>
            <w:pPr>
              <w:pStyle w:val="TableParagraph"/>
              <w:spacing w:line="608" w:lineRule="exact"/>
              <w:ind w:right="52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编</w:t>
            </w:r>
          </w:p>
        </w:tc>
        <w:tc>
          <w:tcPr>
            <w:tcW w:w="630" w:type="dxa"/>
          </w:tcPr>
          <w:p>
            <w:pPr>
              <w:pStyle w:val="TableParagraph"/>
              <w:spacing w:line="608" w:lineRule="exact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制</w:t>
            </w:r>
          </w:p>
        </w:tc>
        <w:tc>
          <w:tcPr>
            <w:tcW w:w="943" w:type="dxa"/>
          </w:tcPr>
          <w:p>
            <w:pPr>
              <w:pStyle w:val="TableParagraph"/>
              <w:spacing w:line="608" w:lineRule="exact"/>
              <w:ind w:right="-15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人：</w:t>
            </w:r>
          </w:p>
        </w:tc>
        <w:tc>
          <w:tcPr>
            <w:tcW w:w="1682" w:type="dxa"/>
            <w:tcBorders>
              <w:bottom w:val="dashed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2736" w:type="dxa"/>
          </w:tcPr>
          <w:p>
            <w:pPr>
              <w:pStyle w:val="TableParagraph"/>
              <w:spacing w:line="608" w:lineRule="exact"/>
              <w:ind w:left="-1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职务（职务</w:t>
            </w:r>
            <w:r>
              <w:rPr>
                <w:b/>
                <w:spacing w:val="-223"/>
                <w:w w:val="100"/>
                <w:sz w:val="42"/>
              </w:rPr>
              <w:t>）</w:t>
            </w:r>
            <w:r>
              <w:rPr>
                <w:b/>
                <w:spacing w:val="-10"/>
                <w:w w:val="100"/>
                <w:sz w:val="42"/>
              </w:rPr>
              <w:t>：</w:t>
            </w:r>
          </w:p>
        </w:tc>
        <w:tc>
          <w:tcPr>
            <w:tcW w:w="2122" w:type="dxa"/>
            <w:tcBorders>
              <w:bottom w:val="dashed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895" w:hRule="atLeast"/>
        </w:trPr>
        <w:tc>
          <w:tcPr>
            <w:tcW w:w="576" w:type="dxa"/>
          </w:tcPr>
          <w:p>
            <w:pPr>
              <w:pStyle w:val="TableParagraph"/>
              <w:spacing w:line="720" w:lineRule="exact" w:before="154"/>
              <w:ind w:right="52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审</w:t>
            </w:r>
          </w:p>
        </w:tc>
        <w:tc>
          <w:tcPr>
            <w:tcW w:w="630" w:type="dxa"/>
          </w:tcPr>
          <w:p>
            <w:pPr>
              <w:pStyle w:val="TableParagraph"/>
              <w:spacing w:line="720" w:lineRule="exact" w:before="154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核</w:t>
            </w:r>
          </w:p>
        </w:tc>
        <w:tc>
          <w:tcPr>
            <w:tcW w:w="943" w:type="dxa"/>
          </w:tcPr>
          <w:p>
            <w:pPr>
              <w:pStyle w:val="TableParagraph"/>
              <w:spacing w:line="720" w:lineRule="exact" w:before="154"/>
              <w:ind w:right="-15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人：</w:t>
            </w:r>
          </w:p>
        </w:tc>
        <w:tc>
          <w:tcPr>
            <w:tcW w:w="1682" w:type="dxa"/>
            <w:tcBorders>
              <w:top w:val="dashed" w:sz="18" w:space="0" w:color="000000"/>
              <w:bottom w:val="dashed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2736" w:type="dxa"/>
          </w:tcPr>
          <w:p>
            <w:pPr>
              <w:pStyle w:val="TableParagraph"/>
              <w:spacing w:line="720" w:lineRule="exact" w:before="154"/>
              <w:ind w:left="-1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职务（职务</w:t>
            </w:r>
            <w:r>
              <w:rPr>
                <w:b/>
                <w:spacing w:val="-223"/>
                <w:w w:val="100"/>
                <w:sz w:val="42"/>
              </w:rPr>
              <w:t>）</w:t>
            </w:r>
            <w:r>
              <w:rPr>
                <w:b/>
                <w:spacing w:val="-10"/>
                <w:w w:val="100"/>
                <w:sz w:val="42"/>
              </w:rPr>
              <w:t>：</w:t>
            </w:r>
          </w:p>
        </w:tc>
        <w:tc>
          <w:tcPr>
            <w:tcW w:w="2122" w:type="dxa"/>
            <w:tcBorders>
              <w:top w:val="dashed" w:sz="18" w:space="0" w:color="000000"/>
              <w:bottom w:val="dashed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895" w:hRule="atLeast"/>
        </w:trPr>
        <w:tc>
          <w:tcPr>
            <w:tcW w:w="576" w:type="dxa"/>
          </w:tcPr>
          <w:p>
            <w:pPr>
              <w:pStyle w:val="TableParagraph"/>
              <w:spacing w:line="724" w:lineRule="exact" w:before="151"/>
              <w:ind w:right="52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批</w:t>
            </w:r>
          </w:p>
        </w:tc>
        <w:tc>
          <w:tcPr>
            <w:tcW w:w="630" w:type="dxa"/>
          </w:tcPr>
          <w:p>
            <w:pPr>
              <w:pStyle w:val="TableParagraph"/>
              <w:spacing w:line="724" w:lineRule="exact" w:before="151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准</w:t>
            </w:r>
          </w:p>
        </w:tc>
        <w:tc>
          <w:tcPr>
            <w:tcW w:w="943" w:type="dxa"/>
          </w:tcPr>
          <w:p>
            <w:pPr>
              <w:pStyle w:val="TableParagraph"/>
              <w:spacing w:line="724" w:lineRule="exact" w:before="151"/>
              <w:ind w:right="-15"/>
              <w:jc w:val="right"/>
              <w:rPr>
                <w:b/>
                <w:sz w:val="42"/>
              </w:rPr>
            </w:pPr>
            <w:r>
              <w:rPr>
                <w:b/>
                <w:sz w:val="42"/>
              </w:rPr>
              <w:t>人：</w:t>
            </w:r>
          </w:p>
        </w:tc>
        <w:tc>
          <w:tcPr>
            <w:tcW w:w="1682" w:type="dxa"/>
            <w:tcBorders>
              <w:top w:val="dashed" w:sz="18" w:space="0" w:color="000000"/>
              <w:bottom w:val="dashed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2736" w:type="dxa"/>
          </w:tcPr>
          <w:p>
            <w:pPr>
              <w:pStyle w:val="TableParagraph"/>
              <w:spacing w:line="724" w:lineRule="exact" w:before="151"/>
              <w:ind w:left="-1"/>
              <w:rPr>
                <w:b/>
                <w:sz w:val="42"/>
              </w:rPr>
            </w:pPr>
            <w:r>
              <w:rPr>
                <w:b/>
                <w:w w:val="100"/>
                <w:sz w:val="42"/>
              </w:rPr>
              <w:t>职务（职务</w:t>
            </w:r>
            <w:r>
              <w:rPr>
                <w:b/>
                <w:spacing w:val="-223"/>
                <w:w w:val="100"/>
                <w:sz w:val="42"/>
              </w:rPr>
              <w:t>）</w:t>
            </w:r>
            <w:r>
              <w:rPr>
                <w:b/>
                <w:spacing w:val="-10"/>
                <w:w w:val="100"/>
                <w:sz w:val="42"/>
              </w:rPr>
              <w:t>：</w:t>
            </w:r>
          </w:p>
        </w:tc>
        <w:tc>
          <w:tcPr>
            <w:tcW w:w="2122" w:type="dxa"/>
            <w:tcBorders>
              <w:top w:val="dashed" w:sz="18" w:space="0" w:color="000000"/>
              <w:bottom w:val="dashed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tabs>
          <w:tab w:pos="5310" w:val="left" w:leader="none"/>
          <w:tab w:pos="7410" w:val="left" w:leader="none"/>
          <w:tab w:pos="9300" w:val="left" w:leader="none"/>
        </w:tabs>
        <w:spacing w:line="326" w:lineRule="auto" w:before="129"/>
        <w:ind w:left="1400" w:right="3275" w:hanging="80"/>
        <w:jc w:val="left"/>
        <w:rPr>
          <w:b/>
          <w:sz w:val="42"/>
        </w:rPr>
      </w:pPr>
      <w:r>
        <w:rPr/>
        <w:drawing>
          <wp:anchor distT="0" distB="0" distL="0" distR="0" allowOverlap="1" layoutInCell="1" locked="0" behindDoc="1" simplePos="0" relativeHeight="251438080">
            <wp:simplePos x="0" y="0"/>
            <wp:positionH relativeFrom="page">
              <wp:posOffset>3975100</wp:posOffset>
            </wp:positionH>
            <wp:positionV relativeFrom="paragraph">
              <wp:posOffset>1218772</wp:posOffset>
            </wp:positionV>
            <wp:extent cx="4155186" cy="38004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518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批准日期：</w:t>
        <w:tab/>
        <w:t>年</w:t>
        <w:tab/>
        <w:t>月</w:t>
        <w:tab/>
      </w:r>
      <w:r>
        <w:rPr>
          <w:b/>
          <w:spacing w:val="-17"/>
          <w:sz w:val="42"/>
        </w:rPr>
        <w:t>日</w:t>
      </w:r>
      <w:r>
        <w:rPr>
          <w:b/>
          <w:sz w:val="42"/>
        </w:rPr>
        <w:t>施工单位：</w:t>
      </w:r>
    </w:p>
    <w:p>
      <w:pPr>
        <w:spacing w:after="0" w:line="326" w:lineRule="auto"/>
        <w:jc w:val="left"/>
        <w:rPr>
          <w:sz w:val="42"/>
        </w:rPr>
        <w:sectPr>
          <w:footerReference w:type="default" r:id="rId5"/>
          <w:type w:val="continuous"/>
          <w:pgSz w:w="17860" w:h="25260"/>
          <w:pgMar w:footer="1846" w:top="2420" w:bottom="2040" w:left="2560" w:right="2300"/>
          <w:pgNumType w:start="1"/>
        </w:sectPr>
      </w:pPr>
    </w:p>
    <w:p>
      <w:pPr>
        <w:spacing w:line="927" w:lineRule="exact" w:before="0"/>
        <w:ind w:left="1708" w:right="1532" w:firstLine="0"/>
        <w:jc w:val="center"/>
        <w:rPr>
          <w:sz w:val="54"/>
        </w:rPr>
      </w:pPr>
      <w:r>
        <w:rPr>
          <w:sz w:val="54"/>
        </w:rPr>
        <w:t>一、墙面抹灰及砌筑砂浆配合比控制措施</w:t>
      </w:r>
    </w:p>
    <w:p>
      <w:pPr>
        <w:pStyle w:val="ListParagraph"/>
        <w:numPr>
          <w:ilvl w:val="0"/>
          <w:numId w:val="1"/>
        </w:numPr>
        <w:tabs>
          <w:tab w:pos="681" w:val="left" w:leader="none"/>
        </w:tabs>
        <w:spacing w:line="240" w:lineRule="auto" w:before="412" w:after="0"/>
        <w:ind w:left="680" w:right="0" w:hanging="541"/>
        <w:jc w:val="left"/>
        <w:rPr>
          <w:sz w:val="42"/>
        </w:rPr>
      </w:pPr>
      <w:r>
        <w:rPr>
          <w:sz w:val="42"/>
        </w:rPr>
        <w:t>根据设计及规范要求确定最佳配合比。</w:t>
      </w:r>
    </w:p>
    <w:p>
      <w:pPr>
        <w:pStyle w:val="ListParagraph"/>
        <w:numPr>
          <w:ilvl w:val="0"/>
          <w:numId w:val="1"/>
        </w:numPr>
        <w:tabs>
          <w:tab w:pos="681" w:val="left" w:leader="none"/>
        </w:tabs>
        <w:spacing w:line="362" w:lineRule="auto" w:before="396" w:after="0"/>
        <w:ind w:left="680" w:right="523" w:hanging="540"/>
        <w:jc w:val="left"/>
        <w:rPr>
          <w:sz w:val="42"/>
        </w:rPr>
      </w:pPr>
      <w:r>
        <w:rPr>
          <w:spacing w:val="-1"/>
          <w:sz w:val="42"/>
        </w:rPr>
        <w:t>由技术负责人向各班组进行技术交底，制作配合比标牌，设置于</w:t>
      </w:r>
      <w:r>
        <w:rPr>
          <w:sz w:val="42"/>
        </w:rPr>
        <w:t>搅拌机旁，以供随时参考。</w:t>
      </w:r>
    </w:p>
    <w:p>
      <w:pPr>
        <w:pStyle w:val="ListParagraph"/>
        <w:numPr>
          <w:ilvl w:val="0"/>
          <w:numId w:val="1"/>
        </w:numPr>
        <w:tabs>
          <w:tab w:pos="681" w:val="left" w:leader="none"/>
        </w:tabs>
        <w:spacing w:line="240" w:lineRule="auto" w:before="2" w:after="0"/>
        <w:ind w:left="680" w:right="0" w:hanging="541"/>
        <w:jc w:val="left"/>
        <w:rPr>
          <w:sz w:val="42"/>
        </w:rPr>
      </w:pPr>
      <w:r>
        <w:rPr>
          <w:sz w:val="42"/>
        </w:rPr>
        <w:t>质量比配合比控制措施。</w:t>
      </w:r>
    </w:p>
    <w:p>
      <w:pPr>
        <w:pStyle w:val="ListParagraph"/>
        <w:numPr>
          <w:ilvl w:val="1"/>
          <w:numId w:val="1"/>
        </w:numPr>
        <w:tabs>
          <w:tab w:pos="2031" w:val="left" w:leader="none"/>
        </w:tabs>
        <w:spacing w:line="240" w:lineRule="auto" w:before="397" w:after="0"/>
        <w:ind w:left="2030" w:right="0" w:hanging="1261"/>
        <w:jc w:val="left"/>
        <w:rPr>
          <w:sz w:val="42"/>
        </w:rPr>
      </w:pPr>
      <w:r>
        <w:rPr>
          <w:sz w:val="42"/>
        </w:rPr>
        <w:t>使用经效正的同一台台秤</w:t>
      </w:r>
    </w:p>
    <w:p>
      <w:pPr>
        <w:pStyle w:val="ListParagraph"/>
        <w:numPr>
          <w:ilvl w:val="1"/>
          <w:numId w:val="1"/>
        </w:numPr>
        <w:tabs>
          <w:tab w:pos="2031" w:val="left" w:leader="none"/>
        </w:tabs>
        <w:spacing w:line="240" w:lineRule="auto" w:before="396" w:after="0"/>
        <w:ind w:left="2030" w:right="0" w:hanging="1261"/>
        <w:jc w:val="left"/>
        <w:rPr>
          <w:sz w:val="42"/>
        </w:rPr>
      </w:pPr>
      <w:r>
        <w:rPr>
          <w:sz w:val="42"/>
        </w:rPr>
        <w:t>使用台秤确定白灰用量。</w:t>
      </w:r>
    </w:p>
    <w:p>
      <w:pPr>
        <w:pStyle w:val="ListParagraph"/>
        <w:numPr>
          <w:ilvl w:val="1"/>
          <w:numId w:val="1"/>
        </w:numPr>
        <w:tabs>
          <w:tab w:pos="2031" w:val="left" w:leader="none"/>
        </w:tabs>
        <w:spacing w:line="240" w:lineRule="auto" w:before="395" w:after="0"/>
        <w:ind w:left="2030" w:right="0" w:hanging="1261"/>
        <w:jc w:val="left"/>
        <w:rPr>
          <w:sz w:val="42"/>
        </w:rPr>
      </w:pPr>
      <w:r>
        <w:rPr>
          <w:sz w:val="42"/>
        </w:rPr>
        <w:t>确定每加入一袋水泥，砂子的用量</w:t>
      </w:r>
    </w:p>
    <w:p>
      <w:pPr>
        <w:pStyle w:val="ListParagraph"/>
        <w:numPr>
          <w:ilvl w:val="1"/>
          <w:numId w:val="1"/>
        </w:numPr>
        <w:tabs>
          <w:tab w:pos="2031" w:val="left" w:leader="none"/>
        </w:tabs>
        <w:spacing w:line="362" w:lineRule="auto" w:before="396" w:after="0"/>
        <w:ind w:left="1850" w:right="438" w:hanging="1080"/>
        <w:jc w:val="left"/>
        <w:rPr>
          <w:sz w:val="42"/>
        </w:rPr>
      </w:pPr>
      <w:r>
        <w:rPr>
          <w:spacing w:val="-1"/>
          <w:sz w:val="42"/>
        </w:rPr>
        <w:t>由技术员牛国庆，在现场把称定准，并固定。任何人不得</w:t>
      </w:r>
      <w:r>
        <w:rPr>
          <w:sz w:val="42"/>
        </w:rPr>
        <w:t>随意改动。</w:t>
      </w:r>
    </w:p>
    <w:p>
      <w:pPr>
        <w:pStyle w:val="ListParagraph"/>
        <w:numPr>
          <w:ilvl w:val="0"/>
          <w:numId w:val="1"/>
        </w:numPr>
        <w:tabs>
          <w:tab w:pos="681" w:val="left" w:leader="none"/>
        </w:tabs>
        <w:spacing w:line="240" w:lineRule="auto" w:before="3" w:after="0"/>
        <w:ind w:left="680" w:right="0" w:hanging="541"/>
        <w:jc w:val="left"/>
        <w:rPr>
          <w:sz w:val="42"/>
        </w:rPr>
      </w:pPr>
      <w:r>
        <w:rPr>
          <w:sz w:val="42"/>
        </w:rPr>
        <w:t>体积比配合比控制措施。</w:t>
      </w:r>
    </w:p>
    <w:p>
      <w:pPr>
        <w:pStyle w:val="ListParagraph"/>
        <w:numPr>
          <w:ilvl w:val="0"/>
          <w:numId w:val="2"/>
        </w:numPr>
        <w:tabs>
          <w:tab w:pos="2031" w:val="left" w:leader="none"/>
        </w:tabs>
        <w:spacing w:line="240" w:lineRule="auto" w:before="396" w:after="0"/>
        <w:ind w:left="2030" w:right="0" w:hanging="1261"/>
        <w:jc w:val="left"/>
        <w:rPr>
          <w:sz w:val="42"/>
        </w:rPr>
      </w:pPr>
      <w:r>
        <w:rPr>
          <w:spacing w:val="-10"/>
          <w:sz w:val="42"/>
        </w:rPr>
        <w:t>由技术员牛国庆使用大铁桶为容器，测出每袋水泥的体积。</w:t>
      </w:r>
    </w:p>
    <w:p>
      <w:pPr>
        <w:pStyle w:val="ListParagraph"/>
        <w:numPr>
          <w:ilvl w:val="0"/>
          <w:numId w:val="2"/>
        </w:numPr>
        <w:tabs>
          <w:tab w:pos="2031" w:val="left" w:leader="none"/>
        </w:tabs>
        <w:spacing w:line="362" w:lineRule="auto" w:before="396" w:after="0"/>
        <w:ind w:left="1850" w:right="438" w:hanging="1080"/>
        <w:jc w:val="left"/>
        <w:rPr>
          <w:sz w:val="42"/>
        </w:rPr>
      </w:pPr>
      <w:r>
        <w:rPr>
          <w:spacing w:val="-1"/>
          <w:sz w:val="42"/>
        </w:rPr>
        <w:t>根据每袋水泥的体积，使用大铁桶测出每袋水泥所使用的</w:t>
      </w:r>
      <w:r>
        <w:rPr>
          <w:sz w:val="42"/>
        </w:rPr>
        <w:t>砂子、水、及白灰用量。</w:t>
      </w:r>
    </w:p>
    <w:p>
      <w:pPr>
        <w:pStyle w:val="ListParagraph"/>
        <w:numPr>
          <w:ilvl w:val="0"/>
          <w:numId w:val="1"/>
        </w:numPr>
        <w:tabs>
          <w:tab w:pos="681" w:val="left" w:leader="none"/>
        </w:tabs>
        <w:spacing w:line="240" w:lineRule="auto" w:before="3" w:after="0"/>
        <w:ind w:left="680" w:right="0" w:hanging="541"/>
        <w:jc w:val="left"/>
        <w:rPr>
          <w:sz w:val="42"/>
        </w:rPr>
      </w:pPr>
      <w:r>
        <w:rPr>
          <w:sz w:val="42"/>
        </w:rPr>
        <w:t>制做砂浆试块确定砂浆强度。</w:t>
      </w:r>
    </w:p>
    <w:p>
      <w:pPr>
        <w:pStyle w:val="ListParagraph"/>
        <w:numPr>
          <w:ilvl w:val="0"/>
          <w:numId w:val="1"/>
        </w:numPr>
        <w:tabs>
          <w:tab w:pos="681" w:val="left" w:leader="none"/>
        </w:tabs>
        <w:spacing w:line="362" w:lineRule="auto" w:before="395" w:after="0"/>
        <w:ind w:left="680" w:right="523" w:hanging="540"/>
        <w:jc w:val="left"/>
        <w:rPr>
          <w:sz w:val="42"/>
        </w:rPr>
      </w:pPr>
      <w:r>
        <w:rPr>
          <w:spacing w:val="-1"/>
          <w:sz w:val="42"/>
        </w:rPr>
        <w:t>由技术员牛国庆负责随时抽检配合比使用情况，如发现各班组使</w:t>
      </w:r>
      <w:r>
        <w:rPr>
          <w:spacing w:val="-3"/>
          <w:sz w:val="42"/>
        </w:rPr>
        <w:t>用配合比不准确，项目部将处于 </w:t>
      </w:r>
      <w:r>
        <w:rPr>
          <w:sz w:val="42"/>
        </w:rPr>
        <w:t>100~500</w:t>
      </w:r>
      <w:r>
        <w:rPr>
          <w:spacing w:val="-5"/>
          <w:sz w:val="42"/>
        </w:rPr>
        <w:t> 元罚款。</w:t>
      </w:r>
    </w:p>
    <w:p>
      <w:pPr>
        <w:pStyle w:val="BodyText"/>
        <w:spacing w:before="2"/>
        <w:ind w:left="140"/>
      </w:pPr>
      <w:r>
        <w:rPr/>
        <w:t>负责人：</w:t>
      </w:r>
    </w:p>
    <w:p>
      <w:pPr>
        <w:spacing w:after="0"/>
        <w:sectPr>
          <w:pgSz w:w="17860" w:h="25260"/>
          <w:pgMar w:header="0" w:footer="1846" w:top="1200" w:bottom="2040" w:left="2560" w:right="2300"/>
        </w:sectPr>
      </w:pPr>
    </w:p>
    <w:p>
      <w:pPr>
        <w:pStyle w:val="Heading1"/>
        <w:spacing w:line="938" w:lineRule="exact"/>
      </w:pPr>
      <w:r>
        <w:rPr/>
        <w:t>二、安装材料控制措施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362" w:lineRule="auto" w:before="412" w:after="0"/>
        <w:ind w:left="680" w:right="523" w:hanging="540"/>
        <w:jc w:val="both"/>
        <w:rPr>
          <w:sz w:val="42"/>
        </w:rPr>
      </w:pPr>
      <w:r>
        <w:rPr>
          <w:spacing w:val="-1"/>
          <w:sz w:val="42"/>
        </w:rPr>
        <w:t>各班组对安装材料的预算必须准确，要料要分阶段进行，防止进</w:t>
      </w:r>
      <w:r>
        <w:rPr>
          <w:sz w:val="42"/>
        </w:rPr>
        <w:t>料过多，造成浪费。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240" w:lineRule="auto" w:before="2" w:after="0"/>
        <w:ind w:left="680" w:right="0" w:hanging="541"/>
        <w:jc w:val="both"/>
        <w:rPr>
          <w:sz w:val="42"/>
        </w:rPr>
      </w:pPr>
      <w:r>
        <w:rPr>
          <w:sz w:val="42"/>
        </w:rPr>
        <w:t>安装材料进场后，由库管员段彦习对数量进行登记并进行管理。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240" w:lineRule="auto" w:before="396" w:after="0"/>
        <w:ind w:left="680" w:right="0" w:hanging="541"/>
        <w:jc w:val="both"/>
        <w:rPr>
          <w:sz w:val="42"/>
        </w:rPr>
      </w:pPr>
      <w:r>
        <w:rPr>
          <w:sz w:val="42"/>
        </w:rPr>
        <w:t>由技术员王晓慧负责对厂家提供的质量证明材料进行检查、验证。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362" w:lineRule="auto" w:before="396" w:after="0"/>
        <w:ind w:left="680" w:right="523" w:hanging="540"/>
        <w:jc w:val="both"/>
        <w:rPr>
          <w:sz w:val="42"/>
        </w:rPr>
      </w:pPr>
      <w:r>
        <w:rPr>
          <w:spacing w:val="-1"/>
          <w:sz w:val="42"/>
        </w:rPr>
        <w:t>甲方或监理要求复试的，由实验员牛国庆进行现场取样、送检。</w:t>
      </w:r>
      <w:r>
        <w:rPr>
          <w:sz w:val="42"/>
        </w:rPr>
        <w:t>待复试合格后，方可使用。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362" w:lineRule="auto" w:before="2" w:after="0"/>
        <w:ind w:left="680" w:right="523" w:hanging="540"/>
        <w:jc w:val="both"/>
        <w:rPr>
          <w:sz w:val="42"/>
        </w:rPr>
      </w:pPr>
      <w:r>
        <w:rPr>
          <w:spacing w:val="-1"/>
          <w:sz w:val="42"/>
        </w:rPr>
        <w:t>材料的领取严格按照公司的出入库管理制度进行。由库管段彦习</w:t>
      </w:r>
      <w:r>
        <w:rPr>
          <w:sz w:val="42"/>
        </w:rPr>
        <w:t>负责。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362" w:lineRule="auto" w:before="3" w:after="0"/>
        <w:ind w:left="680" w:right="523" w:hanging="540"/>
        <w:jc w:val="both"/>
        <w:rPr>
          <w:sz w:val="42"/>
        </w:rPr>
      </w:pPr>
      <w:r>
        <w:rPr>
          <w:spacing w:val="-1"/>
          <w:sz w:val="42"/>
        </w:rPr>
        <w:t>各班组在施工过程中严格按照设计及规范要求施工。在规范和设计允许的情况下，最大限度的提高材料的利用率。由曹树方负责</w:t>
      </w:r>
      <w:r>
        <w:rPr>
          <w:sz w:val="42"/>
        </w:rPr>
        <w:t>检查管理。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362" w:lineRule="auto" w:before="3" w:after="0"/>
        <w:ind w:left="680" w:right="523" w:hanging="540"/>
        <w:jc w:val="both"/>
        <w:rPr>
          <w:sz w:val="42"/>
        </w:rPr>
      </w:pPr>
      <w:r>
        <w:rPr>
          <w:spacing w:val="-1"/>
          <w:sz w:val="42"/>
        </w:rPr>
        <w:t>加大成品保护力度，各班组施工过程中相互注意，防止因交叉施</w:t>
      </w:r>
      <w:r>
        <w:rPr>
          <w:sz w:val="42"/>
        </w:rPr>
        <w:t>工对成品造成损坏。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362" w:lineRule="auto" w:before="3" w:after="0"/>
        <w:ind w:left="680" w:right="396" w:hanging="540"/>
        <w:jc w:val="both"/>
        <w:rPr>
          <w:sz w:val="42"/>
        </w:rPr>
      </w:pPr>
      <w:r>
        <w:rPr>
          <w:spacing w:val="5"/>
          <w:sz w:val="42"/>
        </w:rPr>
        <w:t>各班组如对安装材料有以下行为的项目部将处于 </w:t>
      </w:r>
      <w:r>
        <w:rPr>
          <w:sz w:val="42"/>
        </w:rPr>
        <w:t>200~500</w:t>
      </w:r>
      <w:r>
        <w:rPr>
          <w:spacing w:val="28"/>
          <w:sz w:val="42"/>
        </w:rPr>
        <w:t> 元罚</w:t>
      </w:r>
      <w:r>
        <w:rPr>
          <w:sz w:val="42"/>
        </w:rPr>
        <w:t>款，并赔偿材料费用。</w:t>
      </w:r>
    </w:p>
    <w:p>
      <w:pPr>
        <w:pStyle w:val="ListParagraph"/>
        <w:numPr>
          <w:ilvl w:val="1"/>
          <w:numId w:val="3"/>
        </w:numPr>
        <w:tabs>
          <w:tab w:pos="2391" w:val="left" w:leader="none"/>
        </w:tabs>
        <w:spacing w:line="240" w:lineRule="auto" w:before="2" w:after="0"/>
        <w:ind w:left="2390" w:right="0" w:hanging="1621"/>
        <w:jc w:val="both"/>
        <w:rPr>
          <w:sz w:val="42"/>
        </w:rPr>
      </w:pPr>
      <w:r>
        <w:rPr>
          <w:sz w:val="42"/>
        </w:rPr>
        <w:t>损坏未安装材料或成品的</w:t>
      </w:r>
    </w:p>
    <w:p>
      <w:pPr>
        <w:spacing w:after="0" w:line="240" w:lineRule="auto"/>
        <w:jc w:val="both"/>
        <w:rPr>
          <w:sz w:val="42"/>
        </w:rPr>
        <w:sectPr>
          <w:pgSz w:w="17860" w:h="25260"/>
          <w:pgMar w:header="0" w:footer="1846" w:top="2360" w:bottom="2040" w:left="2560" w:right="2300"/>
        </w:sectPr>
      </w:pPr>
    </w:p>
    <w:p>
      <w:pPr>
        <w:pStyle w:val="ListParagraph"/>
        <w:numPr>
          <w:ilvl w:val="1"/>
          <w:numId w:val="3"/>
        </w:numPr>
        <w:tabs>
          <w:tab w:pos="2390" w:val="left" w:leader="none"/>
          <w:tab w:pos="2391" w:val="left" w:leader="none"/>
        </w:tabs>
        <w:spacing w:line="743" w:lineRule="exact" w:before="0" w:after="0"/>
        <w:ind w:left="2390" w:right="0" w:hanging="1621"/>
        <w:jc w:val="left"/>
        <w:rPr>
          <w:sz w:val="42"/>
        </w:rPr>
      </w:pPr>
      <w:r>
        <w:rPr>
          <w:sz w:val="42"/>
        </w:rPr>
        <w:t>随意丢弃、浪费</w:t>
      </w:r>
    </w:p>
    <w:p>
      <w:pPr>
        <w:pStyle w:val="ListParagraph"/>
        <w:numPr>
          <w:ilvl w:val="1"/>
          <w:numId w:val="3"/>
        </w:numPr>
        <w:tabs>
          <w:tab w:pos="2390" w:val="left" w:leader="none"/>
          <w:tab w:pos="2391" w:val="left" w:leader="none"/>
        </w:tabs>
        <w:spacing w:line="240" w:lineRule="auto" w:before="396" w:after="0"/>
        <w:ind w:left="2390" w:right="0" w:hanging="1621"/>
        <w:jc w:val="left"/>
        <w:rPr>
          <w:sz w:val="42"/>
        </w:rPr>
      </w:pPr>
      <w:r>
        <w:rPr>
          <w:sz w:val="42"/>
        </w:rPr>
        <w:t>未按照设计及规范安装使用</w:t>
      </w:r>
    </w:p>
    <w:p>
      <w:pPr>
        <w:pStyle w:val="ListParagraph"/>
        <w:numPr>
          <w:ilvl w:val="0"/>
          <w:numId w:val="3"/>
        </w:numPr>
        <w:tabs>
          <w:tab w:pos="681" w:val="left" w:leader="none"/>
        </w:tabs>
        <w:spacing w:line="362" w:lineRule="auto" w:before="396" w:after="0"/>
        <w:ind w:left="680" w:right="523" w:hanging="540"/>
        <w:jc w:val="left"/>
        <w:rPr>
          <w:sz w:val="42"/>
        </w:rPr>
      </w:pPr>
      <w:r>
        <w:rPr>
          <w:spacing w:val="-1"/>
          <w:sz w:val="42"/>
        </w:rPr>
        <w:t>安装材料如在无变更情况下超出公司预算，各班组又无正当原因</w:t>
      </w:r>
      <w:r>
        <w:rPr>
          <w:sz w:val="42"/>
        </w:rPr>
        <w:t>的，超出部分由各班组全部负担。</w:t>
      </w:r>
    </w:p>
    <w:p>
      <w:pPr>
        <w:pStyle w:val="BodyText"/>
        <w:spacing w:before="11"/>
        <w:rPr>
          <w:sz w:val="63"/>
        </w:rPr>
      </w:pPr>
    </w:p>
    <w:p>
      <w:pPr>
        <w:pStyle w:val="BodyText"/>
        <w:tabs>
          <w:tab w:pos="982" w:val="left" w:leader="none"/>
        </w:tabs>
        <w:spacing w:line="362" w:lineRule="auto" w:before="1"/>
        <w:ind w:left="140" w:right="11173"/>
      </w:pPr>
      <w:r>
        <w:rPr/>
        <w:t>负责人</w:t>
      </w:r>
      <w:r>
        <w:rPr>
          <w:spacing w:val="-19"/>
        </w:rPr>
        <w:t>： </w:t>
      </w:r>
      <w:r>
        <w:rPr/>
        <w:t>组</w:t>
        <w:tab/>
        <w:t>员</w:t>
      </w:r>
      <w:r>
        <w:rPr>
          <w:spacing w:val="-18"/>
        </w:rPr>
        <w:t>：</w:t>
      </w:r>
    </w:p>
    <w:p>
      <w:pPr>
        <w:pStyle w:val="BodyText"/>
        <w:spacing w:before="13"/>
        <w:rPr>
          <w:sz w:val="50"/>
        </w:rPr>
      </w:pPr>
    </w:p>
    <w:p>
      <w:pPr>
        <w:pStyle w:val="Heading1"/>
      </w:pPr>
      <w:r>
        <w:rPr/>
        <w:t>三、抹灰厚度控制措施</w:t>
      </w:r>
    </w:p>
    <w:p>
      <w:pPr>
        <w:pStyle w:val="ListParagraph"/>
        <w:numPr>
          <w:ilvl w:val="0"/>
          <w:numId w:val="4"/>
        </w:numPr>
        <w:tabs>
          <w:tab w:pos="1221" w:val="left" w:leader="none"/>
        </w:tabs>
        <w:spacing w:line="362" w:lineRule="auto" w:before="412" w:after="0"/>
        <w:ind w:left="1220" w:right="404" w:hanging="1080"/>
        <w:jc w:val="both"/>
        <w:rPr>
          <w:sz w:val="42"/>
        </w:rPr>
      </w:pPr>
      <w:r>
        <w:rPr>
          <w:spacing w:val="-1"/>
          <w:sz w:val="42"/>
        </w:rPr>
        <w:t>木工把所有跑模严重的地方，一定要处凿到符合抹灰要求的程</w:t>
      </w:r>
      <w:r>
        <w:rPr>
          <w:sz w:val="42"/>
        </w:rPr>
        <w:t>度，决不能因为局部高凸而增加抹灰厚度。</w:t>
      </w:r>
    </w:p>
    <w:p>
      <w:pPr>
        <w:pStyle w:val="ListParagraph"/>
        <w:numPr>
          <w:ilvl w:val="0"/>
          <w:numId w:val="4"/>
        </w:numPr>
        <w:tabs>
          <w:tab w:pos="1221" w:val="left" w:leader="none"/>
        </w:tabs>
        <w:spacing w:line="362" w:lineRule="auto" w:before="2" w:after="0"/>
        <w:ind w:left="1220" w:right="404" w:hanging="1080"/>
        <w:jc w:val="both"/>
        <w:rPr>
          <w:sz w:val="42"/>
        </w:rPr>
      </w:pPr>
      <w:r>
        <w:rPr>
          <w:spacing w:val="-1"/>
          <w:sz w:val="42"/>
        </w:rPr>
        <w:t>在符合规范要求的前提下，垂直度尽可能顺直，不要求绝对的</w:t>
      </w:r>
      <w:r>
        <w:rPr>
          <w:spacing w:val="-1"/>
          <w:w w:val="100"/>
          <w:sz w:val="42"/>
        </w:rPr>
        <w:t>垂直度为“</w:t>
      </w:r>
      <w:r>
        <w:rPr>
          <w:spacing w:val="-3"/>
          <w:w w:val="100"/>
          <w:sz w:val="42"/>
        </w:rPr>
        <w:t>0</w:t>
      </w:r>
      <w:r>
        <w:rPr>
          <w:spacing w:val="-105"/>
          <w:w w:val="100"/>
          <w:sz w:val="42"/>
        </w:rPr>
        <w:t>”。</w:t>
      </w:r>
    </w:p>
    <w:p>
      <w:pPr>
        <w:pStyle w:val="ListParagraph"/>
        <w:numPr>
          <w:ilvl w:val="0"/>
          <w:numId w:val="4"/>
        </w:numPr>
        <w:tabs>
          <w:tab w:pos="1221" w:val="left" w:leader="none"/>
        </w:tabs>
        <w:spacing w:line="362" w:lineRule="auto" w:before="2" w:after="0"/>
        <w:ind w:left="1220" w:right="404" w:hanging="1080"/>
        <w:jc w:val="both"/>
        <w:rPr>
          <w:sz w:val="42"/>
        </w:rPr>
      </w:pPr>
      <w:r>
        <w:rPr>
          <w:spacing w:val="-1"/>
          <w:sz w:val="42"/>
        </w:rPr>
        <w:t>抹灰前，认真学习各技术交底，严格按技术交底施工。如果不按技术交底施工或不听从管理人员指挥的，将视情节轻重给予</w:t>
      </w:r>
      <w:r>
        <w:rPr>
          <w:sz w:val="42"/>
        </w:rPr>
        <w:t>100~500</w:t>
      </w:r>
      <w:r>
        <w:rPr>
          <w:spacing w:val="-5"/>
          <w:sz w:val="42"/>
        </w:rPr>
        <w:t> 元的经济处罚。</w:t>
      </w:r>
    </w:p>
    <w:p>
      <w:pPr>
        <w:pStyle w:val="ListParagraph"/>
        <w:numPr>
          <w:ilvl w:val="0"/>
          <w:numId w:val="4"/>
        </w:numPr>
        <w:tabs>
          <w:tab w:pos="962" w:val="left" w:leader="none"/>
        </w:tabs>
        <w:spacing w:line="362" w:lineRule="auto" w:before="4" w:after="0"/>
        <w:ind w:left="979" w:right="391" w:hanging="839"/>
        <w:jc w:val="both"/>
        <w:rPr>
          <w:sz w:val="42"/>
        </w:rPr>
      </w:pPr>
      <w:r>
        <w:rPr>
          <w:spacing w:val="-12"/>
          <w:sz w:val="42"/>
        </w:rPr>
        <w:t>严格按配合比拌制砂浆，不可任意添加水泥用量，当天的水泥砂</w:t>
      </w:r>
      <w:r>
        <w:rPr>
          <w:sz w:val="42"/>
        </w:rPr>
        <w:t>浆必须当天用完，不造成浪费。</w:t>
      </w:r>
    </w:p>
    <w:p>
      <w:pPr>
        <w:spacing w:after="0" w:line="362" w:lineRule="auto"/>
        <w:jc w:val="both"/>
        <w:rPr>
          <w:sz w:val="42"/>
        </w:rPr>
        <w:sectPr>
          <w:pgSz w:w="17860" w:h="25260"/>
          <w:pgMar w:header="0" w:footer="1846" w:top="1400" w:bottom="2040" w:left="2560" w:right="2300"/>
        </w:sectPr>
      </w:pPr>
    </w:p>
    <w:p>
      <w:pPr>
        <w:pStyle w:val="BodyText"/>
        <w:spacing w:before="17"/>
        <w:rPr>
          <w:sz w:val="6"/>
        </w:rPr>
      </w:pPr>
    </w:p>
    <w:p>
      <w:pPr>
        <w:pStyle w:val="BodyText"/>
        <w:spacing w:line="766" w:lineRule="exact"/>
        <w:ind w:left="561"/>
      </w:pPr>
      <w:r>
        <w:rPr/>
        <w:t>负责人：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pStyle w:val="Heading1"/>
        <w:spacing w:line="955" w:lineRule="exact"/>
      </w:pPr>
      <w:r>
        <w:rPr/>
        <w:t>四、钢筋控制措施</w:t>
      </w:r>
    </w:p>
    <w:p>
      <w:pPr>
        <w:pStyle w:val="BodyText"/>
        <w:tabs>
          <w:tab w:pos="1220" w:val="left" w:leader="none"/>
        </w:tabs>
        <w:spacing w:line="362" w:lineRule="auto" w:before="412"/>
        <w:ind w:left="1220" w:right="376" w:hanging="1080"/>
      </w:pPr>
      <w:r>
        <w:rPr/>
        <w:t>1、</w:t>
        <w:tab/>
        <w:t>由钢筋班组提前</w:t>
      </w:r>
      <w:r>
        <w:rPr>
          <w:spacing w:val="-13"/>
        </w:rPr>
        <w:t> </w:t>
      </w:r>
      <w:r>
        <w:rPr/>
        <w:t>7</w:t>
      </w:r>
      <w:r>
        <w:rPr>
          <w:spacing w:val="-4"/>
        </w:rPr>
        <w:t> </w:t>
      </w:r>
      <w:r>
        <w:rPr/>
        <w:t>天作出钢筋使用量计划并报项目部，由质</w:t>
      </w:r>
      <w:r>
        <w:rPr>
          <w:spacing w:val="-18"/>
        </w:rPr>
        <w:t>检</w:t>
      </w:r>
      <w:r>
        <w:rPr/>
        <w:t>员赵顺平核对后，报甲方基建办进料。</w:t>
      </w:r>
    </w:p>
    <w:p>
      <w:pPr>
        <w:pStyle w:val="BodyText"/>
        <w:tabs>
          <w:tab w:pos="1220" w:val="left" w:leader="none"/>
        </w:tabs>
        <w:spacing w:before="3"/>
        <w:ind w:left="140"/>
      </w:pPr>
      <w:r>
        <w:rPr/>
        <w:t>2、</w:t>
        <w:tab/>
        <w:t>材料进场后检查质量证明材料，经复试后方可使用。</w:t>
      </w:r>
    </w:p>
    <w:p>
      <w:pPr>
        <w:pStyle w:val="BodyText"/>
        <w:tabs>
          <w:tab w:pos="1220" w:val="left" w:leader="none"/>
        </w:tabs>
        <w:spacing w:line="362" w:lineRule="auto" w:before="395"/>
        <w:ind w:left="1220" w:right="378" w:hanging="1080"/>
      </w:pPr>
      <w:r>
        <w:rPr/>
        <w:t>3、</w:t>
        <w:tab/>
        <w:t>钢筋班组下料前，必须提前</w:t>
      </w:r>
      <w:r>
        <w:rPr>
          <w:spacing w:val="-21"/>
        </w:rPr>
        <w:t> </w:t>
      </w:r>
      <w:r>
        <w:rPr/>
        <w:t>3</w:t>
      </w:r>
      <w:r>
        <w:rPr>
          <w:spacing w:val="1"/>
        </w:rPr>
        <w:t> </w:t>
      </w:r>
      <w:r>
        <w:rPr/>
        <w:t>天将钢筋下料单并报项目部，</w:t>
      </w:r>
      <w:r>
        <w:rPr>
          <w:spacing w:val="-17"/>
        </w:rPr>
        <w:t>由</w:t>
      </w:r>
      <w:r>
        <w:rPr/>
        <w:t>质检员赵顺平核对后，方可下料。</w:t>
      </w:r>
    </w:p>
    <w:p>
      <w:pPr>
        <w:pStyle w:val="BodyText"/>
        <w:tabs>
          <w:tab w:pos="1220" w:val="left" w:leader="none"/>
        </w:tabs>
        <w:spacing w:line="362" w:lineRule="auto" w:before="2"/>
        <w:ind w:left="1220" w:right="404" w:hanging="1080"/>
      </w:pPr>
      <w:r>
        <w:rPr/>
        <w:t>4、</w:t>
        <w:tab/>
        <w:t>钢筋下料必须长度必须符合设计及规范要求，质检员赵顺平</w:t>
      </w:r>
      <w:r>
        <w:rPr>
          <w:spacing w:val="-17"/>
        </w:rPr>
        <w:t>负</w:t>
      </w:r>
      <w:r>
        <w:rPr/>
        <w:t>责随时检查。</w:t>
      </w:r>
    </w:p>
    <w:p>
      <w:pPr>
        <w:pStyle w:val="BodyText"/>
        <w:tabs>
          <w:tab w:pos="1220" w:val="left" w:leader="none"/>
        </w:tabs>
        <w:spacing w:line="362" w:lineRule="auto" w:before="3"/>
        <w:ind w:left="1220" w:right="404" w:hanging="1080"/>
      </w:pPr>
      <w:r>
        <w:rPr/>
        <w:t>5、</w:t>
        <w:tab/>
        <w:t>现场钢筋安装必须符合设计及规范要求，质检员赵顺平负责</w:t>
      </w:r>
      <w:r>
        <w:rPr>
          <w:spacing w:val="-17"/>
        </w:rPr>
        <w:t>随</w:t>
      </w:r>
      <w:r>
        <w:rPr/>
        <w:t>时检查。</w:t>
      </w:r>
    </w:p>
    <w:p>
      <w:pPr>
        <w:pStyle w:val="BodyText"/>
        <w:tabs>
          <w:tab w:pos="1220" w:val="left" w:leader="none"/>
        </w:tabs>
        <w:spacing w:before="2"/>
        <w:ind w:left="140"/>
      </w:pPr>
      <w:r>
        <w:rPr/>
        <w:t>6、</w:t>
        <w:tab/>
      </w:r>
      <w:r>
        <w:rPr>
          <w:rFonts w:ascii="幼圆" w:hAnsi="幼圆" w:eastAsia="幼圆" w:hint="eastAsia"/>
          <w:spacing w:val="-26"/>
        </w:rPr>
        <w:t>Φ</w:t>
      </w:r>
      <w:r>
        <w:rPr>
          <w:spacing w:val="-26"/>
        </w:rPr>
        <w:t>18</w:t>
      </w:r>
      <w:r>
        <w:rPr>
          <w:spacing w:val="-16"/>
        </w:rPr>
        <w:t> </w:t>
      </w:r>
      <w:r>
        <w:rPr/>
        <w:t>及以上的钢筋建议采用焊接，以减少钢筋用量。</w:t>
      </w:r>
    </w:p>
    <w:p>
      <w:pPr>
        <w:pStyle w:val="BodyText"/>
        <w:tabs>
          <w:tab w:pos="1220" w:val="left" w:leader="none"/>
        </w:tabs>
        <w:spacing w:before="397"/>
        <w:ind w:left="140"/>
      </w:pPr>
      <w:r>
        <w:rPr/>
        <w:t>7、</w:t>
        <w:tab/>
        <w:t>钢筋班组有以下行为项目部将处于</w:t>
      </w:r>
      <w:r>
        <w:rPr>
          <w:spacing w:val="-37"/>
        </w:rPr>
        <w:t> </w:t>
      </w:r>
      <w:r>
        <w:rPr/>
        <w:t>100~500</w:t>
      </w:r>
      <w:r>
        <w:rPr>
          <w:spacing w:val="-20"/>
        </w:rPr>
        <w:t> </w:t>
      </w:r>
      <w:r>
        <w:rPr/>
        <w:t>罚款：</w:t>
      </w:r>
    </w:p>
    <w:p>
      <w:pPr>
        <w:pStyle w:val="ListParagraph"/>
        <w:numPr>
          <w:ilvl w:val="1"/>
          <w:numId w:val="4"/>
        </w:numPr>
        <w:tabs>
          <w:tab w:pos="2031" w:val="left" w:leader="none"/>
        </w:tabs>
        <w:spacing w:line="240" w:lineRule="auto" w:before="396" w:after="0"/>
        <w:ind w:left="2030" w:right="0" w:hanging="1261"/>
        <w:jc w:val="left"/>
        <w:rPr>
          <w:sz w:val="42"/>
        </w:rPr>
      </w:pPr>
      <w:r>
        <w:rPr>
          <w:sz w:val="42"/>
        </w:rPr>
        <w:t>下料长度不准确</w:t>
      </w:r>
    </w:p>
    <w:p>
      <w:pPr>
        <w:pStyle w:val="ListParagraph"/>
        <w:numPr>
          <w:ilvl w:val="1"/>
          <w:numId w:val="4"/>
        </w:numPr>
        <w:tabs>
          <w:tab w:pos="2031" w:val="left" w:leader="none"/>
        </w:tabs>
        <w:spacing w:line="240" w:lineRule="auto" w:before="395" w:after="0"/>
        <w:ind w:left="2030" w:right="0" w:hanging="1261"/>
        <w:jc w:val="left"/>
        <w:rPr>
          <w:sz w:val="42"/>
        </w:rPr>
      </w:pPr>
      <w:r>
        <w:rPr>
          <w:sz w:val="42"/>
        </w:rPr>
        <w:t>不按设计及规范要求进行帮扎，少筋或多筋</w:t>
      </w:r>
    </w:p>
    <w:p>
      <w:pPr>
        <w:pStyle w:val="ListParagraph"/>
        <w:numPr>
          <w:ilvl w:val="1"/>
          <w:numId w:val="4"/>
        </w:numPr>
        <w:tabs>
          <w:tab w:pos="2031" w:val="left" w:leader="none"/>
        </w:tabs>
        <w:spacing w:line="240" w:lineRule="auto" w:before="396" w:after="0"/>
        <w:ind w:left="2030" w:right="0" w:hanging="1261"/>
        <w:jc w:val="left"/>
        <w:rPr>
          <w:sz w:val="42"/>
        </w:rPr>
      </w:pPr>
      <w:r>
        <w:rPr>
          <w:sz w:val="42"/>
        </w:rPr>
        <w:t>钢筋安装完毕后，现场未作到到“三清六好”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header="0" w:footer="1846" w:top="2420" w:bottom="2040" w:left="2560" w:right="2300"/>
        </w:sectPr>
      </w:pPr>
    </w:p>
    <w:p>
      <w:pPr>
        <w:pStyle w:val="BodyText"/>
        <w:tabs>
          <w:tab w:pos="1220" w:val="left" w:leader="none"/>
        </w:tabs>
        <w:spacing w:line="743" w:lineRule="exact"/>
        <w:ind w:left="140"/>
      </w:pPr>
      <w:r>
        <w:rPr/>
        <w:t>8、</w:t>
        <w:tab/>
        <w:t>各班组不得随意切割钢筋整料，施工中使用的顶棍、拉结筋优</w:t>
      </w:r>
    </w:p>
    <w:p>
      <w:pPr>
        <w:pStyle w:val="BodyText"/>
        <w:spacing w:before="396"/>
        <w:ind w:left="1220"/>
      </w:pPr>
      <w:r>
        <w:rPr/>
        <w:t>先从废料中截取。</w:t>
      </w:r>
    </w:p>
    <w:p>
      <w:pPr>
        <w:pStyle w:val="BodyText"/>
        <w:tabs>
          <w:tab w:pos="1220" w:val="left" w:leader="none"/>
        </w:tabs>
        <w:spacing w:line="362" w:lineRule="auto" w:before="396"/>
        <w:ind w:left="1220" w:right="404" w:hanging="1080"/>
      </w:pPr>
      <w:r>
        <w:rPr/>
        <w:t>9、</w:t>
        <w:tab/>
        <w:t>钢筋用量如在无变更情况下超出公司预算，各班组又无正当</w:t>
      </w:r>
      <w:r>
        <w:rPr>
          <w:spacing w:val="-17"/>
        </w:rPr>
        <w:t>原</w:t>
      </w:r>
      <w:r>
        <w:rPr/>
        <w:t>因的，超出部分由各班组全部负担。</w:t>
      </w:r>
    </w:p>
    <w:p>
      <w:pPr>
        <w:pStyle w:val="BodyText"/>
        <w:spacing w:before="11"/>
        <w:rPr>
          <w:sz w:val="63"/>
        </w:rPr>
      </w:pPr>
    </w:p>
    <w:p>
      <w:pPr>
        <w:pStyle w:val="BodyText"/>
        <w:spacing w:before="1"/>
        <w:ind w:left="140"/>
      </w:pPr>
      <w:r>
        <w:rPr/>
        <w:t>负责人：</w:t>
      </w:r>
    </w:p>
    <w:p>
      <w:pPr>
        <w:pStyle w:val="BodyText"/>
        <w:spacing w:before="1"/>
        <w:rPr>
          <w:sz w:val="72"/>
        </w:rPr>
      </w:pPr>
    </w:p>
    <w:p>
      <w:pPr>
        <w:pStyle w:val="Heading1"/>
      </w:pPr>
      <w:r>
        <w:rPr/>
        <w:t>五、施工木材控制措施</w:t>
      </w:r>
    </w:p>
    <w:p>
      <w:pPr>
        <w:pStyle w:val="BodyText"/>
        <w:spacing w:line="362" w:lineRule="auto" w:before="412"/>
        <w:ind w:left="140" w:right="220"/>
      </w:pPr>
      <w:r>
        <w:rPr/>
        <w:t>针对本工程结构特点、及施工工艺，经项目部研究决定，对木方施工用量特采取如下措施：</w:t>
      </w:r>
    </w:p>
    <w:p>
      <w:pPr>
        <w:pStyle w:val="BodyText"/>
        <w:spacing w:line="362" w:lineRule="auto" w:before="2"/>
        <w:ind w:left="979" w:right="393" w:hanging="839"/>
        <w:jc w:val="both"/>
      </w:pPr>
      <w:r>
        <w:rPr/>
        <w:t>1、根据规范混凝土的强度曲线图，并结合本工程的模板施工方案， 大量使用木方的 顶板工程，用木方及竹胶板支设。一次性配制三层顶模，循环使用。</w:t>
      </w:r>
    </w:p>
    <w:p>
      <w:pPr>
        <w:pStyle w:val="BodyText"/>
        <w:spacing w:line="362" w:lineRule="auto" w:before="3"/>
        <w:ind w:left="979" w:right="224" w:hanging="839"/>
        <w:jc w:val="both"/>
      </w:pPr>
      <w:r>
        <w:rPr/>
        <w:t>2、木工作业班组在配制模板时，认真熟悉施工图纸，书面写出配模方案，报项目部审批，项目部主观木工工长，项目部其主管工长审查作业班组配模方案是否切实可行。</w:t>
      </w:r>
    </w:p>
    <w:p>
      <w:pPr>
        <w:pStyle w:val="BodyText"/>
        <w:spacing w:line="362" w:lineRule="auto" w:before="4"/>
        <w:ind w:left="680" w:right="391" w:hanging="540"/>
        <w:jc w:val="both"/>
      </w:pPr>
      <w:r>
        <w:rPr/>
        <w:t>3</w:t>
      </w:r>
      <w:r>
        <w:rPr>
          <w:spacing w:val="-8"/>
        </w:rPr>
        <w:t>、  配制顶模时所用的木方在其房间位置编号使用，以便在循环使</w:t>
      </w:r>
      <w:r>
        <w:rPr/>
        <w:t>用时用于相对应的位置。防止长料锯短，造成木方浪费现象。</w:t>
      </w:r>
    </w:p>
    <w:p>
      <w:pPr>
        <w:spacing w:after="0" w:line="362" w:lineRule="auto"/>
        <w:jc w:val="both"/>
        <w:sectPr>
          <w:pgSz w:w="17860" w:h="25260"/>
          <w:pgMar w:header="0" w:footer="1846" w:top="1400" w:bottom="2040" w:left="2560" w:right="2300"/>
        </w:sectPr>
      </w:pPr>
    </w:p>
    <w:p>
      <w:pPr>
        <w:pStyle w:val="BodyText"/>
        <w:tabs>
          <w:tab w:pos="1400" w:val="left" w:leader="none"/>
        </w:tabs>
        <w:spacing w:line="743" w:lineRule="exact"/>
        <w:ind w:left="140"/>
      </w:pPr>
      <w:r>
        <w:rPr/>
        <w:t>4、</w:t>
        <w:tab/>
        <w:t>木工在循环使用模板时</w:t>
      </w:r>
      <w:r>
        <w:rPr>
          <w:spacing w:val="-84"/>
        </w:rPr>
        <w:t>，</w:t>
      </w:r>
      <w:r>
        <w:rPr/>
        <w:t>在没有经项目部同意情况下</w:t>
      </w:r>
      <w:r>
        <w:rPr>
          <w:spacing w:val="-87"/>
        </w:rPr>
        <w:t>，</w:t>
      </w:r>
      <w:r>
        <w:rPr/>
        <w:t>不得随</w:t>
      </w:r>
    </w:p>
    <w:p>
      <w:pPr>
        <w:pStyle w:val="BodyText"/>
        <w:spacing w:before="396"/>
        <w:ind w:left="680"/>
      </w:pPr>
      <w:r>
        <w:rPr/>
        <w:t>意动用电锯切割木料。减少不必要的浪费。</w:t>
      </w:r>
    </w:p>
    <w:p>
      <w:pPr>
        <w:pStyle w:val="BodyText"/>
        <w:tabs>
          <w:tab w:pos="1400" w:val="left" w:leader="none"/>
        </w:tabs>
        <w:spacing w:line="362" w:lineRule="auto" w:before="396"/>
        <w:ind w:left="680" w:right="398" w:hanging="540"/>
      </w:pPr>
      <w:r>
        <w:rPr/>
        <w:t>5、</w:t>
        <w:tab/>
        <w:t>二次结构一次性配制两层模板来进行施工作业</w:t>
      </w:r>
      <w:r>
        <w:rPr>
          <w:spacing w:val="-99"/>
        </w:rPr>
        <w:t>，</w:t>
      </w:r>
      <w:r>
        <w:rPr/>
        <w:t>循环使用</w:t>
      </w:r>
      <w:r>
        <w:rPr>
          <w:spacing w:val="-76"/>
        </w:rPr>
        <w:t>，</w:t>
      </w:r>
      <w:r>
        <w:rPr>
          <w:spacing w:val="-16"/>
        </w:rPr>
        <w:t>不</w:t>
      </w:r>
      <w:r>
        <w:rPr/>
        <w:t>在零星配制。</w:t>
      </w:r>
    </w:p>
    <w:p>
      <w:pPr>
        <w:pStyle w:val="BodyText"/>
        <w:tabs>
          <w:tab w:pos="1400" w:val="left" w:leader="none"/>
        </w:tabs>
        <w:spacing w:line="362" w:lineRule="auto" w:before="2"/>
        <w:ind w:left="680" w:right="645" w:hanging="540"/>
      </w:pPr>
      <w:r>
        <w:rPr/>
        <w:t>6、</w:t>
        <w:tab/>
        <w:t>所有周转模板配制完毕，经项目部及施工作业班组签字认</w:t>
      </w:r>
      <w:r>
        <w:rPr>
          <w:spacing w:val="-17"/>
        </w:rPr>
        <w:t>可</w:t>
      </w:r>
      <w:r>
        <w:rPr/>
        <w:t>后，工地不在存放多余的木料。</w:t>
      </w:r>
    </w:p>
    <w:p>
      <w:pPr>
        <w:pStyle w:val="BodyText"/>
        <w:tabs>
          <w:tab w:pos="1400" w:val="left" w:leader="none"/>
        </w:tabs>
        <w:spacing w:line="362" w:lineRule="auto" w:before="3"/>
        <w:ind w:left="680" w:right="224" w:hanging="540"/>
      </w:pPr>
      <w:r>
        <w:rPr/>
        <w:t>7、</w:t>
        <w:tab/>
        <w:t>在周转使用时，木方任意锯割，造成模板浪费，作业时另配</w:t>
      </w:r>
      <w:r>
        <w:rPr>
          <w:spacing w:val="-17"/>
        </w:rPr>
        <w:t>顶</w:t>
      </w:r>
      <w:r>
        <w:rPr/>
        <w:t>模所用的工料费用，有本班组负责。</w:t>
      </w:r>
    </w:p>
    <w:p>
      <w:pPr>
        <w:pStyle w:val="BodyText"/>
        <w:tabs>
          <w:tab w:pos="1400" w:val="left" w:leader="none"/>
        </w:tabs>
        <w:spacing w:before="2"/>
        <w:ind w:left="140"/>
      </w:pPr>
      <w:r>
        <w:rPr/>
        <w:t>8、</w:t>
        <w:tab/>
        <w:t>各班组未按以上方案执行的处于</w:t>
      </w:r>
      <w:r>
        <w:rPr>
          <w:spacing w:val="-33"/>
        </w:rPr>
        <w:t> </w:t>
      </w:r>
      <w:r>
        <w:rPr/>
        <w:t>100~500</w:t>
      </w:r>
      <w:r>
        <w:rPr>
          <w:spacing w:val="-24"/>
        </w:rPr>
        <w:t> </w:t>
      </w:r>
      <w:r>
        <w:rPr/>
        <w:t>罚款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spacing w:line="766" w:lineRule="exact"/>
        <w:ind w:left="140"/>
      </w:pPr>
      <w:r>
        <w:rPr/>
        <w:t>负责人：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pStyle w:val="Heading1"/>
        <w:spacing w:line="955" w:lineRule="exact"/>
      </w:pPr>
      <w:r>
        <w:rPr/>
        <w:t>六、落地灰控制措施</w:t>
      </w:r>
    </w:p>
    <w:p>
      <w:pPr>
        <w:pStyle w:val="ListParagraph"/>
        <w:numPr>
          <w:ilvl w:val="0"/>
          <w:numId w:val="5"/>
        </w:numPr>
        <w:tabs>
          <w:tab w:pos="1311" w:val="left" w:leader="none"/>
        </w:tabs>
        <w:spacing w:line="240" w:lineRule="auto" w:before="412" w:after="0"/>
        <w:ind w:left="1310" w:right="0" w:hanging="541"/>
        <w:jc w:val="left"/>
        <w:rPr>
          <w:sz w:val="42"/>
        </w:rPr>
      </w:pPr>
      <w:r>
        <w:rPr>
          <w:sz w:val="42"/>
        </w:rPr>
        <w:t>混凝土班组每次浇注混凝土，必须有两人专人清理落地灰。</w:t>
      </w:r>
    </w:p>
    <w:p>
      <w:pPr>
        <w:pStyle w:val="ListParagraph"/>
        <w:numPr>
          <w:ilvl w:val="0"/>
          <w:numId w:val="5"/>
        </w:numPr>
        <w:tabs>
          <w:tab w:pos="1311" w:val="left" w:leader="none"/>
        </w:tabs>
        <w:spacing w:line="240" w:lineRule="auto" w:before="396" w:after="0"/>
        <w:ind w:left="1310" w:right="0" w:hanging="541"/>
        <w:jc w:val="left"/>
        <w:rPr>
          <w:sz w:val="42"/>
        </w:rPr>
      </w:pPr>
      <w:r>
        <w:rPr>
          <w:sz w:val="42"/>
        </w:rPr>
        <w:t>清理必须及时，在落地灰初凝前必须清理完毕。</w:t>
      </w:r>
    </w:p>
    <w:p>
      <w:pPr>
        <w:pStyle w:val="ListParagraph"/>
        <w:numPr>
          <w:ilvl w:val="0"/>
          <w:numId w:val="5"/>
        </w:numPr>
        <w:tabs>
          <w:tab w:pos="1311" w:val="left" w:leader="none"/>
        </w:tabs>
        <w:spacing w:line="240" w:lineRule="auto" w:before="396" w:after="0"/>
        <w:ind w:left="1310" w:right="0" w:hanging="541"/>
        <w:jc w:val="left"/>
        <w:rPr>
          <w:sz w:val="42"/>
        </w:rPr>
      </w:pPr>
      <w:r>
        <w:rPr>
          <w:sz w:val="42"/>
        </w:rPr>
        <w:t>如果落地灰没有和土等其他杂物混合应再次使用。</w:t>
      </w:r>
    </w:p>
    <w:p>
      <w:pPr>
        <w:pStyle w:val="ListParagraph"/>
        <w:numPr>
          <w:ilvl w:val="0"/>
          <w:numId w:val="5"/>
        </w:numPr>
        <w:tabs>
          <w:tab w:pos="1311" w:val="left" w:leader="none"/>
        </w:tabs>
        <w:spacing w:line="240" w:lineRule="auto" w:before="396" w:after="0"/>
        <w:ind w:left="1310" w:right="0" w:hanging="541"/>
        <w:jc w:val="left"/>
        <w:rPr>
          <w:sz w:val="42"/>
        </w:rPr>
      </w:pPr>
      <w:r>
        <w:rPr>
          <w:sz w:val="42"/>
        </w:rPr>
        <w:t>清理时应使用混凝土吊斗，塔吊配合作业。</w:t>
      </w:r>
    </w:p>
    <w:p>
      <w:pPr>
        <w:pStyle w:val="ListParagraph"/>
        <w:numPr>
          <w:ilvl w:val="0"/>
          <w:numId w:val="5"/>
        </w:numPr>
        <w:tabs>
          <w:tab w:pos="1311" w:val="left" w:leader="none"/>
        </w:tabs>
        <w:spacing w:line="240" w:lineRule="auto" w:before="396" w:after="0"/>
        <w:ind w:left="1310" w:right="0" w:hanging="541"/>
        <w:jc w:val="left"/>
        <w:rPr>
          <w:sz w:val="42"/>
        </w:rPr>
      </w:pPr>
      <w:r>
        <w:rPr>
          <w:sz w:val="42"/>
        </w:rPr>
        <w:t>大模板上混凝土应必须随浇注随清理。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header="0" w:footer="1846" w:top="1400" w:bottom="2040" w:left="2560" w:right="2300"/>
        </w:sectPr>
      </w:pPr>
    </w:p>
    <w:p>
      <w:pPr>
        <w:pStyle w:val="ListParagraph"/>
        <w:numPr>
          <w:ilvl w:val="0"/>
          <w:numId w:val="5"/>
        </w:numPr>
        <w:tabs>
          <w:tab w:pos="1311" w:val="left" w:leader="none"/>
        </w:tabs>
        <w:spacing w:line="743" w:lineRule="exact" w:before="0" w:after="0"/>
        <w:ind w:left="1310" w:right="0" w:hanging="541"/>
        <w:jc w:val="left"/>
        <w:rPr>
          <w:sz w:val="42"/>
        </w:rPr>
      </w:pPr>
      <w:r>
        <w:rPr>
          <w:sz w:val="42"/>
        </w:rPr>
        <w:t>抹灰及砌砖过程中的落地灰，抹灰工及瓦工必须边作业边清</w:t>
      </w:r>
    </w:p>
    <w:p>
      <w:pPr>
        <w:pStyle w:val="BodyText"/>
        <w:spacing w:before="396"/>
        <w:ind w:left="1310"/>
      </w:pPr>
      <w:r>
        <w:rPr/>
        <w:t>理。落地灰搅拌均匀后可再次使用。</w:t>
      </w:r>
    </w:p>
    <w:p>
      <w:pPr>
        <w:pStyle w:val="ListParagraph"/>
        <w:numPr>
          <w:ilvl w:val="0"/>
          <w:numId w:val="5"/>
        </w:numPr>
        <w:tabs>
          <w:tab w:pos="1311" w:val="left" w:leader="none"/>
        </w:tabs>
        <w:spacing w:line="240" w:lineRule="auto" w:before="396" w:after="0"/>
        <w:ind w:left="1310" w:right="0" w:hanging="541"/>
        <w:jc w:val="left"/>
        <w:rPr>
          <w:sz w:val="42"/>
        </w:rPr>
      </w:pPr>
      <w:r>
        <w:rPr>
          <w:sz w:val="42"/>
        </w:rPr>
        <w:t>各班组如不按以上规定进行施工项目部将对责任班组处于</w:t>
      </w:r>
    </w:p>
    <w:p>
      <w:pPr>
        <w:pStyle w:val="BodyText"/>
        <w:spacing w:before="396"/>
        <w:ind w:left="1310"/>
      </w:pPr>
      <w:r>
        <w:rPr/>
        <w:t>100~200 罚款。并赔偿材料费用。</w:t>
      </w:r>
    </w:p>
    <w:sectPr>
      <w:pgSz w:w="17860" w:h="25260"/>
      <w:pgMar w:header="0" w:footer="1846" w:top="1400" w:bottom="2040" w:left="2560" w:right="2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微软雅黑">
    <w:altName w:val="微软雅黑"/>
    <w:charset w:val="86"/>
    <w:family w:val="swiss"/>
    <w:pitch w:val="variable"/>
  </w:font>
  <w:font w:name="Arial">
    <w:altName w:val="Arial"/>
    <w:charset w:val="0"/>
    <w:family w:val="swiss"/>
    <w:pitch w:val="variable"/>
  </w:font>
  <w:font w:name="幼圆">
    <w:altName w:val="幼圆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48.289978pt;margin-top:1159.349976pt;width:12.75pt;height:15.75pt;mso-position-horizontal-relative:page;mso-position-vertical-relative:page;z-index:-251879424" type="#_x0000_t202" filled="false" stroked="false">
          <v:textbox inset="0,0,0,0">
            <w:txbxContent>
              <w:p>
                <w:pPr>
                  <w:spacing w:line="277" w:lineRule="exact"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decimal"/>
      <w:lvlText w:val="%1."/>
      <w:lvlJc w:val="left"/>
      <w:pPr>
        <w:ind w:left="1310" w:hanging="540"/>
        <w:jc w:val="left"/>
      </w:pPr>
      <w:rPr>
        <w:rFonts w:hint="default" w:ascii="微软雅黑" w:hAnsi="微软雅黑" w:eastAsia="微软雅黑" w:cs="微软雅黑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48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3" w:hanging="540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220" w:hanging="1080"/>
        <w:jc w:val="left"/>
      </w:pPr>
      <w:rPr>
        <w:rFonts w:hint="default" w:ascii="微软雅黑" w:hAnsi="微软雅黑" w:eastAsia="微软雅黑" w:cs="微软雅黑"/>
        <w:spacing w:val="0"/>
        <w:w w:val="100"/>
        <w:sz w:val="42"/>
        <w:szCs w:val="42"/>
      </w:rPr>
    </w:lvl>
    <w:lvl w:ilvl="1">
      <w:start w:val="1"/>
      <w:numFmt w:val="decimal"/>
      <w:lvlText w:val="（%2）"/>
      <w:lvlJc w:val="left"/>
      <w:pPr>
        <w:ind w:left="2030" w:hanging="1260"/>
        <w:jc w:val="left"/>
      </w:pPr>
      <w:rPr>
        <w:rFonts w:hint="default" w:ascii="微软雅黑" w:hAnsi="微软雅黑" w:eastAsia="微软雅黑" w:cs="微软雅黑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257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8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4" w:hanging="1260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680" w:hanging="540"/>
        <w:jc w:val="left"/>
      </w:pPr>
      <w:rPr>
        <w:rFonts w:hint="default" w:ascii="微软雅黑" w:hAnsi="微软雅黑" w:eastAsia="微软雅黑" w:cs="微软雅黑"/>
        <w:spacing w:val="-1"/>
        <w:w w:val="100"/>
        <w:sz w:val="42"/>
        <w:szCs w:val="42"/>
      </w:rPr>
    </w:lvl>
    <w:lvl w:ilvl="1">
      <w:start w:val="1"/>
      <w:numFmt w:val="decimal"/>
      <w:lvlText w:val="（%2）"/>
      <w:lvlJc w:val="left"/>
      <w:pPr>
        <w:ind w:left="2390" w:hanging="1620"/>
        <w:jc w:val="left"/>
      </w:pPr>
      <w:rPr>
        <w:rFonts w:hint="default" w:ascii="微软雅黑" w:hAnsi="微软雅黑" w:eastAsia="微软雅黑" w:cs="微软雅黑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577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5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3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0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8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6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4" w:hanging="1620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（%1）"/>
      <w:lvlJc w:val="left"/>
      <w:pPr>
        <w:ind w:left="2030" w:hanging="1260"/>
        <w:jc w:val="left"/>
      </w:pPr>
      <w:rPr>
        <w:rFonts w:hint="default" w:ascii="微软雅黑" w:hAnsi="微软雅黑" w:eastAsia="微软雅黑" w:cs="微软雅黑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135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7" w:hanging="1260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680" w:hanging="540"/>
        <w:jc w:val="left"/>
      </w:pPr>
      <w:rPr>
        <w:rFonts w:hint="default" w:ascii="微软雅黑" w:hAnsi="微软雅黑" w:eastAsia="微软雅黑" w:cs="微软雅黑"/>
        <w:spacing w:val="-1"/>
        <w:w w:val="100"/>
        <w:sz w:val="42"/>
        <w:szCs w:val="42"/>
      </w:rPr>
    </w:lvl>
    <w:lvl w:ilvl="1">
      <w:start w:val="1"/>
      <w:numFmt w:val="decimal"/>
      <w:lvlText w:val="（%2）"/>
      <w:lvlJc w:val="left"/>
      <w:pPr>
        <w:ind w:left="2030" w:hanging="1260"/>
        <w:jc w:val="left"/>
      </w:pPr>
      <w:rPr>
        <w:rFonts w:hint="default" w:ascii="微软雅黑" w:hAnsi="微软雅黑" w:eastAsia="微软雅黑" w:cs="微软雅黑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257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5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8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4" w:hanging="1260"/>
      </w:pPr>
      <w:rPr>
        <w:rFonts w:hint="default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微软雅黑" w:hAnsi="微软雅黑" w:eastAsia="微软雅黑" w:cs="微软雅黑"/>
    </w:rPr>
  </w:style>
  <w:style w:styleId="BodyText" w:type="paragraph">
    <w:name w:val="Body Text"/>
    <w:basedOn w:val="Normal"/>
    <w:uiPriority w:val="1"/>
    <w:qFormat/>
    <w:pPr/>
    <w:rPr>
      <w:rFonts w:ascii="微软雅黑" w:hAnsi="微软雅黑" w:eastAsia="微软雅黑" w:cs="微软雅黑"/>
      <w:sz w:val="42"/>
      <w:szCs w:val="42"/>
    </w:rPr>
  </w:style>
  <w:style w:styleId="Heading1" w:type="paragraph">
    <w:name w:val="Heading 1"/>
    <w:basedOn w:val="Normal"/>
    <w:uiPriority w:val="1"/>
    <w:qFormat/>
    <w:pPr>
      <w:ind w:left="1274" w:right="1532"/>
      <w:jc w:val="center"/>
      <w:outlineLvl w:val="1"/>
    </w:pPr>
    <w:rPr>
      <w:rFonts w:ascii="微软雅黑" w:hAnsi="微软雅黑" w:eastAsia="微软雅黑" w:cs="微软雅黑"/>
      <w:sz w:val="54"/>
      <w:szCs w:val="54"/>
    </w:rPr>
  </w:style>
  <w:style w:styleId="ListParagraph" w:type="paragraph">
    <w:name w:val="List Paragraph"/>
    <w:basedOn w:val="Normal"/>
    <w:uiPriority w:val="1"/>
    <w:qFormat/>
    <w:pPr>
      <w:spacing w:before="396"/>
      <w:ind w:left="680" w:hanging="541"/>
    </w:pPr>
    <w:rPr>
      <w:rFonts w:ascii="微软雅黑" w:hAnsi="微软雅黑" w:eastAsia="微软雅黑" w:cs="微软雅黑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微软雅黑" w:hAnsi="微软雅黑" w:eastAsia="微软雅黑" w:cs="微软雅黑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2022-03-14T01:23:44Z</dcterms:created>
  <dcterms:modified xsi:type="dcterms:W3CDTF">2022-03-14T01:23:44Z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2022-03-14T00:00:00Z</vt:filetime>
  </property>
</Properties>
</file>