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t>糖皮质</w:t>
      </w:r>
      <w:r>
        <w:rPr>
          <w:rFonts w:hint="eastAsia" w:asciiTheme="minorEastAsia" w:hAnsiTheme="minorEastAsia" w:eastAsiaTheme="minorEastAsia" w:cstheme="minorEastAsia"/>
          <w:b/>
          <w:bCs/>
          <w:color w:val="000000" w:themeColor="text1"/>
          <w:sz w:val="28"/>
          <w:szCs w:val="28"/>
          <w:lang w:val="en-US" w:eastAsia="zh-CN"/>
          <w14:textFill>
            <w14:solidFill>
              <w14:schemeClr w14:val="tx1"/>
            </w14:solidFill>
          </w14:textFill>
        </w:rPr>
        <w:t>激素</w: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t>辅助抗生素用于老年慢阻肺治疗效果分析</w:t>
      </w:r>
    </w:p>
    <w:p>
      <w:pPr>
        <w:spacing w:line="360" w:lineRule="auto"/>
        <w:jc w:val="center"/>
        <w:rPr>
          <w:rFonts w:hint="eastAsia" w:asciiTheme="minorEastAsia" w:hAnsiTheme="minorEastAsia" w:eastAsiaTheme="minorEastAsia" w:cstheme="minorEastAsia"/>
          <w:b/>
          <w:bCs/>
          <w:color w:val="000000" w:themeColor="text1"/>
          <w:sz w:val="21"/>
          <w:szCs w:val="21"/>
          <w14:textFill>
            <w14:solidFill>
              <w14:schemeClr w14:val="tx1"/>
            </w14:solidFill>
          </w14:textFill>
        </w:rPr>
      </w:pPr>
      <w:bookmarkStart w:id="0" w:name="_GoBack"/>
      <w:bookmarkEnd w:id="0"/>
    </w:p>
    <w:p>
      <w:pPr>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摘要：目的：</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分析</w:t>
      </w: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对于老年慢阻肺患者通过联合</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辅助</w:t>
      </w: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应用糖皮质激素及抗生素药物的治疗价值</w:t>
      </w:r>
      <w:r>
        <w:rPr>
          <w:rFonts w:hint="eastAsia" w:asciiTheme="minorEastAsia" w:hAnsiTheme="minorEastAsia" w:eastAsiaTheme="minorEastAsia" w:cstheme="minorEastAsia"/>
          <w:b w:val="0"/>
          <w:bCs w:val="0"/>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1"/>
          <w:szCs w:val="21"/>
          <w14:textFill>
            <w14:solidFill>
              <w14:schemeClr w14:val="tx1"/>
            </w14:solidFill>
          </w14:textFill>
        </w:rPr>
        <w:t>方法：</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样本抽取时间为2022年1月～2023年8月，地点为我院，疾病确诊结果均为</w:t>
      </w: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老年慢阻肺</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样本数量72例，通过随机数字表法分组，即对照组、观察组，各组病例数量均为36例，对照组患者应用抗生素进行治疗，观察组合用糖皮质激素、抗生素治疗，对于2组患者的临床疗效、血气指标、肺功能参数以及药物不良反应率等进行比较。</w:t>
      </w:r>
      <w:r>
        <w:rPr>
          <w:rFonts w:hint="eastAsia" w:asciiTheme="minorEastAsia" w:hAnsiTheme="minorEastAsia" w:eastAsiaTheme="minorEastAsia" w:cstheme="minorEastAsia"/>
          <w:b/>
          <w:bCs/>
          <w:color w:val="000000" w:themeColor="text1"/>
          <w:sz w:val="21"/>
          <w:szCs w:val="21"/>
          <w14:textFill>
            <w14:solidFill>
              <w14:schemeClr w14:val="tx1"/>
            </w14:solidFill>
          </w14:textFill>
        </w:rPr>
        <w:t>结果：</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治疗总有效率组间横向对比中，观察组达到97.22%、对照组83.33%，</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P＜0.05</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auto"/>
          <w:sz w:val="21"/>
          <w:szCs w:val="21"/>
          <w:lang w:val="en-US" w:eastAsia="zh-CN"/>
        </w:rPr>
        <w:t>施</w:t>
      </w:r>
      <w:r>
        <w:rPr>
          <w:rFonts w:hint="eastAsia" w:asciiTheme="minorEastAsia" w:hAnsiTheme="minorEastAsia" w:eastAsiaTheme="minorEastAsia" w:cstheme="minorEastAsia"/>
          <w:color w:val="auto"/>
          <w:sz w:val="21"/>
          <w:szCs w:val="21"/>
          <w:lang w:val="en-US" w:eastAsia="zh-CN"/>
        </w:rPr>
        <w:t>治</w:t>
      </w:r>
      <w:r>
        <w:rPr>
          <w:rFonts w:hint="eastAsia" w:asciiTheme="minorEastAsia" w:hAnsiTheme="minorEastAsia" w:eastAsiaTheme="minorEastAsia" w:cstheme="minorEastAsia"/>
          <w:color w:val="auto"/>
          <w:sz w:val="21"/>
          <w:szCs w:val="21"/>
          <w:lang w:val="en-US" w:eastAsia="zh-CN"/>
        </w:rPr>
        <w:t>前</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、PaCO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 xml:space="preserve">2 </w:t>
      </w:r>
      <w:r>
        <w:rPr>
          <w:rFonts w:hint="eastAsia" w:asciiTheme="minorEastAsia" w:hAnsiTheme="minorEastAsia" w:eastAsiaTheme="minorEastAsia" w:cstheme="minorEastAsia"/>
          <w:color w:val="auto"/>
          <w:sz w:val="21"/>
          <w:szCs w:val="21"/>
          <w:lang w:val="en-US" w:eastAsia="zh-CN"/>
        </w:rPr>
        <w:t>2组横向比较</w:t>
      </w:r>
      <w:r>
        <w:rPr>
          <w:rFonts w:hint="eastAsia" w:asciiTheme="minorEastAsia" w:hAnsiTheme="minorEastAsia" w:eastAsiaTheme="minorEastAsia" w:cstheme="minorEastAsia"/>
          <w:color w:val="auto"/>
          <w:sz w:val="21"/>
          <w:szCs w:val="21"/>
        </w:rPr>
        <w:t>差异</w:t>
      </w:r>
      <w:r>
        <w:rPr>
          <w:rFonts w:hint="eastAsia" w:asciiTheme="minorEastAsia" w:hAnsiTheme="minorEastAsia" w:eastAsiaTheme="minorEastAsia" w:cstheme="minorEastAsia"/>
          <w:color w:val="auto"/>
          <w:sz w:val="21"/>
          <w:szCs w:val="21"/>
          <w:lang w:val="en-US" w:eastAsia="zh-CN"/>
        </w:rPr>
        <w:t>微小</w:t>
      </w:r>
      <w:r>
        <w:rPr>
          <w:rFonts w:hint="eastAsia" w:asciiTheme="minorEastAsia" w:hAnsiTheme="minorEastAsia" w:eastAsiaTheme="minorEastAsia" w:cstheme="minorEastAsia"/>
          <w:color w:val="auto"/>
          <w:sz w:val="21"/>
          <w:szCs w:val="21"/>
        </w:rPr>
        <w:t>P＞0.05，</w:t>
      </w:r>
      <w:r>
        <w:rPr>
          <w:rFonts w:hint="eastAsia" w:asciiTheme="minorEastAsia" w:hAnsiTheme="minorEastAsia" w:eastAsiaTheme="minorEastAsia" w:cstheme="minorEastAsia"/>
          <w:color w:val="auto"/>
          <w:sz w:val="21"/>
          <w:szCs w:val="21"/>
          <w:lang w:val="en-US" w:eastAsia="zh-CN"/>
        </w:rPr>
        <w:t>施</w:t>
      </w:r>
      <w:r>
        <w:rPr>
          <w:rFonts w:hint="eastAsia" w:asciiTheme="minorEastAsia" w:hAnsiTheme="minorEastAsia" w:eastAsiaTheme="minorEastAsia" w:cstheme="minorEastAsia"/>
          <w:color w:val="auto"/>
          <w:sz w:val="21"/>
          <w:szCs w:val="21"/>
          <w:lang w:val="en-US" w:eastAsia="zh-CN"/>
        </w:rPr>
        <w:t>治</w:t>
      </w:r>
      <w:r>
        <w:rPr>
          <w:rFonts w:hint="eastAsia" w:asciiTheme="minorEastAsia" w:hAnsiTheme="minorEastAsia" w:eastAsiaTheme="minorEastAsia" w:cstheme="minorEastAsia"/>
          <w:color w:val="auto"/>
          <w:sz w:val="21"/>
          <w:szCs w:val="21"/>
          <w:lang w:val="en-US" w:eastAsia="zh-CN"/>
        </w:rPr>
        <w:t>后与对照组做横向对比</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2</w:t>
      </w:r>
      <w:r>
        <w:rPr>
          <w:rFonts w:hint="eastAsia" w:asciiTheme="minorEastAsia" w:hAnsiTheme="minorEastAsia" w:eastAsiaTheme="minorEastAsia" w:cstheme="minorEastAsia"/>
          <w:color w:val="auto"/>
          <w:sz w:val="21"/>
          <w:szCs w:val="21"/>
          <w:lang w:val="en-US" w:eastAsia="zh-CN"/>
        </w:rPr>
        <w:t>为</w:t>
      </w:r>
      <w:r>
        <w:rPr>
          <w:rFonts w:hint="eastAsia" w:asciiTheme="minorEastAsia" w:hAnsiTheme="minorEastAsia" w:eastAsiaTheme="minorEastAsia" w:cstheme="minorEastAsia"/>
          <w:color w:val="auto"/>
          <w:sz w:val="21"/>
          <w:szCs w:val="21"/>
        </w:rPr>
        <w:t>观察组</w:t>
      </w:r>
      <w:r>
        <w:rPr>
          <w:rFonts w:hint="eastAsia" w:asciiTheme="minorEastAsia" w:hAnsiTheme="minorEastAsia" w:eastAsiaTheme="minorEastAsia" w:cstheme="minorEastAsia"/>
          <w:color w:val="auto"/>
          <w:sz w:val="21"/>
          <w:szCs w:val="21"/>
          <w:lang w:val="en-US" w:eastAsia="zh-CN"/>
        </w:rPr>
        <w:t>更</w:t>
      </w:r>
      <w:r>
        <w:rPr>
          <w:rFonts w:hint="eastAsia" w:asciiTheme="minorEastAsia" w:hAnsiTheme="minorEastAsia" w:eastAsiaTheme="minorEastAsia" w:cstheme="minorEastAsia"/>
          <w:color w:val="auto"/>
          <w:sz w:val="21"/>
          <w:szCs w:val="21"/>
        </w:rPr>
        <w:t>高</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PaCO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为观察组较低</w:t>
      </w:r>
      <w:r>
        <w:rPr>
          <w:rFonts w:hint="eastAsia" w:asciiTheme="minorEastAsia" w:hAnsiTheme="minorEastAsia" w:eastAsiaTheme="minorEastAsia" w:cstheme="minorEastAsia"/>
          <w:color w:val="auto"/>
          <w:sz w:val="21"/>
          <w:szCs w:val="21"/>
        </w:rPr>
        <w:t>P＜0.05</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施</w:t>
      </w:r>
      <w:r>
        <w:rPr>
          <w:rFonts w:hint="eastAsia" w:asciiTheme="minorEastAsia" w:hAnsiTheme="minorEastAsia" w:eastAsiaTheme="minorEastAsia" w:cstheme="minorEastAsia"/>
          <w:color w:val="auto"/>
          <w:sz w:val="21"/>
          <w:szCs w:val="21"/>
          <w:lang w:val="en-US" w:eastAsia="zh-CN"/>
        </w:rPr>
        <w:t>治</w:t>
      </w:r>
      <w:r>
        <w:rPr>
          <w:rFonts w:hint="eastAsia" w:asciiTheme="minorEastAsia" w:hAnsiTheme="minorEastAsia" w:eastAsiaTheme="minorEastAsia" w:cstheme="minorEastAsia"/>
          <w:color w:val="auto"/>
          <w:sz w:val="21"/>
          <w:szCs w:val="21"/>
          <w:lang w:val="en-US" w:eastAsia="zh-CN"/>
        </w:rPr>
        <w:t>前</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、FVC以及FEV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/FVC </w:t>
      </w:r>
      <w:r>
        <w:rPr>
          <w:rFonts w:hint="eastAsia" w:asciiTheme="minorEastAsia" w:hAnsiTheme="minorEastAsia" w:eastAsiaTheme="minorEastAsia" w:cstheme="minorEastAsia"/>
          <w:color w:val="auto"/>
          <w:sz w:val="21"/>
          <w:szCs w:val="21"/>
          <w:lang w:val="en-US" w:eastAsia="zh-CN"/>
        </w:rPr>
        <w:t>2组横向比较</w:t>
      </w:r>
      <w:r>
        <w:rPr>
          <w:rFonts w:hint="eastAsia" w:asciiTheme="minorEastAsia" w:hAnsiTheme="minorEastAsia" w:eastAsiaTheme="minorEastAsia" w:cstheme="minorEastAsia"/>
          <w:color w:val="auto"/>
          <w:sz w:val="21"/>
          <w:szCs w:val="21"/>
        </w:rPr>
        <w:t>差异</w:t>
      </w:r>
      <w:r>
        <w:rPr>
          <w:rFonts w:hint="eastAsia" w:asciiTheme="minorEastAsia" w:hAnsiTheme="minorEastAsia" w:eastAsiaTheme="minorEastAsia" w:cstheme="minorEastAsia"/>
          <w:color w:val="auto"/>
          <w:sz w:val="21"/>
          <w:szCs w:val="21"/>
          <w:lang w:val="en-US" w:eastAsia="zh-CN"/>
        </w:rPr>
        <w:t>微小</w:t>
      </w:r>
      <w:r>
        <w:rPr>
          <w:rFonts w:hint="eastAsia" w:asciiTheme="minorEastAsia" w:hAnsiTheme="minorEastAsia" w:eastAsiaTheme="minorEastAsia" w:cstheme="minorEastAsia"/>
          <w:color w:val="auto"/>
          <w:sz w:val="21"/>
          <w:szCs w:val="21"/>
        </w:rPr>
        <w:t>P＞0.05，</w:t>
      </w:r>
      <w:r>
        <w:rPr>
          <w:rFonts w:hint="eastAsia" w:asciiTheme="minorEastAsia" w:hAnsiTheme="minorEastAsia" w:eastAsiaTheme="minorEastAsia" w:cstheme="minorEastAsia"/>
          <w:color w:val="auto"/>
          <w:sz w:val="21"/>
          <w:szCs w:val="21"/>
          <w:lang w:val="en-US" w:eastAsia="zh-CN"/>
        </w:rPr>
        <w:t>施</w:t>
      </w:r>
      <w:r>
        <w:rPr>
          <w:rFonts w:hint="eastAsia" w:asciiTheme="minorEastAsia" w:hAnsiTheme="minorEastAsia" w:eastAsiaTheme="minorEastAsia" w:cstheme="minorEastAsia"/>
          <w:color w:val="auto"/>
          <w:sz w:val="21"/>
          <w:szCs w:val="21"/>
          <w:lang w:val="en-US" w:eastAsia="zh-CN"/>
        </w:rPr>
        <w:t>治</w:t>
      </w:r>
      <w:r>
        <w:rPr>
          <w:rFonts w:hint="eastAsia" w:asciiTheme="minorEastAsia" w:hAnsiTheme="minorEastAsia" w:eastAsiaTheme="minorEastAsia" w:cstheme="minorEastAsia"/>
          <w:color w:val="auto"/>
          <w:sz w:val="21"/>
          <w:szCs w:val="21"/>
          <w:lang w:val="en-US" w:eastAsia="zh-CN"/>
        </w:rPr>
        <w:t>后与对照组做横向对比</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、FVC、FEV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/FVC</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均</w:t>
      </w:r>
      <w:r>
        <w:rPr>
          <w:rFonts w:hint="eastAsia" w:asciiTheme="minorEastAsia" w:hAnsiTheme="minorEastAsia" w:eastAsiaTheme="minorEastAsia" w:cstheme="minorEastAsia"/>
          <w:color w:val="auto"/>
          <w:sz w:val="21"/>
          <w:szCs w:val="21"/>
          <w:lang w:val="en-US" w:eastAsia="zh-CN"/>
        </w:rPr>
        <w:t>为</w:t>
      </w:r>
      <w:r>
        <w:rPr>
          <w:rFonts w:hint="eastAsia" w:asciiTheme="minorEastAsia" w:hAnsiTheme="minorEastAsia" w:eastAsiaTheme="minorEastAsia" w:cstheme="minorEastAsia"/>
          <w:color w:val="auto"/>
          <w:sz w:val="21"/>
          <w:szCs w:val="21"/>
        </w:rPr>
        <w:t>观察组</w:t>
      </w:r>
      <w:r>
        <w:rPr>
          <w:rFonts w:hint="eastAsia" w:asciiTheme="minorEastAsia" w:hAnsiTheme="minorEastAsia" w:eastAsiaTheme="minorEastAsia" w:cstheme="minorEastAsia"/>
          <w:color w:val="auto"/>
          <w:sz w:val="21"/>
          <w:szCs w:val="21"/>
          <w:lang w:val="en-US" w:eastAsia="zh-CN"/>
        </w:rPr>
        <w:t>更</w:t>
      </w:r>
      <w:r>
        <w:rPr>
          <w:rFonts w:hint="eastAsia" w:asciiTheme="minorEastAsia" w:hAnsiTheme="minorEastAsia" w:eastAsiaTheme="minorEastAsia" w:cstheme="minorEastAsia"/>
          <w:color w:val="auto"/>
          <w:sz w:val="21"/>
          <w:szCs w:val="21"/>
        </w:rPr>
        <w:t>高P＜0.05</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药物不良反应率观察组为5.56%，对照组为2.78%，P＞0.05。</w:t>
      </w:r>
      <w:r>
        <w:rPr>
          <w:rFonts w:hint="eastAsia" w:asciiTheme="minorEastAsia" w:hAnsiTheme="minorEastAsia" w:eastAsiaTheme="minorEastAsia" w:cstheme="minorEastAsia"/>
          <w:b/>
          <w:bCs/>
          <w:color w:val="000000" w:themeColor="text1"/>
          <w:sz w:val="21"/>
          <w:szCs w:val="21"/>
          <w14:textFill>
            <w14:solidFill>
              <w14:schemeClr w14:val="tx1"/>
            </w14:solidFill>
          </w14:textFill>
        </w:rPr>
        <w:t>结论：</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对老年慢阻肺患者通过联合应用糖皮质激素及抗生素药物进行辅助治疗能够显著提升治疗效果，改善患者的血气分析以及肺功能，且安全性良好。</w:t>
      </w:r>
    </w:p>
    <w:p>
      <w:pPr>
        <w:spacing w:line="360" w:lineRule="auto"/>
        <w:jc w:val="left"/>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关键词：慢阻肺</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；老年患者；</w:t>
      </w:r>
      <w:r>
        <w:rPr>
          <w:rFonts w:hint="eastAsia" w:asciiTheme="minorEastAsia" w:hAnsiTheme="minorEastAsia" w:eastAsiaTheme="minorEastAsia" w:cstheme="minorEastAsia"/>
          <w:b/>
          <w:bCs/>
          <w:color w:val="000000" w:themeColor="text1"/>
          <w:sz w:val="21"/>
          <w:szCs w:val="21"/>
          <w14:textFill>
            <w14:solidFill>
              <w14:schemeClr w14:val="tx1"/>
            </w14:solidFill>
          </w14:textFill>
        </w:rPr>
        <w:t>糖皮质</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激素；</w:t>
      </w:r>
      <w:r>
        <w:rPr>
          <w:rFonts w:hint="eastAsia" w:asciiTheme="minorEastAsia" w:hAnsiTheme="minorEastAsia" w:eastAsiaTheme="minorEastAsia" w:cstheme="minorEastAsia"/>
          <w:b/>
          <w:bCs/>
          <w:color w:val="000000" w:themeColor="text1"/>
          <w:sz w:val="21"/>
          <w:szCs w:val="21"/>
          <w14:textFill>
            <w14:solidFill>
              <w14:schemeClr w14:val="tx1"/>
            </w14:solidFill>
          </w14:textFill>
        </w:rPr>
        <w:t>抗生素</w:t>
      </w:r>
      <w: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价值</w:t>
      </w:r>
    </w:p>
    <w:p>
      <w:pPr>
        <w:spacing w:line="360" w:lineRule="auto"/>
        <w:jc w:val="left"/>
        <w:rPr>
          <w:rFonts w:hint="eastAsia" w:asciiTheme="minorEastAsia" w:hAnsiTheme="minorEastAsia" w:eastAsiaTheme="minorEastAsia" w:cstheme="minorEastAsia"/>
          <w:b/>
          <w:bCs/>
          <w:color w:val="000000" w:themeColor="text1"/>
          <w:sz w:val="21"/>
          <w:szCs w:val="21"/>
          <w14:textFill>
            <w14:solidFill>
              <w14:schemeClr w14:val="tx1"/>
            </w14:solidFill>
          </w14:textFill>
        </w:rPr>
      </w:pPr>
    </w:p>
    <w:p>
      <w:pPr>
        <w:spacing w:line="360" w:lineRule="auto"/>
        <w:ind w:firstLine="420" w:firstLineChars="0"/>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慢性阻塞性肺疾病（简称</w:t>
      </w: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慢阻肺</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）好发于老年人群，是十分常见的慢性气道疾病，患者具有持续性的气流受限和诸多的呼吸系统症状表现，近年来慢阻肺已逐渐成为广大老年人群中最为常见的重大慢性疾病之一，所产生的疾病负担十分巨大</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。此疾病的病因复杂，如年龄增长、家族遗传、支气管哮喘病史、肺生长发育不良、气道高反应性、空气污染、病原菌感染等</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，患者具有慢性咳嗽、气短、咳痰、喘息等临床症状表现，尤其是进入急性加重期患者的上述呼吸系统症状加重，甚至可诱发呼吸衰竭等并发症，该疾病的发生严重影响老年人的生活质量</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。目前对于慢阻肺患者主要采用药物治疗，从而缓解或消除患者的呼吸系统症状，改善其肺功能。糖皮质激素具有抗炎、免疫抑制、抗过敏、抗风湿以及抗休克等作用</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，抗生素具有抗细菌感染作用，能够杀菌、抑菌。以下将分析对老年慢阻肺患者通过联合应用糖皮质激素及抗生素进行辅助治疗的临床效果</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p>
      <w:pPr>
        <w:spacing w:line="360" w:lineRule="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1资料</w:t>
      </w:r>
      <w:r>
        <w:rPr>
          <w:rFonts w:hint="eastAsia" w:asciiTheme="minorEastAsia" w:hAnsiTheme="minorEastAsia" w:eastAsiaTheme="minorEastAsia" w:cstheme="minorEastAsia"/>
          <w:b/>
          <w:bCs/>
          <w:color w:val="auto"/>
          <w:sz w:val="21"/>
          <w:szCs w:val="21"/>
          <w:lang w:val="en-US" w:eastAsia="zh-CN"/>
        </w:rPr>
        <w:t>与</w:t>
      </w:r>
      <w:r>
        <w:rPr>
          <w:rFonts w:hint="eastAsia" w:asciiTheme="minorEastAsia" w:hAnsiTheme="minorEastAsia" w:eastAsiaTheme="minorEastAsia" w:cstheme="minorEastAsia"/>
          <w:b/>
          <w:bCs/>
          <w:color w:val="auto"/>
          <w:sz w:val="21"/>
          <w:szCs w:val="21"/>
        </w:rPr>
        <w:t>方法</w:t>
      </w:r>
    </w:p>
    <w:p>
      <w:pPr>
        <w:spacing w:line="360" w:lineRule="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1.1</w:t>
      </w:r>
      <w:r>
        <w:rPr>
          <w:rFonts w:hint="eastAsia" w:asciiTheme="minorEastAsia" w:hAnsiTheme="minorEastAsia" w:eastAsiaTheme="minorEastAsia" w:cstheme="minorEastAsia"/>
          <w:color w:val="auto"/>
          <w:sz w:val="21"/>
          <w:szCs w:val="21"/>
          <w:lang w:val="en-US" w:eastAsia="zh-CN"/>
        </w:rPr>
        <w:t>常规信息</w:t>
      </w:r>
      <w:r>
        <w:rPr>
          <w:rFonts w:hint="eastAsia" w:asciiTheme="minorEastAsia" w:hAnsiTheme="minorEastAsia" w:eastAsiaTheme="minorEastAsia" w:cstheme="minorEastAsia"/>
          <w:color w:val="auto"/>
          <w:sz w:val="21"/>
          <w:szCs w:val="21"/>
        </w:rPr>
        <w:t>资料</w:t>
      </w:r>
    </w:p>
    <w:p>
      <w:pPr>
        <w:spacing w:line="360" w:lineRule="auto"/>
        <w:ind w:firstLine="420" w:firstLineChars="0"/>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样本抽取时间为2022年1月～2023年8月，地点为我院，疾病确诊结果均为</w:t>
      </w: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老年慢阻肺</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样本数量72例，通过随机数字表法分组，即对照组、观察组，各组病例数量均为36例，观察组男、女分别为22例、14例；年龄最低61岁，最高87岁，均值（71.3±8.6）岁；病程最短1年，最长9年，均值（4.3±1.2）年；身体质量指数（BMI）最低17.2kg/m</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，最高32.5kg/m</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，均值（23.6±2.5）kg/m</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。对照组男、女分别为23例、13例；年龄最低60岁，最高88岁，均值（71.4±8.5）岁；病程最短1年，最长8.5年，均值（4.2±1.3）年；BMI最低17.5kg/m</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，最高32.8kg/m</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，均值（23.7±2.4）kg/m</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。2组上述各资料横向对比均差异微小P＞0.05。</w:t>
      </w:r>
    </w:p>
    <w:p>
      <w:pPr>
        <w:spacing w:line="360" w:lineRule="auto"/>
        <w:ind w:firstLine="420" w:firstLineChars="0"/>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纳入标准：（1）患者符合对于慢阻肺的疾病判定准则；（2）患者年龄≥60岁；（3）患者对本研究方案知悉且征得知情同意；（4）入组前2周内未应用糖皮质激素药物、抗生素药物进行治疗；（5）治疗依从性良好，且临床资料齐备。排除标准：（1）罹患肺癌等相关恶性肿瘤疾病者；（2）具有肝、肾、心等重要脏器功能病变者；（3）罹患精神疾病，或存在神志不清、视听障碍、语言沟通障碍者；（4）研究中途转院或退出者；（5）对研究中所纳入药物有应用禁忌症者。</w:t>
      </w:r>
    </w:p>
    <w:p>
      <w:pPr>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1.2方法</w:t>
      </w:r>
    </w:p>
    <w:p>
      <w:pPr>
        <w:spacing w:line="360" w:lineRule="auto"/>
        <w:ind w:firstLine="420" w:firstLineChars="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组患者均给予常规治疗，例如平喘、止咳、解痉以及化痰等，并提供低流量吸氧，在患者病情稳定且能够耐受的状态下指导其进行呼吸功能锻炼等。在此常规治疗基础上，对照组患者应用抗生素进行治疗，即头孢呋辛钠实施静脉滴注治疗，2.0g/次，将其与0.9%氯化钠溶液100ml混匀后进行静脉滴注给药，2次/天；观察组合用糖皮质激素、抗生素治疗，其中抗生素的药物种类及具体用法均同对照组。进一步给予泼尼松、地塞米松进行治疗，其中。泼尼松为15mg/次，每日口服2次；地塞米松实施静脉滴注，5.0mg/次，将其与5%葡萄糖溶液500ml混匀后实施静脉滴注给药。2组均于治疗1周后评估疗效。</w:t>
      </w:r>
    </w:p>
    <w:p>
      <w:pPr>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1.3</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评价规范</w:t>
      </w:r>
    </w:p>
    <w:p>
      <w:pPr>
        <w:spacing w:line="360" w:lineRule="auto"/>
        <w:ind w:firstLine="420" w:firstLineChars="0"/>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评估2组患者的治疗效果，显效：患者的咳嗽、咳痰、呼吸困难等症状表现消失，肺功能以及血清实验室复查结果等明显改善，达到或趋近正常；有效：患者的症状明显改善，相关复查结果有所恢复；无效：患者病情未改善，甚至进一步加重。（2）记录2组患者血气分析指标在治疗前后的变化，包括动脉血氧分压（Pa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）和二氧化碳分压（PaCO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）。（3）对比2组患者的肺功能参数指标，包括第1秒用力呼气容积（FEV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）、用力肺活量和（FVC）以及FEV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/FVC。（4）记录2组患者的用药不良反应，如头痛头晕、恶心、皮疹、发热、嗜睡等。</w:t>
      </w:r>
    </w:p>
    <w:p>
      <w:pPr>
        <w:spacing w:line="360" w:lineRule="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1.4统计学分析</w:t>
      </w:r>
    </w:p>
    <w:p>
      <w:pPr>
        <w:spacing w:line="360" w:lineRule="auto"/>
        <w:ind w:firstLine="42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color w:val="auto"/>
          <w:sz w:val="21"/>
          <w:szCs w:val="21"/>
        </w:rPr>
        <w:t>文中</w:t>
      </w:r>
      <w:r>
        <w:rPr>
          <w:rFonts w:hint="eastAsia" w:asciiTheme="minorEastAsia" w:hAnsiTheme="minorEastAsia" w:eastAsiaTheme="minorEastAsia" w:cstheme="minorEastAsia"/>
          <w:color w:val="auto"/>
          <w:sz w:val="21"/>
          <w:szCs w:val="21"/>
          <w:lang w:val="en-US" w:eastAsia="zh-CN"/>
        </w:rPr>
        <w:t>所涉及</w:t>
      </w:r>
      <w:r>
        <w:rPr>
          <w:rFonts w:hint="eastAsia" w:asciiTheme="minorEastAsia" w:hAnsiTheme="minorEastAsia" w:eastAsiaTheme="minorEastAsia" w:cstheme="minorEastAsia"/>
          <w:color w:val="auto"/>
          <w:sz w:val="21"/>
          <w:szCs w:val="21"/>
        </w:rPr>
        <w:t>数据均</w:t>
      </w:r>
      <w:r>
        <w:rPr>
          <w:rFonts w:hint="eastAsia" w:asciiTheme="minorEastAsia" w:hAnsiTheme="minorEastAsia" w:eastAsiaTheme="minorEastAsia" w:cstheme="minorEastAsia"/>
          <w:color w:val="auto"/>
          <w:sz w:val="21"/>
          <w:szCs w:val="21"/>
          <w:lang w:val="en-US" w:eastAsia="zh-CN"/>
        </w:rPr>
        <w:t>利用</w:t>
      </w:r>
      <w:r>
        <w:rPr>
          <w:rFonts w:hint="eastAsia" w:asciiTheme="minorEastAsia" w:hAnsiTheme="minorEastAsia" w:eastAsiaTheme="minorEastAsia" w:cstheme="minorEastAsia"/>
          <w:color w:val="auto"/>
          <w:sz w:val="21"/>
          <w:szCs w:val="21"/>
        </w:rPr>
        <w:t>SPSS22.0分析，</w:t>
      </w:r>
      <w:r>
        <w:rPr>
          <w:rFonts w:hint="eastAsia" w:asciiTheme="minorEastAsia" w:hAnsiTheme="minorEastAsia" w:eastAsiaTheme="minorEastAsia" w:cstheme="minorEastAsia"/>
          <w:color w:val="auto"/>
          <w:sz w:val="21"/>
          <w:szCs w:val="21"/>
          <w:lang w:val="en-US" w:eastAsia="zh-CN"/>
        </w:rPr>
        <w:t>文中</w:t>
      </w:r>
      <w:r>
        <w:rPr>
          <w:rFonts w:hint="eastAsia" w:asciiTheme="minorEastAsia" w:hAnsiTheme="minorEastAsia" w:eastAsiaTheme="minorEastAsia" w:cstheme="minorEastAsia"/>
          <w:color w:val="auto"/>
          <w:sz w:val="21"/>
          <w:szCs w:val="21"/>
        </w:rPr>
        <w:t>计量资料</w:t>
      </w:r>
      <w:r>
        <w:rPr>
          <w:rFonts w:hint="eastAsia" w:asciiTheme="minorEastAsia" w:hAnsiTheme="minorEastAsia" w:eastAsiaTheme="minorEastAsia" w:cstheme="minorEastAsia"/>
          <w:color w:val="auto"/>
          <w:sz w:val="21"/>
          <w:szCs w:val="21"/>
          <w:lang w:val="en-US" w:eastAsia="zh-CN"/>
        </w:rPr>
        <w:t>所涉及的</w:t>
      </w:r>
      <w:r>
        <w:rPr>
          <w:rFonts w:hint="eastAsia" w:asciiTheme="minorEastAsia" w:hAnsiTheme="minorEastAsia" w:eastAsiaTheme="minorEastAsia" w:cstheme="minorEastAsia"/>
          <w:color w:val="auto"/>
          <w:sz w:val="21"/>
          <w:szCs w:val="21"/>
        </w:rPr>
        <w:t>数据标准差</w:t>
      </w:r>
      <w:r>
        <w:rPr>
          <w:rFonts w:hint="eastAsia" w:asciiTheme="minorEastAsia" w:hAnsiTheme="minorEastAsia" w:eastAsiaTheme="minorEastAsia" w:cstheme="minorEastAsia"/>
          <w:color w:val="auto"/>
          <w:sz w:val="21"/>
          <w:szCs w:val="21"/>
          <w:lang w:val="en-US" w:eastAsia="zh-CN"/>
        </w:rPr>
        <w:t>其表示方法为：</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rPr>
        <w:object>
          <v:shape id="_x0000_i1025" o:spt="75" type="#_x0000_t75" style="height:12.7pt;width:10.9pt;" o:ole="t" filled="f" o:preferrelative="t" stroked="f" coordsize="21600,21600">
            <v:path/>
            <v:fill on="f" focussize="0,0"/>
            <v:stroke on="f" joinstyle="miter"/>
            <v:imagedata r:id="rId5" o:title=""/>
            <o:lock v:ext="edit" aspectratio="t"/>
            <w10:wrap type="none"/>
            <w10:anchorlock/>
          </v:shape>
          <o:OLEObject Type="Embed" ProgID="Equation.3" ShapeID="_x0000_i1025" DrawAspect="Content" ObjectID="_1468075725" r:id="rId4">
            <o:LockedField>false</o:LockedField>
          </o:OLEObject>
        </w:object>
      </w:r>
      <w:r>
        <w:rPr>
          <w:rFonts w:hint="eastAsia" w:asciiTheme="minorEastAsia" w:hAnsiTheme="minorEastAsia" w:eastAsiaTheme="minorEastAsia" w:cstheme="minorEastAsia"/>
          <w:color w:val="auto"/>
          <w:sz w:val="21"/>
          <w:szCs w:val="21"/>
        </w:rPr>
        <w:t>±s），</w:t>
      </w:r>
      <w:r>
        <w:rPr>
          <w:rFonts w:hint="eastAsia" w:asciiTheme="minorEastAsia" w:hAnsiTheme="minorEastAsia" w:eastAsiaTheme="minorEastAsia" w:cstheme="minorEastAsia"/>
          <w:color w:val="auto"/>
          <w:sz w:val="21"/>
          <w:szCs w:val="21"/>
          <w:lang w:val="en-US" w:eastAsia="zh-CN"/>
        </w:rPr>
        <w:t>均施以</w:t>
      </w:r>
      <w:r>
        <w:rPr>
          <w:rFonts w:hint="eastAsia" w:asciiTheme="minorEastAsia" w:hAnsiTheme="minorEastAsia" w:eastAsiaTheme="minorEastAsia" w:cstheme="minorEastAsia"/>
          <w:color w:val="auto"/>
          <w:sz w:val="21"/>
          <w:szCs w:val="21"/>
        </w:rPr>
        <w:t>t检验，计数资料</w:t>
      </w:r>
      <w:r>
        <w:rPr>
          <w:rFonts w:hint="eastAsia" w:asciiTheme="minorEastAsia" w:hAnsiTheme="minorEastAsia" w:eastAsiaTheme="minorEastAsia" w:cstheme="minorEastAsia"/>
          <w:color w:val="auto"/>
          <w:sz w:val="21"/>
          <w:szCs w:val="21"/>
          <w:lang w:val="en-US" w:eastAsia="zh-CN"/>
        </w:rPr>
        <w:t>则表示为：</w:t>
      </w:r>
      <w:r>
        <w:rPr>
          <w:rFonts w:hint="eastAsia" w:asciiTheme="minorEastAsia" w:hAnsiTheme="minorEastAsia" w:eastAsiaTheme="minorEastAsia" w:cstheme="minorEastAsia"/>
          <w:color w:val="auto"/>
          <w:sz w:val="21"/>
          <w:szCs w:val="21"/>
        </w:rPr>
        <w:t>[n(%)]，</w:t>
      </w:r>
      <w:r>
        <w:rPr>
          <w:rFonts w:hint="eastAsia" w:asciiTheme="minorEastAsia" w:hAnsiTheme="minorEastAsia" w:eastAsiaTheme="minorEastAsia" w:cstheme="minorEastAsia"/>
          <w:color w:val="auto"/>
          <w:sz w:val="21"/>
          <w:szCs w:val="21"/>
          <w:lang w:val="en-US" w:eastAsia="zh-CN"/>
        </w:rPr>
        <w:t>均施以</w:t>
      </w:r>
      <w:r>
        <w:rPr>
          <w:rFonts w:hint="eastAsia" w:asciiTheme="minorEastAsia" w:hAnsiTheme="minorEastAsia" w:eastAsiaTheme="minorEastAsia" w:cstheme="minorEastAsia"/>
          <w:color w:val="auto"/>
          <w:sz w:val="21"/>
          <w:szCs w:val="21"/>
        </w:rPr>
        <w:t>χ</w:t>
      </w:r>
      <w:r>
        <w:rPr>
          <w:rFonts w:hint="eastAsia" w:asciiTheme="minorEastAsia" w:hAnsiTheme="minorEastAsia" w:eastAsiaTheme="minorEastAsia" w:cstheme="minorEastAsia"/>
          <w:color w:val="auto"/>
          <w:sz w:val="21"/>
          <w:szCs w:val="21"/>
          <w:vertAlign w:val="superscript"/>
        </w:rPr>
        <w:t>2</w:t>
      </w:r>
      <w:r>
        <w:rPr>
          <w:rFonts w:hint="eastAsia" w:asciiTheme="minorEastAsia" w:hAnsiTheme="minorEastAsia" w:eastAsiaTheme="minorEastAsia" w:cstheme="minorEastAsia"/>
          <w:color w:val="auto"/>
          <w:sz w:val="21"/>
          <w:szCs w:val="21"/>
        </w:rPr>
        <w:t>检验，P＜0.05</w:t>
      </w:r>
      <w:r>
        <w:rPr>
          <w:rFonts w:hint="eastAsia" w:asciiTheme="minorEastAsia" w:hAnsiTheme="minorEastAsia" w:eastAsiaTheme="minorEastAsia" w:cstheme="minorEastAsia"/>
          <w:color w:val="auto"/>
          <w:sz w:val="21"/>
          <w:szCs w:val="21"/>
          <w:lang w:val="en-US" w:eastAsia="zh-CN"/>
        </w:rPr>
        <w:t>提示</w:t>
      </w:r>
      <w:r>
        <w:rPr>
          <w:rFonts w:hint="eastAsia" w:asciiTheme="minorEastAsia" w:hAnsiTheme="minorEastAsia" w:eastAsiaTheme="minorEastAsia" w:cstheme="minorEastAsia"/>
          <w:color w:val="auto"/>
          <w:sz w:val="21"/>
          <w:szCs w:val="21"/>
        </w:rPr>
        <w:t>有统计学意义</w:t>
      </w:r>
      <w:r>
        <w:rPr>
          <w:rFonts w:hint="eastAsia" w:asciiTheme="minorEastAsia" w:hAnsiTheme="minorEastAsia" w:eastAsiaTheme="minorEastAsia" w:cstheme="minorEastAsia"/>
          <w:sz w:val="21"/>
          <w:szCs w:val="21"/>
          <w:lang w:val="en-US" w:eastAsia="zh-CN"/>
        </w:rPr>
        <w:t>。</w:t>
      </w:r>
    </w:p>
    <w:p>
      <w:pPr>
        <w:spacing w:line="360" w:lineRule="auto"/>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2结果</w:t>
      </w:r>
    </w:p>
    <w:p>
      <w:pPr>
        <w:spacing w:line="360" w:lineRule="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临床疗效组间横向对比</w:t>
      </w:r>
    </w:p>
    <w:p>
      <w:pPr>
        <w:spacing w:line="360" w:lineRule="auto"/>
        <w:ind w:firstLine="420" w:firstLineChars="0"/>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治疗总有效率组间横向对比中，观察组达到97.22%、对照组83.33%，</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P＜0.05。</w:t>
      </w:r>
    </w:p>
    <w:p>
      <w:pPr>
        <w:spacing w:line="360" w:lineRule="auto"/>
        <w:jc w:val="cente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表</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1</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 xml:space="preserve"> 临床疗效组间横向对比[n(%)]</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1426"/>
        <w:gridCol w:w="1425"/>
        <w:gridCol w:w="1426"/>
        <w:gridCol w:w="1418"/>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Borders>
              <w:top w:val="single" w:color="auto" w:sz="12" w:space="0"/>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分组</w:t>
            </w:r>
          </w:p>
        </w:tc>
        <w:tc>
          <w:tcPr>
            <w:tcW w:w="1426" w:type="dxa"/>
            <w:tcBorders>
              <w:top w:val="single" w:color="auto" w:sz="12" w:space="0"/>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n</w:t>
            </w:r>
          </w:p>
        </w:tc>
        <w:tc>
          <w:tcPr>
            <w:tcW w:w="1425" w:type="dxa"/>
            <w:tcBorders>
              <w:top w:val="single" w:color="auto" w:sz="12" w:space="0"/>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显效</w:t>
            </w:r>
          </w:p>
        </w:tc>
        <w:tc>
          <w:tcPr>
            <w:tcW w:w="1426" w:type="dxa"/>
            <w:tcBorders>
              <w:top w:val="single" w:color="auto" w:sz="12" w:space="0"/>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有效</w:t>
            </w:r>
          </w:p>
        </w:tc>
        <w:tc>
          <w:tcPr>
            <w:tcW w:w="1418" w:type="dxa"/>
            <w:tcBorders>
              <w:top w:val="single" w:color="auto" w:sz="12" w:space="0"/>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无效</w:t>
            </w:r>
          </w:p>
        </w:tc>
        <w:tc>
          <w:tcPr>
            <w:tcW w:w="1402" w:type="dxa"/>
            <w:tcBorders>
              <w:top w:val="single" w:color="auto" w:sz="12" w:space="0"/>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总有效率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观察组</w:t>
            </w:r>
          </w:p>
        </w:tc>
        <w:tc>
          <w:tcPr>
            <w:tcW w:w="1426"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36</w:t>
            </w:r>
          </w:p>
        </w:tc>
        <w:tc>
          <w:tcPr>
            <w:tcW w:w="1425"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21（58.33）</w:t>
            </w:r>
          </w:p>
        </w:tc>
        <w:tc>
          <w:tcPr>
            <w:tcW w:w="1426"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14（38.89）</w:t>
            </w:r>
          </w:p>
        </w:tc>
        <w:tc>
          <w:tcPr>
            <w:tcW w:w="1418"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1（2.78）</w:t>
            </w:r>
          </w:p>
        </w:tc>
        <w:tc>
          <w:tcPr>
            <w:tcW w:w="1402"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35（97.22）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对照组</w:t>
            </w:r>
          </w:p>
        </w:tc>
        <w:tc>
          <w:tcPr>
            <w:tcW w:w="1426"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36</w:t>
            </w:r>
          </w:p>
        </w:tc>
        <w:tc>
          <w:tcPr>
            <w:tcW w:w="1425"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13（36.11）</w:t>
            </w:r>
          </w:p>
        </w:tc>
        <w:tc>
          <w:tcPr>
            <w:tcW w:w="1426"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17（47.22）</w:t>
            </w:r>
          </w:p>
        </w:tc>
        <w:tc>
          <w:tcPr>
            <w:tcW w:w="1418"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6（16.67）</w:t>
            </w:r>
          </w:p>
        </w:tc>
        <w:tc>
          <w:tcPr>
            <w:tcW w:w="1402"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30（83.33）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r>
              <w:rPr>
                <w:rFonts w:hint="eastAsia" w:asciiTheme="minorEastAsia" w:hAnsiTheme="minorEastAsia" w:eastAsiaTheme="minorEastAsia" w:cstheme="minorEastAsia"/>
                <w:color w:val="000000"/>
                <w:sz w:val="21"/>
                <w:szCs w:val="21"/>
              </w:rPr>
              <w:t>χ</w:t>
            </w:r>
            <w:r>
              <w:rPr>
                <w:rFonts w:hint="eastAsia" w:asciiTheme="minorEastAsia" w:hAnsiTheme="minorEastAsia" w:eastAsiaTheme="minorEastAsia" w:cstheme="minorEastAsia"/>
                <w:color w:val="000000"/>
                <w:sz w:val="21"/>
                <w:szCs w:val="21"/>
                <w:vertAlign w:val="superscript"/>
              </w:rPr>
              <w:t>2</w:t>
            </w:r>
            <w:r>
              <w:rPr>
                <w:rFonts w:hint="eastAsia" w:asciiTheme="minorEastAsia" w:hAnsiTheme="minorEastAsia" w:eastAsiaTheme="minorEastAsia" w:cstheme="minorEastAsia"/>
                <w:color w:val="000000"/>
                <w:sz w:val="21"/>
                <w:szCs w:val="21"/>
              </w:rPr>
              <w:t>值</w:t>
            </w:r>
          </w:p>
        </w:tc>
        <w:tc>
          <w:tcPr>
            <w:tcW w:w="1426"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p>
        </w:tc>
        <w:tc>
          <w:tcPr>
            <w:tcW w:w="1425"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9.362</w:t>
            </w:r>
          </w:p>
        </w:tc>
        <w:tc>
          <w:tcPr>
            <w:tcW w:w="1426"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5.036</w:t>
            </w:r>
          </w:p>
        </w:tc>
        <w:tc>
          <w:tcPr>
            <w:tcW w:w="1418"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6.021</w:t>
            </w:r>
          </w:p>
        </w:tc>
        <w:tc>
          <w:tcPr>
            <w:tcW w:w="1402" w:type="dxa"/>
            <w:tcBorders>
              <w:top w:val="nil"/>
              <w:left w:val="nil"/>
              <w:bottom w:val="nil"/>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6.021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Borders>
              <w:top w:val="nil"/>
              <w:left w:val="nil"/>
              <w:bottom w:val="single" w:color="auto" w:sz="12" w:space="0"/>
              <w:right w:val="nil"/>
            </w:tcBorders>
            <w:vAlign w:val="top"/>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r>
              <w:rPr>
                <w:rFonts w:hint="eastAsia" w:asciiTheme="minorEastAsia" w:hAnsiTheme="minorEastAsia" w:eastAsiaTheme="minorEastAsia" w:cstheme="minorEastAsia"/>
                <w:color w:val="000000"/>
                <w:sz w:val="21"/>
                <w:szCs w:val="21"/>
              </w:rPr>
              <w:t>p值</w:t>
            </w:r>
          </w:p>
        </w:tc>
        <w:tc>
          <w:tcPr>
            <w:tcW w:w="1426"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p>
        </w:tc>
        <w:tc>
          <w:tcPr>
            <w:tcW w:w="1425"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0.00</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3</w:t>
            </w:r>
          </w:p>
        </w:tc>
        <w:tc>
          <w:tcPr>
            <w:tcW w:w="1426"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0.0</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21</w:t>
            </w:r>
          </w:p>
        </w:tc>
        <w:tc>
          <w:tcPr>
            <w:tcW w:w="1418"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0.0</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17</w:t>
            </w:r>
          </w:p>
        </w:tc>
        <w:tc>
          <w:tcPr>
            <w:tcW w:w="1402" w:type="dxa"/>
            <w:tcBorders>
              <w:top w:val="nil"/>
              <w:left w:val="nil"/>
              <w:bottom w:val="single" w:color="auto" w:sz="12"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0.0</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17</w:t>
            </w:r>
          </w:p>
        </w:tc>
      </w:tr>
    </w:tbl>
    <w:p>
      <w:pPr>
        <w:spacing w:line="360" w:lineRule="auto"/>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p>
    <w:p>
      <w:pPr>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血气分析指标组间横向对比</w:t>
      </w:r>
    </w:p>
    <w:p>
      <w:pPr>
        <w:spacing w:line="360" w:lineRule="auto"/>
        <w:ind w:firstLine="420"/>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auto"/>
          <w:sz w:val="21"/>
          <w:szCs w:val="21"/>
          <w:lang w:val="en-US" w:eastAsia="zh-CN"/>
        </w:rPr>
        <w:t>施</w:t>
      </w:r>
      <w:r>
        <w:rPr>
          <w:rFonts w:hint="eastAsia" w:asciiTheme="minorEastAsia" w:hAnsiTheme="minorEastAsia" w:eastAsiaTheme="minorEastAsia" w:cstheme="minorEastAsia"/>
          <w:color w:val="auto"/>
          <w:sz w:val="21"/>
          <w:szCs w:val="21"/>
          <w:lang w:val="en-US" w:eastAsia="zh-CN"/>
        </w:rPr>
        <w:t>治</w:t>
      </w:r>
      <w:r>
        <w:rPr>
          <w:rFonts w:hint="eastAsia" w:asciiTheme="minorEastAsia" w:hAnsiTheme="minorEastAsia" w:eastAsiaTheme="minorEastAsia" w:cstheme="minorEastAsia"/>
          <w:color w:val="auto"/>
          <w:sz w:val="21"/>
          <w:szCs w:val="21"/>
          <w:lang w:val="en-US" w:eastAsia="zh-CN"/>
        </w:rPr>
        <w:t>前</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、PaCO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 xml:space="preserve">2 </w:t>
      </w:r>
      <w:r>
        <w:rPr>
          <w:rFonts w:hint="eastAsia" w:asciiTheme="minorEastAsia" w:hAnsiTheme="minorEastAsia" w:eastAsiaTheme="minorEastAsia" w:cstheme="minorEastAsia"/>
          <w:color w:val="auto"/>
          <w:sz w:val="21"/>
          <w:szCs w:val="21"/>
          <w:lang w:val="en-US" w:eastAsia="zh-CN"/>
        </w:rPr>
        <w:t>2组横向比较</w:t>
      </w:r>
      <w:r>
        <w:rPr>
          <w:rFonts w:hint="eastAsia" w:asciiTheme="minorEastAsia" w:hAnsiTheme="minorEastAsia" w:eastAsiaTheme="minorEastAsia" w:cstheme="minorEastAsia"/>
          <w:color w:val="auto"/>
          <w:sz w:val="21"/>
          <w:szCs w:val="21"/>
        </w:rPr>
        <w:t>差异</w:t>
      </w:r>
      <w:r>
        <w:rPr>
          <w:rFonts w:hint="eastAsia" w:asciiTheme="minorEastAsia" w:hAnsiTheme="minorEastAsia" w:eastAsiaTheme="minorEastAsia" w:cstheme="minorEastAsia"/>
          <w:color w:val="auto"/>
          <w:sz w:val="21"/>
          <w:szCs w:val="21"/>
          <w:lang w:val="en-US" w:eastAsia="zh-CN"/>
        </w:rPr>
        <w:t>微小</w:t>
      </w:r>
      <w:r>
        <w:rPr>
          <w:rFonts w:hint="eastAsia" w:asciiTheme="minorEastAsia" w:hAnsiTheme="minorEastAsia" w:eastAsiaTheme="minorEastAsia" w:cstheme="minorEastAsia"/>
          <w:color w:val="auto"/>
          <w:sz w:val="21"/>
          <w:szCs w:val="21"/>
        </w:rPr>
        <w:t>P＞0.05，</w:t>
      </w:r>
      <w:r>
        <w:rPr>
          <w:rFonts w:hint="eastAsia" w:asciiTheme="minorEastAsia" w:hAnsiTheme="minorEastAsia" w:eastAsiaTheme="minorEastAsia" w:cstheme="minorEastAsia"/>
          <w:color w:val="auto"/>
          <w:sz w:val="21"/>
          <w:szCs w:val="21"/>
          <w:lang w:val="en-US" w:eastAsia="zh-CN"/>
        </w:rPr>
        <w:t>施</w:t>
      </w:r>
      <w:r>
        <w:rPr>
          <w:rFonts w:hint="eastAsia" w:asciiTheme="minorEastAsia" w:hAnsiTheme="minorEastAsia" w:eastAsiaTheme="minorEastAsia" w:cstheme="minorEastAsia"/>
          <w:color w:val="auto"/>
          <w:sz w:val="21"/>
          <w:szCs w:val="21"/>
          <w:lang w:val="en-US" w:eastAsia="zh-CN"/>
        </w:rPr>
        <w:t>治</w:t>
      </w:r>
      <w:r>
        <w:rPr>
          <w:rFonts w:hint="eastAsia" w:asciiTheme="minorEastAsia" w:hAnsiTheme="minorEastAsia" w:eastAsiaTheme="minorEastAsia" w:cstheme="minorEastAsia"/>
          <w:color w:val="auto"/>
          <w:sz w:val="21"/>
          <w:szCs w:val="21"/>
          <w:lang w:val="en-US" w:eastAsia="zh-CN"/>
        </w:rPr>
        <w:t>后与对照组做横向对比</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2</w:t>
      </w:r>
      <w:r>
        <w:rPr>
          <w:rFonts w:hint="eastAsia" w:asciiTheme="minorEastAsia" w:hAnsiTheme="minorEastAsia" w:eastAsiaTheme="minorEastAsia" w:cstheme="minorEastAsia"/>
          <w:color w:val="auto"/>
          <w:sz w:val="21"/>
          <w:szCs w:val="21"/>
          <w:lang w:val="en-US" w:eastAsia="zh-CN"/>
        </w:rPr>
        <w:t>为</w:t>
      </w:r>
      <w:r>
        <w:rPr>
          <w:rFonts w:hint="eastAsia" w:asciiTheme="minorEastAsia" w:hAnsiTheme="minorEastAsia" w:eastAsiaTheme="minorEastAsia" w:cstheme="minorEastAsia"/>
          <w:color w:val="auto"/>
          <w:sz w:val="21"/>
          <w:szCs w:val="21"/>
        </w:rPr>
        <w:t>观察组</w:t>
      </w:r>
      <w:r>
        <w:rPr>
          <w:rFonts w:hint="eastAsia" w:asciiTheme="minorEastAsia" w:hAnsiTheme="minorEastAsia" w:eastAsiaTheme="minorEastAsia" w:cstheme="minorEastAsia"/>
          <w:color w:val="auto"/>
          <w:sz w:val="21"/>
          <w:szCs w:val="21"/>
          <w:lang w:val="en-US" w:eastAsia="zh-CN"/>
        </w:rPr>
        <w:t>更</w:t>
      </w:r>
      <w:r>
        <w:rPr>
          <w:rFonts w:hint="eastAsia" w:asciiTheme="minorEastAsia" w:hAnsiTheme="minorEastAsia" w:eastAsiaTheme="minorEastAsia" w:cstheme="minorEastAsia"/>
          <w:color w:val="auto"/>
          <w:sz w:val="21"/>
          <w:szCs w:val="21"/>
        </w:rPr>
        <w:t>高</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PaCO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为观察组较低</w:t>
      </w:r>
      <w:r>
        <w:rPr>
          <w:rFonts w:hint="eastAsia" w:asciiTheme="minorEastAsia" w:hAnsiTheme="minorEastAsia" w:eastAsiaTheme="minorEastAsia" w:cstheme="minorEastAsia"/>
          <w:color w:val="auto"/>
          <w:sz w:val="21"/>
          <w:szCs w:val="21"/>
        </w:rPr>
        <w:t>P＜0.05</w:t>
      </w:r>
      <w:r>
        <w:rPr>
          <w:rFonts w:hint="eastAsia" w:asciiTheme="minorEastAsia" w:hAnsiTheme="minorEastAsia" w:eastAsiaTheme="minorEastAsia" w:cstheme="minorEastAsia"/>
          <w:color w:val="auto"/>
          <w:sz w:val="21"/>
          <w:szCs w:val="21"/>
        </w:rPr>
        <w:t>。</w:t>
      </w:r>
    </w:p>
    <w:p>
      <w:pPr>
        <w:spacing w:line="360" w:lineRule="auto"/>
        <w:jc w:val="cente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表</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2</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 xml:space="preserve"> 血气分析指标组间横向对比（</w:t>
      </w:r>
      <w:r>
        <w:rPr>
          <w:rFonts w:hint="eastAsia" w:asciiTheme="minorEastAsia" w:hAnsiTheme="minorEastAsia" w:eastAsiaTheme="minorEastAsia" w:cstheme="minorEastAsia"/>
          <w:b/>
          <w:bCs/>
          <w:color w:val="000000"/>
          <w:sz w:val="21"/>
          <w:szCs w:val="21"/>
        </w:rPr>
        <w:object>
          <v:shape id="_x0000_i1027" o:spt="75" type="#_x0000_t75" style="height:12.75pt;width:11.25pt;" o:ole="t" filled="f" o:preferrelative="t" stroked="f" coordsize="21600,21600">
            <v:path/>
            <v:fill on="f" focussize="0,0"/>
            <v:stroke on="f" joinstyle="miter"/>
            <v:imagedata r:id="rId5" o:title=""/>
            <o:lock v:ext="edit" aspectratio="t"/>
            <w10:wrap type="none"/>
            <w10:anchorlock/>
          </v:shape>
          <o:OLEObject Type="Embed" ProgID="Equation.3" ShapeID="_x0000_i1027" DrawAspect="Content" ObjectID="_1468075726" r:id="rId6">
            <o:LockedField>false</o:LockedField>
          </o:OLEObject>
        </w:object>
      </w:r>
      <w:r>
        <w:rPr>
          <w:rFonts w:hint="eastAsia" w:asciiTheme="minorEastAsia" w:hAnsiTheme="minorEastAsia" w:eastAsiaTheme="minorEastAsia" w:cstheme="minorEastAsia"/>
          <w:b/>
          <w:bCs/>
          <w:color w:val="000000"/>
          <w:sz w:val="21"/>
          <w:szCs w:val="21"/>
        </w:rPr>
        <w:t>±s</w:t>
      </w:r>
      <w:r>
        <w:rPr>
          <w:rFonts w:hint="eastAsia" w:asciiTheme="minorEastAsia" w:hAnsiTheme="minorEastAsia" w:eastAsiaTheme="minorEastAsia" w:cstheme="minorEastAsia"/>
          <w:b/>
          <w:bCs/>
          <w:color w:val="000000"/>
          <w:sz w:val="21"/>
          <w:szCs w:val="21"/>
          <w:lang w:eastAsia="zh-CN"/>
        </w:rPr>
        <w:t>，</w:t>
      </w:r>
      <w:r>
        <w:rPr>
          <w:rFonts w:hint="eastAsia" w:asciiTheme="minorEastAsia" w:hAnsiTheme="minorEastAsia" w:eastAsiaTheme="minorEastAsia" w:cstheme="minorEastAsia"/>
          <w:b/>
          <w:bCs/>
          <w:color w:val="000000"/>
          <w:sz w:val="21"/>
          <w:szCs w:val="21"/>
          <w:lang w:val="en-US" w:eastAsia="zh-CN"/>
        </w:rPr>
        <w:t>mmHg</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w:t>
      </w:r>
    </w:p>
    <w:tbl>
      <w:tblPr>
        <w:tblStyle w:val="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7"/>
        <w:gridCol w:w="1427"/>
        <w:gridCol w:w="1427"/>
        <w:gridCol w:w="1432"/>
        <w:gridCol w:w="1406"/>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837" w:type="pct"/>
            <w:vMerge w:val="restart"/>
            <w:tcBorders>
              <w:top w:val="single" w:color="auto" w:sz="12" w:space="0"/>
              <w:left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组别</w:t>
            </w:r>
          </w:p>
        </w:tc>
        <w:tc>
          <w:tcPr>
            <w:tcW w:w="837" w:type="pct"/>
            <w:vMerge w:val="restart"/>
            <w:tcBorders>
              <w:top w:val="single" w:color="auto" w:sz="12" w:space="0"/>
              <w:left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例数</w:t>
            </w:r>
          </w:p>
        </w:tc>
        <w:tc>
          <w:tcPr>
            <w:tcW w:w="1677" w:type="pct"/>
            <w:gridSpan w:val="2"/>
            <w:tcBorders>
              <w:top w:val="single" w:color="auto" w:sz="12"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2</w:t>
            </w:r>
          </w:p>
        </w:tc>
        <w:tc>
          <w:tcPr>
            <w:tcW w:w="1647" w:type="pct"/>
            <w:gridSpan w:val="2"/>
            <w:tcBorders>
              <w:top w:val="single" w:color="auto" w:sz="12"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PaCO</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 xml:space="preserve">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pct"/>
            <w:vMerge w:val="continue"/>
            <w:tcBorders>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p>
        </w:tc>
        <w:tc>
          <w:tcPr>
            <w:tcW w:w="837" w:type="pct"/>
            <w:vMerge w:val="continue"/>
            <w:tcBorders>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p>
        </w:tc>
        <w:tc>
          <w:tcPr>
            <w:tcW w:w="837" w:type="pct"/>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施治前</w:t>
            </w:r>
          </w:p>
        </w:tc>
        <w:tc>
          <w:tcPr>
            <w:tcW w:w="839" w:type="pct"/>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施治后</w:t>
            </w:r>
          </w:p>
        </w:tc>
        <w:tc>
          <w:tcPr>
            <w:tcW w:w="825" w:type="pct"/>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施治前</w:t>
            </w:r>
          </w:p>
        </w:tc>
        <w:tc>
          <w:tcPr>
            <w:tcW w:w="822" w:type="pct"/>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pct"/>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观察组</w:t>
            </w:r>
          </w:p>
        </w:tc>
        <w:tc>
          <w:tcPr>
            <w:tcW w:w="837" w:type="pct"/>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36</w:t>
            </w:r>
          </w:p>
        </w:tc>
        <w:tc>
          <w:tcPr>
            <w:tcW w:w="837" w:type="pct"/>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69.19±5.37</w:t>
            </w:r>
          </w:p>
        </w:tc>
        <w:tc>
          <w:tcPr>
            <w:tcW w:w="839" w:type="pct"/>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79.96±5.09</w:t>
            </w:r>
          </w:p>
        </w:tc>
        <w:tc>
          <w:tcPr>
            <w:tcW w:w="825" w:type="pct"/>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47.26±6.18</w:t>
            </w:r>
          </w:p>
        </w:tc>
        <w:tc>
          <w:tcPr>
            <w:tcW w:w="822" w:type="pct"/>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35.26±1.17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对照组</w:t>
            </w:r>
          </w:p>
        </w:tc>
        <w:tc>
          <w:tcPr>
            <w:tcW w:w="837"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36</w:t>
            </w:r>
          </w:p>
        </w:tc>
        <w:tc>
          <w:tcPr>
            <w:tcW w:w="837"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69.21±5.36</w:t>
            </w:r>
          </w:p>
        </w:tc>
        <w:tc>
          <w:tcPr>
            <w:tcW w:w="839"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75.36±5.17</w:t>
            </w:r>
          </w:p>
        </w:tc>
        <w:tc>
          <w:tcPr>
            <w:tcW w:w="825"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47.25±6.20</w:t>
            </w:r>
          </w:p>
        </w:tc>
        <w:tc>
          <w:tcPr>
            <w:tcW w:w="822"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40.29±2.08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pct"/>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r>
              <w:rPr>
                <w:rFonts w:hint="eastAsia" w:asciiTheme="minorEastAsia" w:hAnsiTheme="minorEastAsia" w:eastAsiaTheme="minorEastAsia" w:cstheme="minorEastAsia"/>
                <w:color w:val="000000"/>
                <w:sz w:val="21"/>
                <w:szCs w:val="21"/>
                <w:lang w:val="en-US" w:eastAsia="zh-CN"/>
              </w:rPr>
              <w:t>t</w:t>
            </w:r>
            <w:r>
              <w:rPr>
                <w:rFonts w:hint="eastAsia" w:asciiTheme="minorEastAsia" w:hAnsiTheme="minorEastAsia" w:eastAsiaTheme="minorEastAsia" w:cstheme="minorEastAsia"/>
                <w:color w:val="000000"/>
                <w:sz w:val="21"/>
                <w:szCs w:val="21"/>
              </w:rPr>
              <w:t>值</w:t>
            </w:r>
          </w:p>
        </w:tc>
        <w:tc>
          <w:tcPr>
            <w:tcW w:w="837"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p>
        </w:tc>
        <w:tc>
          <w:tcPr>
            <w:tcW w:w="837"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0.186</w:t>
            </w:r>
          </w:p>
        </w:tc>
        <w:tc>
          <w:tcPr>
            <w:tcW w:w="839"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6.362</w:t>
            </w:r>
          </w:p>
        </w:tc>
        <w:tc>
          <w:tcPr>
            <w:tcW w:w="825"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0.652</w:t>
            </w:r>
          </w:p>
        </w:tc>
        <w:tc>
          <w:tcPr>
            <w:tcW w:w="822" w:type="pct"/>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7.153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pct"/>
            <w:tcBorders>
              <w:top w:val="nil"/>
              <w:left w:val="nil"/>
              <w:bottom w:val="single" w:color="auto" w:sz="12" w:space="0"/>
              <w:right w:val="nil"/>
            </w:tcBorders>
            <w:vAlign w:val="top"/>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r>
              <w:rPr>
                <w:rFonts w:hint="eastAsia" w:asciiTheme="minorEastAsia" w:hAnsiTheme="minorEastAsia" w:eastAsiaTheme="minorEastAsia" w:cstheme="minorEastAsia"/>
                <w:color w:val="000000"/>
                <w:sz w:val="21"/>
                <w:szCs w:val="21"/>
              </w:rPr>
              <w:t>p值</w:t>
            </w:r>
          </w:p>
        </w:tc>
        <w:tc>
          <w:tcPr>
            <w:tcW w:w="837" w:type="pct"/>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p>
        </w:tc>
        <w:tc>
          <w:tcPr>
            <w:tcW w:w="837" w:type="pct"/>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532</w:t>
            </w:r>
          </w:p>
        </w:tc>
        <w:tc>
          <w:tcPr>
            <w:tcW w:w="839" w:type="pct"/>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0.0</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10</w:t>
            </w:r>
          </w:p>
        </w:tc>
        <w:tc>
          <w:tcPr>
            <w:tcW w:w="825" w:type="pct"/>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0.339</w:t>
            </w:r>
          </w:p>
        </w:tc>
        <w:tc>
          <w:tcPr>
            <w:tcW w:w="822" w:type="pct"/>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0.007</w:t>
            </w:r>
          </w:p>
        </w:tc>
      </w:tr>
    </w:tbl>
    <w:p>
      <w:pPr>
        <w:spacing w:line="360" w:lineRule="auto"/>
        <w:ind w:firstLine="420" w:firstLineChars="0"/>
        <w:jc w:val="left"/>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p>
    <w:p>
      <w:pPr>
        <w:spacing w:line="360" w:lineRule="auto"/>
        <w:jc w:val="left"/>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2.3肺功能参数组间横向对比</w:t>
      </w:r>
    </w:p>
    <w:p>
      <w:pPr>
        <w:spacing w:line="360" w:lineRule="auto"/>
        <w:ind w:firstLine="420"/>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auto"/>
          <w:sz w:val="21"/>
          <w:szCs w:val="21"/>
          <w:lang w:val="en-US" w:eastAsia="zh-CN"/>
        </w:rPr>
        <w:t>施</w:t>
      </w:r>
      <w:r>
        <w:rPr>
          <w:rFonts w:hint="eastAsia" w:asciiTheme="minorEastAsia" w:hAnsiTheme="minorEastAsia" w:eastAsiaTheme="minorEastAsia" w:cstheme="minorEastAsia"/>
          <w:color w:val="auto"/>
          <w:sz w:val="21"/>
          <w:szCs w:val="21"/>
          <w:lang w:val="en-US" w:eastAsia="zh-CN"/>
        </w:rPr>
        <w:t>治</w:t>
      </w:r>
      <w:r>
        <w:rPr>
          <w:rFonts w:hint="eastAsia" w:asciiTheme="minorEastAsia" w:hAnsiTheme="minorEastAsia" w:eastAsiaTheme="minorEastAsia" w:cstheme="minorEastAsia"/>
          <w:color w:val="auto"/>
          <w:sz w:val="21"/>
          <w:szCs w:val="21"/>
          <w:lang w:val="en-US" w:eastAsia="zh-CN"/>
        </w:rPr>
        <w:t>前</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、FVC以及FEV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/FVC </w:t>
      </w:r>
      <w:r>
        <w:rPr>
          <w:rFonts w:hint="eastAsia" w:asciiTheme="minorEastAsia" w:hAnsiTheme="minorEastAsia" w:eastAsiaTheme="minorEastAsia" w:cstheme="minorEastAsia"/>
          <w:color w:val="auto"/>
          <w:sz w:val="21"/>
          <w:szCs w:val="21"/>
          <w:lang w:val="en-US" w:eastAsia="zh-CN"/>
        </w:rPr>
        <w:t>2组横向比较</w:t>
      </w:r>
      <w:r>
        <w:rPr>
          <w:rFonts w:hint="eastAsia" w:asciiTheme="minorEastAsia" w:hAnsiTheme="minorEastAsia" w:eastAsiaTheme="minorEastAsia" w:cstheme="minorEastAsia"/>
          <w:color w:val="auto"/>
          <w:sz w:val="21"/>
          <w:szCs w:val="21"/>
        </w:rPr>
        <w:t>差异</w:t>
      </w:r>
      <w:r>
        <w:rPr>
          <w:rFonts w:hint="eastAsia" w:asciiTheme="minorEastAsia" w:hAnsiTheme="minorEastAsia" w:eastAsiaTheme="minorEastAsia" w:cstheme="minorEastAsia"/>
          <w:color w:val="auto"/>
          <w:sz w:val="21"/>
          <w:szCs w:val="21"/>
          <w:lang w:val="en-US" w:eastAsia="zh-CN"/>
        </w:rPr>
        <w:t>微小</w:t>
      </w:r>
      <w:r>
        <w:rPr>
          <w:rFonts w:hint="eastAsia" w:asciiTheme="minorEastAsia" w:hAnsiTheme="minorEastAsia" w:eastAsiaTheme="minorEastAsia" w:cstheme="minorEastAsia"/>
          <w:color w:val="auto"/>
          <w:sz w:val="21"/>
          <w:szCs w:val="21"/>
        </w:rPr>
        <w:t>P＞0.05，</w:t>
      </w:r>
      <w:r>
        <w:rPr>
          <w:rFonts w:hint="eastAsia" w:asciiTheme="minorEastAsia" w:hAnsiTheme="minorEastAsia" w:eastAsiaTheme="minorEastAsia" w:cstheme="minorEastAsia"/>
          <w:color w:val="auto"/>
          <w:sz w:val="21"/>
          <w:szCs w:val="21"/>
          <w:lang w:val="en-US" w:eastAsia="zh-CN"/>
        </w:rPr>
        <w:t>施</w:t>
      </w:r>
      <w:r>
        <w:rPr>
          <w:rFonts w:hint="eastAsia" w:asciiTheme="minorEastAsia" w:hAnsiTheme="minorEastAsia" w:eastAsiaTheme="minorEastAsia" w:cstheme="minorEastAsia"/>
          <w:color w:val="auto"/>
          <w:sz w:val="21"/>
          <w:szCs w:val="21"/>
          <w:lang w:val="en-US" w:eastAsia="zh-CN"/>
        </w:rPr>
        <w:t>治</w:t>
      </w:r>
      <w:r>
        <w:rPr>
          <w:rFonts w:hint="eastAsia" w:asciiTheme="minorEastAsia" w:hAnsiTheme="minorEastAsia" w:eastAsiaTheme="minorEastAsia" w:cstheme="minorEastAsia"/>
          <w:color w:val="auto"/>
          <w:sz w:val="21"/>
          <w:szCs w:val="21"/>
          <w:lang w:val="en-US" w:eastAsia="zh-CN"/>
        </w:rPr>
        <w:t>后与对照组做横向对比</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、FVC、FEV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/FVC</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均</w:t>
      </w:r>
      <w:r>
        <w:rPr>
          <w:rFonts w:hint="eastAsia" w:asciiTheme="minorEastAsia" w:hAnsiTheme="minorEastAsia" w:eastAsiaTheme="minorEastAsia" w:cstheme="minorEastAsia"/>
          <w:color w:val="auto"/>
          <w:sz w:val="21"/>
          <w:szCs w:val="21"/>
          <w:lang w:val="en-US" w:eastAsia="zh-CN"/>
        </w:rPr>
        <w:t>为</w:t>
      </w:r>
      <w:r>
        <w:rPr>
          <w:rFonts w:hint="eastAsia" w:asciiTheme="minorEastAsia" w:hAnsiTheme="minorEastAsia" w:eastAsiaTheme="minorEastAsia" w:cstheme="minorEastAsia"/>
          <w:color w:val="auto"/>
          <w:sz w:val="21"/>
          <w:szCs w:val="21"/>
        </w:rPr>
        <w:t>观察组</w:t>
      </w:r>
      <w:r>
        <w:rPr>
          <w:rFonts w:hint="eastAsia" w:asciiTheme="minorEastAsia" w:hAnsiTheme="minorEastAsia" w:eastAsiaTheme="minorEastAsia" w:cstheme="minorEastAsia"/>
          <w:color w:val="auto"/>
          <w:sz w:val="21"/>
          <w:szCs w:val="21"/>
          <w:lang w:val="en-US" w:eastAsia="zh-CN"/>
        </w:rPr>
        <w:t>更</w:t>
      </w:r>
      <w:r>
        <w:rPr>
          <w:rFonts w:hint="eastAsia" w:asciiTheme="minorEastAsia" w:hAnsiTheme="minorEastAsia" w:eastAsiaTheme="minorEastAsia" w:cstheme="minorEastAsia"/>
          <w:color w:val="auto"/>
          <w:sz w:val="21"/>
          <w:szCs w:val="21"/>
        </w:rPr>
        <w:t>高P＜0.05</w:t>
      </w:r>
      <w:r>
        <w:rPr>
          <w:rFonts w:hint="eastAsia" w:asciiTheme="minorEastAsia" w:hAnsiTheme="minorEastAsia" w:eastAsiaTheme="minorEastAsia" w:cstheme="minorEastAsia"/>
          <w:color w:val="auto"/>
          <w:sz w:val="21"/>
          <w:szCs w:val="21"/>
        </w:rPr>
        <w:t>。</w:t>
      </w:r>
    </w:p>
    <w:p>
      <w:pPr>
        <w:spacing w:line="360" w:lineRule="auto"/>
        <w:jc w:val="cente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表</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3</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 xml:space="preserve"> 肺功能参数组间横向对比（</w:t>
      </w:r>
      <w:r>
        <w:rPr>
          <w:rFonts w:hint="eastAsia" w:asciiTheme="minorEastAsia" w:hAnsiTheme="minorEastAsia" w:eastAsiaTheme="minorEastAsia" w:cstheme="minorEastAsia"/>
          <w:b/>
          <w:bCs/>
          <w:color w:val="000000"/>
          <w:sz w:val="21"/>
          <w:szCs w:val="21"/>
        </w:rPr>
        <w:object>
          <v:shape id="_x0000_i1028" o:spt="75" type="#_x0000_t75" style="height:12.75pt;width:11.25pt;" o:ole="t" filled="f" o:preferrelative="t" stroked="f" coordsize="21600,21600">
            <v:path/>
            <v:fill on="f" focussize="0,0"/>
            <v:stroke on="f" joinstyle="miter"/>
            <v:imagedata r:id="rId5" o:title=""/>
            <o:lock v:ext="edit" aspectratio="t"/>
            <w10:wrap type="none"/>
            <w10:anchorlock/>
          </v:shape>
          <o:OLEObject Type="Embed" ProgID="Equation.3" ShapeID="_x0000_i1028" DrawAspect="Content" ObjectID="_1468075727" r:id="rId7">
            <o:LockedField>false</o:LockedField>
          </o:OLEObject>
        </w:object>
      </w:r>
      <w:r>
        <w:rPr>
          <w:rFonts w:hint="eastAsia" w:asciiTheme="minorEastAsia" w:hAnsiTheme="minorEastAsia" w:eastAsiaTheme="minorEastAsia" w:cstheme="minorEastAsia"/>
          <w:b/>
          <w:bCs/>
          <w:color w:val="000000"/>
          <w:sz w:val="21"/>
          <w:szCs w:val="21"/>
        </w:rPr>
        <w:t>±s</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1069"/>
        <w:gridCol w:w="1070"/>
        <w:gridCol w:w="1071"/>
        <w:gridCol w:w="1070"/>
        <w:gridCol w:w="1068"/>
        <w:gridCol w:w="1054"/>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1070" w:type="dxa"/>
            <w:vMerge w:val="restart"/>
            <w:tcBorders>
              <w:top w:val="single" w:color="auto" w:sz="12" w:space="0"/>
              <w:left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组别</w:t>
            </w:r>
          </w:p>
        </w:tc>
        <w:tc>
          <w:tcPr>
            <w:tcW w:w="1069" w:type="dxa"/>
            <w:vMerge w:val="restart"/>
            <w:tcBorders>
              <w:top w:val="single" w:color="auto" w:sz="12" w:space="0"/>
              <w:left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例数</w:t>
            </w:r>
          </w:p>
        </w:tc>
        <w:tc>
          <w:tcPr>
            <w:tcW w:w="2141" w:type="dxa"/>
            <w:gridSpan w:val="2"/>
            <w:tcBorders>
              <w:top w:val="single" w:color="auto" w:sz="12"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（L）</w:t>
            </w:r>
          </w:p>
        </w:tc>
        <w:tc>
          <w:tcPr>
            <w:tcW w:w="2138" w:type="dxa"/>
            <w:gridSpan w:val="2"/>
            <w:tcBorders>
              <w:top w:val="single" w:color="auto" w:sz="12"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FVC（L）</w:t>
            </w:r>
          </w:p>
        </w:tc>
        <w:tc>
          <w:tcPr>
            <w:tcW w:w="2104" w:type="dxa"/>
            <w:gridSpan w:val="2"/>
            <w:tcBorders>
              <w:top w:val="single" w:color="auto" w:sz="12"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FEV</w:t>
            </w:r>
            <w:r>
              <w:rPr>
                <w:rFonts w:hint="eastAsia" w:asciiTheme="minorEastAsia" w:hAnsiTheme="minorEastAsia" w:eastAsiaTheme="minorEastAsia" w:cstheme="minorEastAsia"/>
                <w:color w:val="000000" w:themeColor="text1"/>
                <w:sz w:val="21"/>
                <w:szCs w:val="21"/>
                <w:vertAlign w:val="subscript"/>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/FVC（%）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0" w:type="dxa"/>
            <w:vMerge w:val="continue"/>
            <w:tcBorders>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p>
        </w:tc>
        <w:tc>
          <w:tcPr>
            <w:tcW w:w="1069" w:type="dxa"/>
            <w:vMerge w:val="continue"/>
            <w:tcBorders>
              <w:left w:val="nil"/>
              <w:bottom w:val="single" w:color="auto" w:sz="4"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p>
        </w:tc>
        <w:tc>
          <w:tcPr>
            <w:tcW w:w="1070" w:type="dxa"/>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施治前</w:t>
            </w:r>
          </w:p>
        </w:tc>
        <w:tc>
          <w:tcPr>
            <w:tcW w:w="1071" w:type="dxa"/>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施治后</w:t>
            </w:r>
          </w:p>
        </w:tc>
        <w:tc>
          <w:tcPr>
            <w:tcW w:w="1070" w:type="dxa"/>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施治前</w:t>
            </w:r>
          </w:p>
        </w:tc>
        <w:tc>
          <w:tcPr>
            <w:tcW w:w="1068" w:type="dxa"/>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施治后</w:t>
            </w:r>
          </w:p>
        </w:tc>
        <w:tc>
          <w:tcPr>
            <w:tcW w:w="1054" w:type="dxa"/>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施治前</w:t>
            </w:r>
          </w:p>
        </w:tc>
        <w:tc>
          <w:tcPr>
            <w:tcW w:w="1050" w:type="dxa"/>
            <w:tcBorders>
              <w:top w:val="single" w:color="auto" w:sz="4" w:space="0"/>
              <w:left w:val="nil"/>
              <w:bottom w:val="single" w:color="auto" w:sz="4" w:space="0"/>
              <w:right w:val="nil"/>
            </w:tcBorders>
            <w:vAlign w:val="top"/>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施治后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0"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观察组</w:t>
            </w:r>
          </w:p>
        </w:tc>
        <w:tc>
          <w:tcPr>
            <w:tcW w:w="1069"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36</w:t>
            </w:r>
          </w:p>
        </w:tc>
        <w:tc>
          <w:tcPr>
            <w:tcW w:w="1070"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1.18±0.25</w:t>
            </w:r>
          </w:p>
        </w:tc>
        <w:tc>
          <w:tcPr>
            <w:tcW w:w="1071"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1.89±0.23</w:t>
            </w:r>
          </w:p>
        </w:tc>
        <w:tc>
          <w:tcPr>
            <w:tcW w:w="1070"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1.75±0.22</w:t>
            </w:r>
          </w:p>
        </w:tc>
        <w:tc>
          <w:tcPr>
            <w:tcW w:w="1068"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2.56±0.31</w:t>
            </w:r>
          </w:p>
        </w:tc>
        <w:tc>
          <w:tcPr>
            <w:tcW w:w="1054"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51.16±5.09</w:t>
            </w:r>
          </w:p>
        </w:tc>
        <w:tc>
          <w:tcPr>
            <w:tcW w:w="1050" w:type="dxa"/>
            <w:tcBorders>
              <w:top w:val="single" w:color="auto" w:sz="4" w:space="0"/>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59.79±3.86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0"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对照组</w:t>
            </w:r>
          </w:p>
        </w:tc>
        <w:tc>
          <w:tcPr>
            <w:tcW w:w="1069"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36</w:t>
            </w:r>
          </w:p>
        </w:tc>
        <w:tc>
          <w:tcPr>
            <w:tcW w:w="1070"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1.19±0.23</w:t>
            </w:r>
          </w:p>
        </w:tc>
        <w:tc>
          <w:tcPr>
            <w:tcW w:w="1071"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1.62±0.28</w:t>
            </w:r>
          </w:p>
        </w:tc>
        <w:tc>
          <w:tcPr>
            <w:tcW w:w="1070"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1.76±0.21</w:t>
            </w:r>
          </w:p>
        </w:tc>
        <w:tc>
          <w:tcPr>
            <w:tcW w:w="1068"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2.20±0.32</w:t>
            </w:r>
          </w:p>
        </w:tc>
        <w:tc>
          <w:tcPr>
            <w:tcW w:w="1054"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51.18±5.08</w:t>
            </w:r>
          </w:p>
        </w:tc>
        <w:tc>
          <w:tcPr>
            <w:tcW w:w="1050"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55.62±3.07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0"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r>
              <w:rPr>
                <w:rFonts w:hint="eastAsia" w:asciiTheme="minorEastAsia" w:hAnsiTheme="minorEastAsia" w:eastAsiaTheme="minorEastAsia" w:cstheme="minorEastAsia"/>
                <w:color w:val="000000"/>
                <w:sz w:val="21"/>
                <w:szCs w:val="21"/>
                <w:lang w:val="en-US" w:eastAsia="zh-CN"/>
              </w:rPr>
              <w:t>t</w:t>
            </w:r>
            <w:r>
              <w:rPr>
                <w:rFonts w:hint="eastAsia" w:asciiTheme="minorEastAsia" w:hAnsiTheme="minorEastAsia" w:eastAsiaTheme="minorEastAsia" w:cstheme="minorEastAsia"/>
                <w:color w:val="000000"/>
                <w:sz w:val="21"/>
                <w:szCs w:val="21"/>
              </w:rPr>
              <w:t>值</w:t>
            </w:r>
          </w:p>
        </w:tc>
        <w:tc>
          <w:tcPr>
            <w:tcW w:w="1069"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p>
        </w:tc>
        <w:tc>
          <w:tcPr>
            <w:tcW w:w="1070"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0.295</w:t>
            </w:r>
          </w:p>
        </w:tc>
        <w:tc>
          <w:tcPr>
            <w:tcW w:w="1071"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6.362</w:t>
            </w:r>
          </w:p>
        </w:tc>
        <w:tc>
          <w:tcPr>
            <w:tcW w:w="1070"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0.175</w:t>
            </w:r>
          </w:p>
        </w:tc>
        <w:tc>
          <w:tcPr>
            <w:tcW w:w="1068"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4.036</w:t>
            </w:r>
          </w:p>
        </w:tc>
        <w:tc>
          <w:tcPr>
            <w:tcW w:w="1054"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0.153</w:t>
            </w:r>
          </w:p>
        </w:tc>
        <w:tc>
          <w:tcPr>
            <w:tcW w:w="1050" w:type="dxa"/>
            <w:tcBorders>
              <w:top w:val="nil"/>
              <w:left w:val="nil"/>
              <w:bottom w:val="nil"/>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7.152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0" w:type="dxa"/>
            <w:tcBorders>
              <w:top w:val="nil"/>
              <w:left w:val="nil"/>
              <w:bottom w:val="single" w:color="auto" w:sz="12" w:space="0"/>
              <w:right w:val="nil"/>
            </w:tcBorders>
            <w:vAlign w:val="top"/>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r>
              <w:rPr>
                <w:rFonts w:hint="eastAsia" w:asciiTheme="minorEastAsia" w:hAnsiTheme="minorEastAsia" w:eastAsiaTheme="minorEastAsia" w:cstheme="minorEastAsia"/>
                <w:color w:val="000000"/>
                <w:sz w:val="21"/>
                <w:szCs w:val="21"/>
              </w:rPr>
              <w:t>p值</w:t>
            </w:r>
          </w:p>
        </w:tc>
        <w:tc>
          <w:tcPr>
            <w:tcW w:w="1069"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eastAsia="zh-CN"/>
                <w14:textFill>
                  <w14:solidFill>
                    <w14:schemeClr w14:val="tx1"/>
                  </w14:solidFill>
                </w14:textFill>
              </w:rPr>
            </w:pPr>
          </w:p>
        </w:tc>
        <w:tc>
          <w:tcPr>
            <w:tcW w:w="1070"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693</w:t>
            </w:r>
          </w:p>
        </w:tc>
        <w:tc>
          <w:tcPr>
            <w:tcW w:w="1071"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0.0</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13</w:t>
            </w:r>
          </w:p>
        </w:tc>
        <w:tc>
          <w:tcPr>
            <w:tcW w:w="1070"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305</w:t>
            </w:r>
          </w:p>
        </w:tc>
        <w:tc>
          <w:tcPr>
            <w:tcW w:w="1068"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0.025</w:t>
            </w:r>
          </w:p>
        </w:tc>
        <w:tc>
          <w:tcPr>
            <w:tcW w:w="1054"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0.296</w:t>
            </w:r>
          </w:p>
        </w:tc>
        <w:tc>
          <w:tcPr>
            <w:tcW w:w="1050" w:type="dxa"/>
            <w:tcBorders>
              <w:top w:val="nil"/>
              <w:left w:val="nil"/>
              <w:bottom w:val="single" w:color="auto" w:sz="12" w:space="0"/>
              <w:right w:val="nil"/>
            </w:tcBorders>
          </w:tcPr>
          <w:p>
            <w:pPr>
              <w:spacing w:line="360" w:lineRule="auto"/>
              <w:jc w:val="cente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0.009</w:t>
            </w:r>
          </w:p>
        </w:tc>
      </w:tr>
    </w:tbl>
    <w:p>
      <w:pPr>
        <w:spacing w:line="360" w:lineRule="auto"/>
        <w:jc w:val="left"/>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p>
      <w:pPr>
        <w:spacing w:line="360" w:lineRule="auto"/>
        <w:jc w:val="left"/>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2.4药物不良反应率组间横向对比</w:t>
      </w:r>
    </w:p>
    <w:p>
      <w:pPr>
        <w:spacing w:line="360" w:lineRule="auto"/>
        <w:ind w:firstLine="420" w:firstLineChars="0"/>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药物不良反应率观察组为5.56%（2/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36</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），其中轻度腹泻和头痛各1例；药物不良反应率对照组为2.78%（1/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36</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），仅轻度头痛1例。药物不良反应率组间横向对比差异微小P＞0.05。</w:t>
      </w:r>
    </w:p>
    <w:p>
      <w:pPr>
        <w:spacing w:line="360" w:lineRule="auto"/>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3讨论</w:t>
      </w:r>
    </w:p>
    <w:p>
      <w:pPr>
        <w:spacing w:line="360" w:lineRule="auto"/>
        <w:ind w:firstLine="420"/>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慢阻肺近年来的临床发病率较高，尤其是在广大老年人群中此疾病十分常见，在患病之后可引起患者气流受限以及肺功能受损</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甚至可诱发肺气肿</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呼吸衰竭等并发症，增加了老年患者的死亡风险</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慢阻肺</w:t>
      </w:r>
      <w:r>
        <w:rPr>
          <w:rFonts w:hint="eastAsia" w:asciiTheme="minorEastAsia" w:hAnsiTheme="minorEastAsia" w:eastAsiaTheme="minorEastAsia" w:cstheme="minorEastAsia"/>
          <w:color w:val="000000" w:themeColor="text1"/>
          <w:sz w:val="21"/>
          <w:szCs w:val="21"/>
          <w14:textFill>
            <w14:solidFill>
              <w14:schemeClr w14:val="tx1"/>
            </w14:solidFill>
          </w14:textFill>
        </w:rPr>
        <w:t>的病程长，容易出现反复发作，严重影响患者的身心健康以及生存品质</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现阶段对于老年慢阻肺患者主要采取药物治疗，在用药方案选择中需要关注其疗效以及用药安全性</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1"/>
          <w:szCs w:val="21"/>
          <w14:textFill>
            <w14:solidFill>
              <w14:schemeClr w14:val="tx1"/>
            </w14:solidFill>
          </w14:textFill>
        </w:rPr>
        <w:t>。从本次的研究结果来看观察组通过联合应用糖皮质激素和抗生素进行辅助治疗，该组的治疗总有效率与对照组相比获得了明显的提升，表明此联合用药方案能够在老年慢阻肺患者的治疗中获得确切疗效</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。目前对老年慢阻肺患者主要采取吸氧、祛痰、平喘、止咳和</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解痉</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等一系列常规治疗，在缓解其临床症状方面有重要作用</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。然而疗效的个体化差异相对较大，部分患者的治疗效果仍然欠佳，还</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需</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探寻其他的辅助用药治疗方案来提升整体疗效</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通过联合应用抗生素药物具有优良的抗感染作用，例如给予老年慢阻肺患者头孢呋辛钠进行治疗，此药物属于头孢类抗生素，给药后快速和细菌细胞膜当中的青霉素结合蛋白产生作用，并对细菌细胞壁进行快速有效抑制，防止细胞分裂，有助于加快细菌溶解以及凋亡</w:t>
      </w:r>
      <w:r>
        <w:rPr>
          <w:rFonts w:hint="eastAsia" w:asciiTheme="minorEastAsia" w:hAnsiTheme="minorEastAsia" w:eastAsiaTheme="minorEastAsia" w:cstheme="minorEastAsia"/>
          <w:color w:val="000000" w:themeColor="text1"/>
          <w:sz w:val="21"/>
          <w:szCs w:val="21"/>
          <w:vertAlign w:val="superscript"/>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可发挥确切的抗菌作用。然而单纯应用抗生素药物仍具有一定的局限性，部分患者的病情恢复速度缓慢。糖皮质激素药物可发挥确切的抗过敏、抗休克以及抗炎等作用，例如本次研究中观察组所运用的泼尼松能够有效降低细胞膜通透性，防止组胺物质的大量释放，在此基础上结合</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地塞米松治疗</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能够有效强化抗过敏、抗炎作用。</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本研究结果显示观察组的治疗总有效率高于对照组，各项肺功能参数以及主要血气分析指标等改善情况均明显好于对照组，且2组的用药不良反应率均较低，提示辅助应用糖皮质激素与抗生素可在老年慢阻肺治疗中获得确切疗效。</w:t>
      </w:r>
    </w:p>
    <w:p>
      <w:pPr>
        <w:spacing w:line="360" w:lineRule="auto"/>
        <w:ind w:firstLine="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综上所述，</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对老年慢阻肺患者通过联合应用糖皮质激素及抗生素药物进行辅助治疗能够显著提升治疗效果，改善患者的血气分析以及肺功能，且安全性良好。</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参考文献</w:t>
      </w:r>
      <w:r>
        <w:rPr>
          <w:rFonts w:hint="eastAsia" w:asciiTheme="minorEastAsia" w:hAnsiTheme="minorEastAsia" w:eastAsiaTheme="minorEastAsia" w:cstheme="minorEastAsia"/>
          <w:b/>
          <w:bCs/>
          <w:color w:val="000000" w:themeColor="text1"/>
          <w:sz w:val="21"/>
          <w:szCs w:val="21"/>
          <w:lang w:val="en-US" w:eastAsia="zh-CN"/>
          <w14:textFill>
            <w14:solidFill>
              <w14:schemeClr w14:val="tx1"/>
            </w14:solidFill>
          </w14:textFill>
        </w:rPr>
        <w:t>：</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[1] 席雪琴. 抗生素联合糖皮质激素共同治疗中老年慢阻肺(急性加重期)患者的临床分析[J]. 健康之友,2020,</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12</w:t>
      </w: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(16):47.</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[2] 慕军霞,李中华. 糖皮质激素联合特布他林治疗慢性阻塞性肺疾病急性加重期的疗效分析[J]. 糖尿病天地,2020,17(10):68.</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 xml:space="preserve">[3] 赵启文,侯欣,高芳. 吸入性糖皮质激素在慢性阻塞性肺疾病急性加重期患者中的应用疗效分析[J]. 山西医药杂志,2020,49(18):2479-2481. </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 xml:space="preserve">[4] 谷亮,吴波. 高通量测序下吸入性糖皮质激素对老年慢阻肺患者痰液微生物组学的影响研究[J]. 贵州医药,2021,45(5):745-746. </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[5] 吴小普. 抗生素结合胸腺肽用于老年慢阻肺急性加重期治疗的疗效评价[J]. 现代医学与健康研究（电子版）,2019,3(18):59-61.</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[6] 吴朝晖,杨建胜,吴佳云,等. 苏黄止咳胶囊联合抗生素对慢阻肺肺大泡破裂术后咳嗽治疗作用的临床观察[J]. 黑龙江中医药,2022,51(6):38-40.</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[7] 耿永. 老年慢性阻塞性肺疾病伴社区获得性肺炎患者采用抗生素联合治疗的效果[J]. 临床医药文献电子杂志,2022,9(38):34-36.</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[8] 王丹丹,王艳娇,张晶晶,等. 多索茶碱联合阿奇霉素治疗稳定期慢性阻塞性肺疾病的临床研究进展[J]. 牡丹江医学院学报,2019,40(5):103-105,135.</w:t>
      </w:r>
    </w:p>
    <w:p>
      <w:pPr>
        <w:spacing w:line="360" w:lineRule="auto"/>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 xml:space="preserve">[9] 王桂花. 抗生素联合治疗老年慢阻肺患者社区获得性肺炎的临床效果[J]. 中国社区医师,2019,35(11):75-76. </w:t>
      </w:r>
    </w:p>
    <w:p>
      <w:pPr>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spacing w:line="360" w:lineRule="auto"/>
        <w:rPr>
          <w:rFonts w:hint="eastAsia" w:asciiTheme="minorEastAsia" w:hAnsiTheme="minorEastAsia" w:eastAsiaTheme="minorEastAsia" w:cstheme="minorEastAsia"/>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iYzRjZDg4ODIxMmZkMzVjYzYxNzIzMDEwYjJjY2IifQ=="/>
  </w:docVars>
  <w:rsids>
    <w:rsidRoot w:val="00000000"/>
    <w:rsid w:val="01F62F61"/>
    <w:rsid w:val="02C612F0"/>
    <w:rsid w:val="041D67B0"/>
    <w:rsid w:val="04BB13A3"/>
    <w:rsid w:val="05F41565"/>
    <w:rsid w:val="064B5F08"/>
    <w:rsid w:val="07D013AE"/>
    <w:rsid w:val="082A3964"/>
    <w:rsid w:val="08F024B8"/>
    <w:rsid w:val="09ED2E9B"/>
    <w:rsid w:val="0A0660C2"/>
    <w:rsid w:val="0A336728"/>
    <w:rsid w:val="0A3A167B"/>
    <w:rsid w:val="0A4549D5"/>
    <w:rsid w:val="0AA91BFA"/>
    <w:rsid w:val="0BB6635E"/>
    <w:rsid w:val="0CD914B5"/>
    <w:rsid w:val="0F8146C8"/>
    <w:rsid w:val="0FCF4354"/>
    <w:rsid w:val="10986ECD"/>
    <w:rsid w:val="127D12BF"/>
    <w:rsid w:val="13663F76"/>
    <w:rsid w:val="15784EAA"/>
    <w:rsid w:val="15D84E2F"/>
    <w:rsid w:val="171C7DBC"/>
    <w:rsid w:val="18BF3C55"/>
    <w:rsid w:val="194A5C14"/>
    <w:rsid w:val="1A234051"/>
    <w:rsid w:val="1AFA5418"/>
    <w:rsid w:val="1B5C3085"/>
    <w:rsid w:val="1B86772F"/>
    <w:rsid w:val="1D8E7BC7"/>
    <w:rsid w:val="1D990F18"/>
    <w:rsid w:val="1DAF2B9F"/>
    <w:rsid w:val="1E030460"/>
    <w:rsid w:val="1E7848D3"/>
    <w:rsid w:val="1F0D28ED"/>
    <w:rsid w:val="1FAF4A23"/>
    <w:rsid w:val="21C50DD1"/>
    <w:rsid w:val="21FF6253"/>
    <w:rsid w:val="23164B2F"/>
    <w:rsid w:val="24D25A6F"/>
    <w:rsid w:val="272F01F7"/>
    <w:rsid w:val="2A0D5CD6"/>
    <w:rsid w:val="2A1B7F1E"/>
    <w:rsid w:val="2C9A6113"/>
    <w:rsid w:val="2E813A2E"/>
    <w:rsid w:val="300D3390"/>
    <w:rsid w:val="30EF257D"/>
    <w:rsid w:val="31192A6E"/>
    <w:rsid w:val="31931263"/>
    <w:rsid w:val="32BE2F74"/>
    <w:rsid w:val="33144882"/>
    <w:rsid w:val="343F30F1"/>
    <w:rsid w:val="34BA755F"/>
    <w:rsid w:val="34E6283D"/>
    <w:rsid w:val="383C2064"/>
    <w:rsid w:val="38B118FF"/>
    <w:rsid w:val="38DF7CCF"/>
    <w:rsid w:val="39600CC9"/>
    <w:rsid w:val="399E3081"/>
    <w:rsid w:val="3A7C7E1D"/>
    <w:rsid w:val="3A886145"/>
    <w:rsid w:val="3B1F0857"/>
    <w:rsid w:val="3B4772C6"/>
    <w:rsid w:val="3C226192"/>
    <w:rsid w:val="3DD70C56"/>
    <w:rsid w:val="3DDB36B7"/>
    <w:rsid w:val="3EF53416"/>
    <w:rsid w:val="3F375BD5"/>
    <w:rsid w:val="3F4C3F68"/>
    <w:rsid w:val="44832A15"/>
    <w:rsid w:val="44B82A96"/>
    <w:rsid w:val="45513D03"/>
    <w:rsid w:val="455700D5"/>
    <w:rsid w:val="45993357"/>
    <w:rsid w:val="45DB537A"/>
    <w:rsid w:val="45E42DDE"/>
    <w:rsid w:val="480C3673"/>
    <w:rsid w:val="483416BA"/>
    <w:rsid w:val="4CF94388"/>
    <w:rsid w:val="4DD96409"/>
    <w:rsid w:val="4DE1374A"/>
    <w:rsid w:val="4E922C96"/>
    <w:rsid w:val="4F2F32C6"/>
    <w:rsid w:val="51EE4527"/>
    <w:rsid w:val="55CB2C30"/>
    <w:rsid w:val="57266966"/>
    <w:rsid w:val="576378C6"/>
    <w:rsid w:val="576A437A"/>
    <w:rsid w:val="57805D82"/>
    <w:rsid w:val="5806097D"/>
    <w:rsid w:val="59515232"/>
    <w:rsid w:val="5B2941DF"/>
    <w:rsid w:val="5D8A5BAC"/>
    <w:rsid w:val="61894F81"/>
    <w:rsid w:val="6299567C"/>
    <w:rsid w:val="68962069"/>
    <w:rsid w:val="69533FF3"/>
    <w:rsid w:val="69584B88"/>
    <w:rsid w:val="69CE032A"/>
    <w:rsid w:val="6D1C60F5"/>
    <w:rsid w:val="6DE732AE"/>
    <w:rsid w:val="716D5F56"/>
    <w:rsid w:val="71D563F1"/>
    <w:rsid w:val="72547D74"/>
    <w:rsid w:val="758D4034"/>
    <w:rsid w:val="78146346"/>
    <w:rsid w:val="792C3B64"/>
    <w:rsid w:val="79F90DAB"/>
    <w:rsid w:val="7B0D159A"/>
    <w:rsid w:val="7C5C39F7"/>
    <w:rsid w:val="7CA77BC3"/>
    <w:rsid w:val="7CDC7B0B"/>
    <w:rsid w:val="7DE7358C"/>
    <w:rsid w:val="7FB12A01"/>
    <w:rsid w:val="7FE30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oleObject" Target="embeddings/oleObject3.bin"/><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516</Words>
  <Characters>665</Characters>
  <Lines>0</Lines>
  <Paragraphs>0</Paragraphs>
  <TotalTime>30</TotalTime>
  <ScaleCrop>false</ScaleCrop>
  <LinksUpToDate>false</LinksUpToDate>
  <CharactersWithSpaces>667</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杜杜</cp:lastModifiedBy>
  <dcterms:modified xsi:type="dcterms:W3CDTF">2023-10-30T10:12:52Z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KSORubyTemplateID" linkTarget="0">
    <vt:lpwstr>6</vt:lpwstr>
  </property>
  <property fmtid="{D5CDD505-2E9C-101B-9397-08002B2CF9AE}" pid="4" name="ICV">
    <vt:lpwstr>91D594A9FB4E4366A0FEDBB95385E83F_13</vt:lpwstr>
  </property>
</Properties>
</file>