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F95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  <w:t>「翘客」技术手册：血管平滑肌细胞GSN/α-SMA免疫荧光双标染色实验方案</w:t>
      </w:r>
    </w:p>
    <w:p w14:paraId="2A2815E3">
      <w:pPr>
        <w:rPr>
          <w:rFonts w:hint="eastAsia"/>
        </w:rPr>
      </w:pPr>
      <w:bookmarkStart w:id="0" w:name="_GoBack"/>
      <w:bookmarkEnd w:id="0"/>
    </w:p>
    <w:p w14:paraId="791E3E63">
      <w:pPr>
        <w:rPr>
          <w:rFonts w:hint="eastAsia"/>
        </w:rPr>
      </w:pPr>
    </w:p>
    <w:p w14:paraId="35734315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8"/>
          <w:sz w:val="28"/>
          <w:szCs w:val="28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266690" cy="2243455"/>
            <wp:effectExtent l="0" t="0" r="1016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3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3559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31936A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研究背景</w:t>
      </w:r>
    </w:p>
    <w:p w14:paraId="3D5CBF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凝溶胶蛋白（Gelsolin, GSN）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是一种重要的肌动蛋白调节蛋白，在血管平滑肌细胞（VSMCs）功能调控中发挥多重作用：</w:t>
      </w:r>
    </w:p>
    <w:p w14:paraId="0ADA29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B61"/>
          <w:sz w:val="28"/>
          <w:szCs w:val="28"/>
          <w:bdr w:val="none" w:color="auto" w:sz="0" w:space="0"/>
        </w:rPr>
        <w:t>1）作为Ca²⁺依赖的肌动蛋白切割蛋白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，GSN通过切割和封端F-actin微丝，动态调控VSMCs内α-平滑肌肌动蛋白（α-SMA）微丝骨架的重塑，该过程对维持血管张力、收缩功能及细胞迁移至关重要。</w:t>
      </w:r>
    </w:p>
    <w:p w14:paraId="148B3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B61"/>
          <w:sz w:val="28"/>
          <w:szCs w:val="28"/>
          <w:bdr w:val="none" w:color="auto" w:sz="0" w:space="0"/>
        </w:rPr>
        <w:t>2）参与血管收缩的负向调控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，在血管收缩信号触发导致胞内Ca²⁺浓度升高时，激活的GSN快速解聚F-actin微丝网络，削弱α-SMA聚合体稳定性，从而降低VSMCs收缩效率，此机制可有效防止血管过度收缩（如高血压病理状态）。</w:t>
      </w:r>
    </w:p>
    <w:p w14:paraId="60FA0A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10DC2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B61"/>
          <w:sz w:val="28"/>
          <w:szCs w:val="28"/>
          <w:bdr w:val="none" w:color="auto" w:sz="0" w:space="0"/>
        </w:rPr>
        <w:t>3）通过阻断RhoA/ROCK信号通路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，GSN可抑制VSMCs异常增殖和迁移，减少细胞外基质（ECM）沉积，进而延缓动脉粥样硬化、血管再狭窄等病变进程。已有研究证实GSN敲除小鼠在血管损伤后，新生内膜增厚加剧。</w:t>
      </w:r>
    </w:p>
    <w:p w14:paraId="1EACE3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4）在氧化应激（如ROS累积）或炎症因子（TNF-α、IL-6）刺激下，GSN表达上调以维持细胞骨架完整性，阻止VSMCs凋亡并保护血管内皮屏障功能。</w:t>
      </w:r>
    </w:p>
    <w:p w14:paraId="353731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综上，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GSN是血管疾病研究的关键靶蛋白，α-SMA是平滑肌细胞的特异性标志物。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选择高品质抗体进行免疫荧光双标染色实验，原位分析GSN在VSMCs中的表达模式及与α-SMA的共定位关系，对深入理解血管结构重塑机制具有重要的科学价值。</w:t>
      </w:r>
    </w:p>
    <w:p w14:paraId="7BE821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3F2661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bdr w:val="none" w:color="auto" w:sz="0" w:space="0"/>
        </w:rPr>
        <w:t>一、实验前准备</w:t>
      </w:r>
    </w:p>
    <w:tbl>
      <w:tblPr>
        <w:tblW w:w="82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6592"/>
      </w:tblGrid>
      <w:tr w14:paraId="0FEDC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39ACDD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试剂</w:t>
            </w:r>
          </w:p>
        </w:tc>
        <w:tc>
          <w:tcPr>
            <w:tcW w:w="399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4BB95B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bdr w:val="none" w:color="auto" w:sz="0" w:space="0"/>
              </w:rPr>
              <w:t>名称</w:t>
            </w:r>
          </w:p>
        </w:tc>
      </w:tr>
      <w:tr w14:paraId="6A0E4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vMerge w:val="restar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6E5D65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一抗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6D23BD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Anti-SMA Mouse Mab (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bdr w:val="none" w:color="auto" w:sz="0" w:space="0"/>
              </w:rPr>
              <w:t>义翘神州 </w:t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Cat# 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instrText xml:space="preserve"> HYPERLINK "https://cn.sinobiological.com/other-products/anti-human-sma-smooth-muscle-actin-antibody-mouse-mab-ihc068?utm_source=weixin&amp;utm_medium=article-2nd&amp;utm_campaign=2601-protocol-prize-0115" \t "https://mp.weixin.qq.com/_blank" </w:instrTex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7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t>IHC068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)</w:t>
            </w:r>
          </w:p>
        </w:tc>
      </w:tr>
      <w:tr w14:paraId="35EBC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vMerge w:val="continue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7236B249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62B4EC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Anti-GSN Rabbit Polyclonal (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bdr w:val="none" w:color="auto" w:sz="0" w:space="0"/>
              </w:rPr>
              <w:t>义翘神州</w:t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 Cat# 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instrText xml:space="preserve"> HYPERLINK "https://cn.sinobiological.com/antibodies/gsn-gelsolin-207845-t08?utm_source=weixin&amp;utm_medium=article-2nd&amp;utm_campaign=2601-protocol-prize-0115" \t "https://mp.weixin.qq.com/_blank" </w:instrTex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7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t>207845-T08</w:t>
            </w:r>
            <w:r>
              <w:rPr>
                <w:rStyle w:val="6"/>
                <w:rFonts w:hint="eastAsia" w:ascii="楷体" w:hAnsi="楷体" w:eastAsia="楷体" w:cs="楷体"/>
                <w:color w:val="006B61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)</w:t>
            </w:r>
          </w:p>
        </w:tc>
      </w:tr>
      <w:tr w14:paraId="5BCA3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vMerge w:val="restar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2CAE89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荧光二抗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883A3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抗小鼠IgG-FITC（绿色）</w:t>
            </w:r>
          </w:p>
        </w:tc>
      </w:tr>
      <w:tr w14:paraId="317F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vMerge w:val="continue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D7B1974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04B436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抗兔IgG-Cy3（红色）</w:t>
            </w:r>
          </w:p>
        </w:tc>
      </w:tr>
      <w:tr w14:paraId="65FED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6AF1EB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bdr w:val="none" w:color="auto" w:sz="0" w:space="0"/>
              </w:rPr>
              <w:t>固定剂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BB31B8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4% 多聚甲醛（PFA）</w:t>
            </w:r>
          </w:p>
        </w:tc>
      </w:tr>
      <w:tr w14:paraId="19090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1AABE8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通透剂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065805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0.1% Triton X-100（PBS配制）</w:t>
            </w:r>
          </w:p>
        </w:tc>
      </w:tr>
      <w:tr w14:paraId="49DB2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2C8307E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封闭液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D7F24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5% BSA + 0.1% Tween-20（PBS）</w:t>
            </w:r>
          </w:p>
        </w:tc>
      </w:tr>
      <w:tr w14:paraId="0ECB9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009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36EED1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封片剂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2B7951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含DAPI的抗淬灭封片剂</w:t>
            </w:r>
          </w:p>
        </w:tc>
      </w:tr>
      <w:tr w14:paraId="00C3C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009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72ED76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洗涤缓冲液</w:t>
            </w:r>
          </w:p>
        </w:tc>
        <w:tc>
          <w:tcPr>
            <w:tcW w:w="399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580A0A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PBST（含0.05% Tween-20）</w:t>
            </w:r>
          </w:p>
        </w:tc>
      </w:tr>
    </w:tbl>
    <w:p w14:paraId="2361A5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69E256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bdr w:val="none" w:color="auto" w:sz="0" w:space="0"/>
        </w:rPr>
        <w:t>二、实验步骤</w:t>
      </w:r>
    </w:p>
    <w:p w14:paraId="46042D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1. 样本固定</w:t>
      </w:r>
    </w:p>
    <w:p w14:paraId="4AA99C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（1）细胞爬片/切片：从血管组织中分离原代血管平滑肌细胞，接种于盖玻片或包埋组织切片上，37℃、5% CO2培养箱中培养24h，使细胞融合度达到50%-80%。</w:t>
      </w:r>
    </w:p>
    <w:p w14:paraId="3F8C83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（2）在培养板中将已爬好细胞的爬片用PBST浸洗3次，每次3 min，轻轻晃动，避免将细胞冲掉。</w:t>
      </w:r>
    </w:p>
    <w:p w14:paraId="5742C1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（3）用4% PFA室温固定15 min，随后用PBST漂洗3次，每次5 min。</w:t>
      </w:r>
    </w:p>
    <w:p w14:paraId="3EDF26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FCF86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2. 通透处理</w:t>
      </w:r>
    </w:p>
    <w:p w14:paraId="02A519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（4）用0.1% Triton X-100室温通透10 min，再用PBST漂洗3次，每次5 min，以去除残余的去污剂。</w:t>
      </w:r>
    </w:p>
    <w:p w14:paraId="7B9CC0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50C02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3. 封闭</w:t>
      </w:r>
    </w:p>
    <w:p w14:paraId="67796CA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（5）滴加5% BSA封闭液，室温孵育1 h，可有效减少非特异性抗体结合。</w:t>
      </w:r>
    </w:p>
    <w:p w14:paraId="4D303F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BD89F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4. 一抗孵育</w:t>
      </w:r>
    </w:p>
    <w:p w14:paraId="7C764E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（6）配制双抗体混合液：用封闭液稀释</w:t>
      </w:r>
    </w:p>
    <w:p w14:paraId="595A2A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Anti-GSN Rabbit pAb：建议1:500</w:t>
      </w:r>
    </w:p>
    <w:p w14:paraId="4EA70E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Anti-α-SMA Mouse mAb：建议1:200</w:t>
      </w:r>
    </w:p>
    <w:p w14:paraId="625969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注：抗体浓度需参考说明书起始浓度，根据预实验进行优化调整。</w:t>
      </w:r>
    </w:p>
    <w:p w14:paraId="0765C1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8AEED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（7）吸弃封闭液，根据爬片大小加入稀释好的一抗混合液，一般每片加100-200μl，确保一抗均匀覆盖细胞表面。避免气泡。</w:t>
      </w:r>
    </w:p>
    <w:p w14:paraId="2A363A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（8）将爬片放入湿盒中，4°C孵育过夜（16 h，可增强特异性结合，降低背景）。有的实验采用快速孵育方案，37℃孵育1-2小时。</w:t>
      </w:r>
    </w:p>
    <w:p w14:paraId="616BA8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（9）一抗孵育结束后，吸弃一抗溶液，用PBST漂洗3次，每次10 min。充分去除未结合的一抗，减少非特异性荧光背景。</w:t>
      </w:r>
    </w:p>
    <w:p w14:paraId="5342B6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AEA0F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5. 荧光二抗孵育</w:t>
      </w:r>
    </w:p>
    <w:p w14:paraId="60D68F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（10）避光环境下配制二抗混合液：用封闭液稀释</w:t>
      </w:r>
    </w:p>
    <w:p w14:paraId="10BB3A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抗小鼠IgG-FITC：1:1000</w:t>
      </w:r>
    </w:p>
    <w:p w14:paraId="23DD99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抗兔IgG-Cy3：1:1000</w:t>
      </w:r>
    </w:p>
    <w:p w14:paraId="34A46C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（11）避光环境下加入稀释好的荧光二抗溶液（每片100-200μL），均匀覆盖爬片。</w:t>
      </w:r>
    </w:p>
    <w:p w14:paraId="417400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（12）室温避光孵育1 h。</w:t>
      </w:r>
    </w:p>
    <w:p w14:paraId="16C098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（13）吸弃二抗溶液，用PBST漂洗3次，每次10 min。全程避光操作。</w:t>
      </w:r>
    </w:p>
    <w:p w14:paraId="7B9D77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88314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6. 封片与结果观察</w:t>
      </w:r>
    </w:p>
    <w:p w14:paraId="1C165C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（14）取干净载玻片，在其中央位置滴加1-2滴抗荧光淬灭的封片剂。避免过多或过少，过多容易导致爬片移位。过少容易产生气泡。</w:t>
      </w:r>
    </w:p>
    <w:p w14:paraId="5BE4C8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2B2CB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（15）用无菌镊子小心取出爬片，使细胞面朝下。缓慢覆盖在封片剂上，避免产生气泡。若产生气泡，可轻轻推动爬片排出，或用针尖挑破</w:t>
      </w:r>
    </w:p>
    <w:p w14:paraId="2FFD95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（16）用滤纸吸去载玻片边缘多余的封片剂，室温避光固化24h，使封片剂固化。</w:t>
      </w:r>
    </w:p>
    <w:p w14:paraId="4588EA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（17）荧光显微镜观察：根据二抗荧光素类型选择相应的激发波长，如FITC用488nm，Cy3用552nm。</w:t>
      </w:r>
    </w:p>
    <w:p w14:paraId="62F24D7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A0857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bdr w:val="none" w:color="auto" w:sz="0" w:space="0"/>
        </w:rPr>
        <w:t>三、结果判读</w:t>
      </w:r>
    </w:p>
    <w:tbl>
      <w:tblPr>
        <w:tblW w:w="84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529"/>
        <w:gridCol w:w="2211"/>
        <w:gridCol w:w="3403"/>
      </w:tblGrid>
      <w:tr w14:paraId="00557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57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00E9CC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靶蛋白</w:t>
            </w:r>
          </w:p>
        </w:tc>
        <w:tc>
          <w:tcPr>
            <w:tcW w:w="90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3E7B73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荧光标记</w:t>
            </w:r>
          </w:p>
        </w:tc>
        <w:tc>
          <w:tcPr>
            <w:tcW w:w="131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3109AC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预期定位</w:t>
            </w:r>
          </w:p>
        </w:tc>
        <w:tc>
          <w:tcPr>
            <w:tcW w:w="202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006B61"/>
            <w:vAlign w:val="center"/>
          </w:tcPr>
          <w:p w14:paraId="208C7A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共定位区域</w:t>
            </w:r>
          </w:p>
        </w:tc>
      </w:tr>
      <w:tr w14:paraId="754E3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57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04E4F0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GSN</w:t>
            </w:r>
          </w:p>
        </w:tc>
        <w:tc>
          <w:tcPr>
            <w:tcW w:w="908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3F2DC2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Cy3红色</w:t>
            </w:r>
          </w:p>
        </w:tc>
        <w:tc>
          <w:tcPr>
            <w:tcW w:w="1313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3345E0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胞质弥散/点状</w:t>
            </w:r>
          </w:p>
        </w:tc>
        <w:tc>
          <w:tcPr>
            <w:tcW w:w="202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7EA4D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黄色信号</w:t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（与α-SMA重叠区）</w:t>
            </w:r>
          </w:p>
        </w:tc>
      </w:tr>
      <w:tr w14:paraId="6AD5F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57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415D0D9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α-SMA</w:t>
            </w:r>
          </w:p>
        </w:tc>
        <w:tc>
          <w:tcPr>
            <w:tcW w:w="908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3A958A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FITC绿色</w:t>
            </w:r>
          </w:p>
        </w:tc>
        <w:tc>
          <w:tcPr>
            <w:tcW w:w="1313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3174D8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胞质纤维状结构</w:t>
            </w:r>
          </w:p>
        </w:tc>
        <w:tc>
          <w:tcPr>
            <w:tcW w:w="2020" w:type="pct"/>
            <w:tcBorders>
              <w:top w:val="single" w:color="006B61" w:sz="6" w:space="0"/>
              <w:left w:val="single" w:color="006B61" w:sz="6" w:space="0"/>
              <w:bottom w:val="single" w:color="006B61" w:sz="6" w:space="0"/>
              <w:right w:val="single" w:color="006B61" w:sz="6" w:space="0"/>
            </w:tcBorders>
            <w:shd w:val="clear" w:color="auto" w:fill="FBF9FC"/>
            <w:vAlign w:val="center"/>
          </w:tcPr>
          <w:p w14:paraId="21D3D12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黄色信号</w:t>
            </w: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（与SMA重叠区）</w:t>
            </w:r>
          </w:p>
        </w:tc>
      </w:tr>
    </w:tbl>
    <w:p w14:paraId="3E1BE6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354D71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color w:val="FF0000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FF0000"/>
          <w:sz w:val="28"/>
          <w:szCs w:val="28"/>
          <w:bdr w:val="none" w:color="auto" w:sz="0" w:space="0"/>
        </w:rPr>
        <w:t>伪色调整提示：</w:t>
      </w:r>
    </w:p>
    <w:p w14:paraId="4A1BA3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若共聚焦软件中黄色信号过强，可降低Cy3通道增益（Cy3量子产率高于FITC）。</w:t>
      </w:r>
    </w:p>
    <w:p w14:paraId="6F3953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590230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bdr w:val="none" w:color="auto" w:sz="0" w:space="0"/>
        </w:rPr>
        <w:t>四、实验结果</w:t>
      </w:r>
    </w:p>
    <w:p w14:paraId="784169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</w:p>
    <w:p w14:paraId="4CFDACA3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1974850"/>
            <wp:effectExtent l="0" t="0" r="10160" b="635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23A6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  <w:r>
        <w:rPr>
          <w:rStyle w:val="6"/>
          <w:rFonts w:hint="eastAsia" w:ascii="楷体" w:hAnsi="楷体" w:eastAsia="楷体" w:cs="楷体"/>
          <w:b w:val="0"/>
          <w:bCs/>
          <w:sz w:val="24"/>
          <w:szCs w:val="24"/>
          <w:bdr w:val="none" w:color="auto" w:sz="0" w:space="0"/>
        </w:rPr>
        <w:t>GSN与α-SMA在血管平滑肌细胞中的共定位分析</w:t>
      </w:r>
    </w:p>
    <w:p w14:paraId="1D7122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从图中可以看出，GSN在胞质均匀分布或与肌动蛋白共定位（调节细胞骨架），α-SMA主要在胞质中呈纤维状分布（肌动蛋白丝）。Merge图片中黄色信号提示α-SMA与GSN存在相互作用或共定位区域。</w:t>
      </w:r>
    </w:p>
    <w:p w14:paraId="7C1F9EA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A740D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i w:val="0"/>
          <w:iCs w:val="0"/>
          <w:caps w:val="0"/>
          <w:color w:val="3E3E3E"/>
          <w:spacing w:val="8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bdr w:val="none" w:color="auto" w:sz="0" w:space="0"/>
        </w:rPr>
        <w:t>五、结果讨论</w:t>
      </w:r>
    </w:p>
    <w:p w14:paraId="090816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本研究采用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免疫荧光双标染色技术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，系统揭示了GSN与α-SMA在VSMCs内的共定位特征，为阐明二者在血管功能调控中的协同机制提供了关键线索。</w:t>
      </w:r>
    </w:p>
    <w:p w14:paraId="4558B4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在生理状态下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，GSN通过动态解聚α-SMA构成的微丝骨架，维持VSMCs适度收缩的可塑性和结构稳定性，使其能够灵活响应生理信号。</w:t>
      </w:r>
    </w:p>
    <w:p w14:paraId="526731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而在动脉粥样硬化、高血压等病理条件下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，GSN的表达显著下降，协同作用遭到破坏，导致α-SMA微丝过度聚合，稳定性异常升高，进而驱动VSMCs由收缩型向合成型转化。这一转化过程伴随细胞外基质的过度沉积，最终加速血管纤维化进程。</w:t>
      </w:r>
    </w:p>
    <w:p w14:paraId="07FBF0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基于上述机制，多项临床研究发现血清GSN表达水平与与血管病变程度呈显著负相关，可作为动脉粥样硬化、主动脉瘤等疾病的潜在生物标志物。</w:t>
      </w:r>
    </w:p>
    <w:p w14:paraId="1632E7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本实验方案可为后续深入探索GSN-α-SMA相互作用在血管重塑中的分子机制提供标准化的技术平台。</w:t>
      </w:r>
    </w:p>
    <w:p w14:paraId="4F348599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05D5B"/>
    <w:rsid w:val="531371D9"/>
    <w:rsid w:val="5DA0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2026-01-16T01:03:00Z</dcterms:created>
  <dc:creator>忘了天空的颜色</dc:creator>
  <cp:lastModifiedBy>忘了天空的颜色</cp:lastModifiedBy>
  <dcterms:modified xsi:type="dcterms:W3CDTF">2026-01-16T01:15:36Z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38ED353232F04B4E91F926AE26C5FF8A_11</vt:lpwstr>
  </property>
  <property fmtid="{D5CDD505-2E9C-101B-9397-08002B2CF9AE}" pid="4" name="KSOTemplateDocerSaveRecord">
    <vt:lpwstr>eyJoZGlkIjoiZTE1YTA5Y2Y5Y2I0NzU2ZDExMmM5ZWY5YTU1YWU0MjAiLCJ1c2VySWQiOiIzMDIxNDQ2NTUifQ==</vt:lpwstr>
  </property>
</Properties>
</file>