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9" w:name="_GoBack"/>
      <w:bookmarkEnd w:id="19"/>
      <w:bookmarkStart w:id="0" w:name="OLE_LINK40"/>
      <w:bookmarkStart w:id="1" w:name="_Toc438987549"/>
      <w:bookmarkStart w:id="2" w:name="_Toc481801204"/>
      <w:bookmarkStart w:id="3" w:name="OLE_LINK15"/>
      <w:bookmarkStart w:id="4" w:name="_Toc415818939"/>
      <w:bookmarkStart w:id="5" w:name="_Toc453597319"/>
      <w:bookmarkStart w:id="6" w:name="OLE_LINK24"/>
      <w:bookmarkStart w:id="7" w:name="OLE_LINK13"/>
      <w:bookmarkStart w:id="8" w:name="OLE_LINK39"/>
      <w:bookmarkStart w:id="9" w:name="_Toc418070112"/>
      <w:bookmarkStart w:id="10" w:name="_Toc415143481"/>
      <w:bookmarkStart w:id="11" w:name="_Toc415142861"/>
      <w:bookmarkStart w:id="12" w:name="_Toc517262917"/>
      <w:r>
        <w:rPr>
          <w:lang w:eastAsia="zh-CN"/>
        </w:rPr>
        <w:t>急救和运输担架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医疗担架在医疗保健领域发挥着重要作用：安全可靠地运送受伤患者到达医院和诊所。急救医疗技术人员还使用医院担架将重伤员运送到急诊室。接受手术的患者被运输担架从手术室送至恢复区。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急救和运输担架</w:t>
      </w:r>
      <w:r>
        <w:rPr>
          <w:rFonts w:hint="eastAsia"/>
          <w:lang w:eastAsia="zh-CN"/>
        </w:rPr>
        <w:t>市场规模将达到11.29亿美元，未来几年年复合增长率CAGR为4.9%。</w:t>
      </w:r>
    </w:p>
    <w:p>
      <w:pPr>
        <w:pStyle w:val="148"/>
      </w:pPr>
      <w:r>
        <w:rPr>
          <w:rFonts w:hint="eastAsia"/>
        </w:rPr>
        <w:t>急救和运输担架产品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879725" cy="1931035"/>
            <wp:effectExtent l="0" t="0" r="0" b="0"/>
            <wp:docPr id="345784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784022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3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急救和运输担架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40363580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急救和运输担架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急救和运输担架</w:t>
      </w:r>
      <w:r>
        <w:rPr>
          <w:rFonts w:hint="eastAsia"/>
          <w:lang w:eastAsia="zh-CN"/>
        </w:rPr>
        <w:t>市场前十六强生产商排名及市场占有率（基于2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19064799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479951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急救和运输担架</w:t>
      </w:r>
      <w:r>
        <w:rPr>
          <w:rFonts w:hint="eastAsia"/>
          <w:lang w:eastAsia="zh-CN"/>
        </w:rPr>
        <w:t>市场研究报告2024-2030”，排名基于2023数据。目前最新数据，以本公司最新调研数据为准。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根据QYResearch头部企业研究中心调研，全球范围内急救和运输担架生产商主要包括Ferno、Stryker、Hill-Rom、Medline、GIVAS、Junkin Safety、MeBer、Fu Shun Hsing Technology、GF Health Products、PVS SpA等。2023年，全球前五大厂商占有大约46%的市场份额。</w:t>
      </w: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1"/>
    <w:bookmarkStart w:id="14" w:name="_Hlk149300690"/>
    <w:bookmarkStart w:id="15" w:name="_Hlk149300687"/>
    <w:bookmarkStart w:id="16" w:name="_Hlk149300692"/>
    <w:bookmarkStart w:id="17" w:name="_Hlk149300688"/>
    <w:bookmarkStart w:id="18" w:name="_Hlk149300689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5E9D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40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738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4F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78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07F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01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0FF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49F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6B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0B1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4D10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3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4D27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385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4FD8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E81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6EC6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44E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843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4EC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0E9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A6C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428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0C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561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CA2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autoRedefine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autoRedefine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Word&#21450;Excel&#27169;&#26495;\2024\&#35266;&#28857;&#25968;&#25454;&#22270;&#34920;&#27169;&#26495;-&#27169;&#26495;%20202402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 altLang="zh-CN" sz="1100">
                <a:latin typeface="Times New Roman" panose="02020603050405020304" charset="0"/>
                <a:cs typeface="Times New Roman" panose="02020603050405020304" charset="0"/>
              </a:rPr>
              <a:t>Global Market Size ($ Mn)</a:t>
            </a:r>
            <a:endParaRPr lang="en-US" altLang="zh-CN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474</c:v>
                </c:pt>
                <c:pt idx="1">
                  <c:v>894.003430024401</c:v>
                </c:pt>
                <c:pt idx="2">
                  <c:v>1181.47423674467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0.55532</cdr:x>
      <cdr:y>0.23961</cdr:y>
    </cdr:from>
    <cdr:to>
      <cdr:x>0.74647</cdr:x>
      <cdr:y>0.38236</cdr:y>
    </cdr:to>
    <cdr:grpSp>
      <cdr:nvGrpSpPr>
        <cdr:cNvPr id="2" name="组合 1"/>
        <cdr:cNvGrpSpPr/>
      </cdr:nvGrpSpPr>
      <cdr:grpSpPr xmlns:a="http://schemas.openxmlformats.org/drawingml/2006/main">
        <a:xfrm>
          <a:off x="3436714" y="703705"/>
          <a:ext cx="1182972" cy="419239"/>
          <a:chOff x="3571876" y="694207"/>
          <a:chExt cx="1209675" cy="504825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3571876" y="694207"/>
            <a:ext cx="1209675" cy="504825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440969">
            <a:off x="3750446" y="805137"/>
            <a:ext cx="785961" cy="327348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1050" baseline="0">
                <a:solidFill>
                  <a:srgbClr val="002060"/>
                </a:solidFill>
                <a:latin typeface="Times New Roman" panose="02020603050405020304" charset="0"/>
                <a:ea typeface="宋体" panose="02010600030101010101" charset="-122"/>
                <a:cs typeface="Times New Roman" panose="02020603050405020304" charset="0"/>
              </a:rPr>
              <a:t>4.9%</a:t>
            </a:r>
            <a:endParaRPr 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endParaRPr>
          </a:p>
        </cdr:txBody>
      </cdr:sp>
    </cdr:grpSp>
  </cdr:relSizeAnchor>
  <cdr:relSizeAnchor xmlns:cdr="http://schemas.openxmlformats.org/drawingml/2006/chartDrawing">
    <cdr:from>
      <cdr:x>0.24626</cdr:x>
      <cdr:y>0.44394</cdr:y>
    </cdr:from>
    <cdr:to>
      <cdr:x>0.43095</cdr:x>
      <cdr:y>0.61584</cdr:y>
    </cdr:to>
    <cdr:grpSp>
      <cdr:nvGrpSpPr>
        <cdr:cNvPr id="5" name="组合 4"/>
        <cdr:cNvGrpSpPr/>
      </cdr:nvGrpSpPr>
      <cdr:grpSpPr xmlns:a="http://schemas.openxmlformats.org/drawingml/2006/main">
        <a:xfrm rot="21409720">
          <a:off x="1524032" y="1303796"/>
          <a:ext cx="1142993" cy="504849"/>
          <a:chOff x="1581151" y="1370482"/>
          <a:chExt cx="1143000" cy="504825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1581151" y="1370482"/>
            <a:ext cx="1143000" cy="504825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20163294">
            <a:off x="1760377" y="1478387"/>
            <a:ext cx="762000" cy="281437"/>
          </a:xfrm>
          <a:prstGeom xmlns:a="http://schemas.openxmlformats.org/drawingml/2006/main" prst="ellipse">
            <a:avLst/>
          </a:prstGeom>
          <a:solidFill>
            <a:srgbClr val="FFC000"/>
          </a:solidFill>
          <a:ln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t" anchorCtr="0">
            <a:normAutofit/>
          </a:bodyPr>
          <a:lstStyle/>
          <a:p>
            <a:r>
              <a:rPr lang="en-US" altLang="zh-CN" sz="1050" baseline="0">
                <a:solidFill>
                  <a:srgbClr val="002060"/>
                </a:solidFill>
                <a:latin typeface="Times New Roman" panose="02020603050405020304" charset="0"/>
                <a:ea typeface="宋体" panose="02010600030101010101" charset="-122"/>
                <a:cs typeface="Times New Roman" panose="02020603050405020304" charset="0"/>
              </a:rPr>
              <a:t> 4.6%</a:t>
            </a:r>
            <a:endParaRPr 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902</Words>
  <Characters>1108</Characters>
  <Lines>8</Lines>
  <Paragraphs>2</Paragraphs>
  <TotalTime>656</TotalTime>
  <ScaleCrop>false</ScaleCrop>
  <LinksUpToDate>false</LinksUpToDate>
  <CharactersWithSpaces>1115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2024-04-30T08:21:23Z</dcterms:modified>
  <cp:revision>831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045BA83FD54A44808CA423E774C90E75_13</vt:lpwstr>
  </property>
</Properties>
</file>