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colors4.xml" ContentType="application/vnd.ms-office.chartcolorstyle+xml"/>
  <Override PartName="/word/charts/colors5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charts/style4.xml" ContentType="application/vnd.ms-office.chartstyle+xml"/>
  <Override PartName="/word/charts/style5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5D5715">
      <w:pPr>
        <w:pStyle w:val="167"/>
        <w:rPr>
          <w:lang w:eastAsia="zh-CN"/>
        </w:rPr>
      </w:pPr>
      <w:bookmarkStart w:id="0" w:name="_Toc517262917"/>
      <w:bookmarkStart w:id="1" w:name="_Toc453597319"/>
      <w:bookmarkStart w:id="2" w:name="_Toc418070112"/>
      <w:bookmarkStart w:id="3" w:name="_Toc415143481"/>
      <w:bookmarkStart w:id="4" w:name="_Toc438987549"/>
      <w:bookmarkStart w:id="5" w:name="_Toc481801204"/>
      <w:bookmarkStart w:id="6" w:name="OLE_LINK15"/>
      <w:bookmarkStart w:id="7" w:name="_Toc415818939"/>
      <w:bookmarkStart w:id="8" w:name="OLE_LINK13"/>
      <w:bookmarkStart w:id="9" w:name="OLE_LINK39"/>
      <w:bookmarkStart w:id="10" w:name="_Toc415142861"/>
      <w:bookmarkStart w:id="11" w:name="OLE_LINK40"/>
      <w:bookmarkStart w:id="12" w:name="OLE_LINK24"/>
      <w:r>
        <w:rPr>
          <w:lang w:eastAsia="zh-CN"/>
        </w:rPr>
        <w:t>密胺餐具</w:t>
      </w:r>
      <w:r>
        <w:rPr>
          <w:rFonts w:hint="eastAsia"/>
          <w:lang w:eastAsia="zh-CN"/>
        </w:rPr>
        <w:t>全球市场总体规模</w:t>
      </w:r>
    </w:p>
    <w:p w14:paraId="38E9F2CA">
      <w:pPr>
        <w:pStyle w:val="145"/>
        <w:rPr>
          <w:lang w:eastAsia="zh-CN"/>
        </w:rPr>
      </w:pPr>
      <w:r>
        <w:rPr>
          <w:rFonts w:hint="eastAsia"/>
          <w:lang w:eastAsia="zh-CN"/>
        </w:rPr>
        <w:t>密胺餐具是一种耐用的塑料树脂餐具，不易破损，并且完全适合盛放食物。这种材质可用洗碗机清洗，易于保养，非常适合儿童和户外使用。</w:t>
      </w:r>
    </w:p>
    <w:p w14:paraId="3ADDBE60">
      <w:pPr>
        <w:pStyle w:val="145"/>
        <w:rPr>
          <w:rFonts w:hint="eastAsia"/>
          <w:lang w:eastAsia="zh-CN"/>
        </w:rPr>
      </w:pPr>
      <w:r>
        <w:drawing>
          <wp:inline distT="0" distB="0" distL="0" distR="0">
            <wp:extent cx="2561590" cy="254127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72476" cy="2551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688590" cy="2525395"/>
            <wp:effectExtent l="0" t="0" r="0" b="825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94304" cy="2530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38E3C6">
      <w:pPr>
        <w:pStyle w:val="145"/>
        <w:rPr>
          <w:lang w:eastAsia="zh-CN"/>
        </w:rPr>
      </w:pPr>
      <w:r>
        <w:rPr>
          <w:rFonts w:hint="eastAsia"/>
          <w:lang w:eastAsia="zh-CN"/>
        </w:rPr>
        <w:t>根据QYResearch调研团队最新报告“全球密胺餐具市场报告2025-2031”显示，预计2030年全球密胺餐具市场规模将达到13.9亿美元，未来几年年复合增长率CAGR为4.3%。</w:t>
      </w:r>
      <w:bookmarkStart w:id="13" w:name="_GoBack"/>
      <w:bookmarkEnd w:id="13"/>
    </w:p>
    <w:p w14:paraId="3F6C2722">
      <w:pPr>
        <w:pStyle w:val="148"/>
        <w:rPr>
          <w:lang w:eastAsia="zh-CN"/>
        </w:rPr>
      </w:pPr>
      <w:r>
        <w:rPr>
          <w:lang w:eastAsia="zh-CN"/>
        </w:rPr>
        <w:t>密胺餐具</w:t>
      </w:r>
      <w:r>
        <w:rPr>
          <w:rFonts w:hint="eastAsia"/>
          <w:lang w:eastAsia="zh-CN"/>
        </w:rPr>
        <w:t>，全球市场总体规模</w:t>
      </w:r>
    </w:p>
    <w:p w14:paraId="33261207">
      <w:pPr>
        <w:pStyle w:val="145"/>
        <w:rPr>
          <w:lang w:eastAsia="zh-CN"/>
        </w:rPr>
      </w:pPr>
      <w:r>
        <w:drawing>
          <wp:inline distT="0" distB="0" distL="114300" distR="114300">
            <wp:extent cx="6188075" cy="3277235"/>
            <wp:effectExtent l="0" t="0" r="3175" b="18415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88075" cy="327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8964BA"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t>密胺餐具</w:t>
      </w:r>
      <w:r>
        <w:rPr>
          <w:rFonts w:hint="eastAsia"/>
        </w:rPr>
        <w:t>市场研究报告2025-2031</w:t>
      </w:r>
      <w:r>
        <w:rPr>
          <w:rFonts w:hint="eastAsia"/>
          <w:lang w:eastAsia="zh-CN"/>
        </w:rPr>
        <w:t>”</w:t>
      </w:r>
      <w:r>
        <w:t>.</w:t>
      </w:r>
    </w:p>
    <w:p w14:paraId="12FD9BEF">
      <w:pPr>
        <w:pStyle w:val="145"/>
      </w:pPr>
    </w:p>
    <w:p w14:paraId="720E31E2"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密胺餐具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10</w:t>
      </w:r>
      <w:r>
        <w:rPr>
          <w:rFonts w:hint="eastAsia"/>
          <w:lang w:eastAsia="zh-CN"/>
        </w:rPr>
        <w:t>强生产商排名及市场占有率（基于2</w:t>
      </w:r>
      <w:r>
        <w:rPr>
          <w:lang w:eastAsia="zh-CN"/>
        </w:rPr>
        <w:t>024</w:t>
      </w:r>
      <w:r>
        <w:rPr>
          <w:rFonts w:hint="eastAsia"/>
          <w:lang w:eastAsia="zh-CN"/>
        </w:rPr>
        <w:t>年调研数据；目前最新数据以本公司最新调研数据为准）</w:t>
      </w:r>
    </w:p>
    <w:p w14:paraId="773AFA33"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3771900" cy="5991225"/>
            <wp:effectExtent l="0" t="0" r="0" b="0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04A43543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</w:t>
      </w:r>
      <w:r>
        <w:rPr>
          <w:lang w:eastAsia="zh-CN"/>
        </w:rPr>
        <w:t>密胺餐具</w:t>
      </w:r>
      <w:r>
        <w:rPr>
          <w:rFonts w:hint="eastAsia"/>
          <w:lang w:eastAsia="zh-CN"/>
        </w:rPr>
        <w:t>市场研究报告2025-2031”，排名基于2024数据。目前最新数据，以本公司最新调研数据为准。</w:t>
      </w:r>
    </w:p>
    <w:p w14:paraId="679A3E3B">
      <w:pPr>
        <w:pStyle w:val="145"/>
        <w:rPr>
          <w:lang w:eastAsia="zh-CN"/>
        </w:rPr>
      </w:pPr>
      <w:r>
        <w:rPr>
          <w:rFonts w:hint="eastAsia"/>
          <w:lang w:eastAsia="zh-CN"/>
        </w:rPr>
        <w:t>根据QYResearch头部企业研究中心调研，全球范围内密胺餐具生产商主要包括Huizhou Wuhe、Dongguan Thousand、Kokusai-Kako、Sanshin、GET Enterprises、Fujian Sanheng、Zhejiang Taishun、Shanghai Meiernai、Nanjing Demei、Fujian Kingpally等。2024年，全球前五大厂商占有大约16.0%的市场份额。</w:t>
      </w:r>
    </w:p>
    <w:p w14:paraId="29E7A780">
      <w:pPr>
        <w:pStyle w:val="145"/>
        <w:rPr>
          <w:lang w:eastAsia="zh-CN"/>
        </w:rPr>
      </w:pPr>
    </w:p>
    <w:p w14:paraId="3B2E5865">
      <w:pPr>
        <w:pStyle w:val="145"/>
        <w:rPr>
          <w:lang w:eastAsia="zh-CN"/>
        </w:rPr>
      </w:pPr>
    </w:p>
    <w:p w14:paraId="3E6DE9A8">
      <w:pPr>
        <w:pStyle w:val="148"/>
        <w:rPr>
          <w:lang w:eastAsia="zh-CN"/>
        </w:rPr>
      </w:pPr>
      <w:r>
        <w:rPr>
          <w:lang w:eastAsia="zh-CN"/>
        </w:rPr>
        <w:t>密胺餐具</w:t>
      </w:r>
      <w:r>
        <w:rPr>
          <w:rFonts w:hint="eastAsia"/>
          <w:lang w:eastAsia="zh-CN"/>
        </w:rPr>
        <w:t>，全球市场规模，按产品类型细分</w:t>
      </w:r>
    </w:p>
    <w:p w14:paraId="19A9AF05"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6188710" cy="2853055"/>
            <wp:effectExtent l="0" t="0" r="254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853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AC1641">
      <w:pPr>
        <w:pStyle w:val="145"/>
        <w:rPr>
          <w:lang w:eastAsia="zh-CN"/>
        </w:rPr>
      </w:pPr>
      <w:r>
        <w:drawing>
          <wp:inline distT="0" distB="0" distL="0" distR="0">
            <wp:extent cx="6188710" cy="2922270"/>
            <wp:effectExtent l="0" t="0" r="2540" b="0"/>
            <wp:docPr id="4" name="图表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6DDE815E"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t>密胺餐具</w:t>
      </w:r>
      <w:r>
        <w:rPr>
          <w:rFonts w:hint="eastAsia"/>
        </w:rPr>
        <w:t>市场研究报告2025-2031”</w:t>
      </w:r>
      <w:r>
        <w:t>.</w:t>
      </w:r>
    </w:p>
    <w:p w14:paraId="27D2A007"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就产品类型而言，目前Melamine Bowls是最主要的细分产品，占据大约37.5%的份额。</w:t>
      </w:r>
    </w:p>
    <w:p w14:paraId="41C3AE68">
      <w:pPr>
        <w:pStyle w:val="145"/>
        <w:rPr>
          <w:lang w:eastAsia="zh-CN"/>
        </w:rPr>
      </w:pPr>
    </w:p>
    <w:p w14:paraId="0B069045">
      <w:pPr>
        <w:pStyle w:val="148"/>
        <w:rPr>
          <w:lang w:eastAsia="zh-CN"/>
        </w:rPr>
      </w:pPr>
      <w:r>
        <w:rPr>
          <w:lang w:eastAsia="zh-CN"/>
        </w:rPr>
        <w:t>密胺餐具</w:t>
      </w:r>
      <w:r>
        <w:rPr>
          <w:rFonts w:hint="eastAsia"/>
          <w:lang w:eastAsia="zh-CN"/>
        </w:rPr>
        <w:t>，全球市场规模，按应用细分</w:t>
      </w:r>
    </w:p>
    <w:p w14:paraId="0A4DB270">
      <w:pPr>
        <w:widowControl/>
        <w:topLinePunct w:val="0"/>
        <w:spacing w:after="0"/>
        <w:jc w:val="left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6188710" cy="2853055"/>
            <wp:effectExtent l="0" t="0" r="2540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853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F9213C6">
      <w:pPr>
        <w:widowControl/>
        <w:topLinePunct w:val="0"/>
        <w:spacing w:after="0"/>
        <w:jc w:val="left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6188710" cy="2922270"/>
            <wp:effectExtent l="0" t="0" r="2540" b="0"/>
            <wp:docPr id="6" name="图表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08CA65EC"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t>密胺餐具</w:t>
      </w:r>
      <w:r>
        <w:rPr>
          <w:rFonts w:hint="eastAsia"/>
        </w:rPr>
        <w:t>市场研究报告2025-2031”</w:t>
      </w:r>
      <w:r>
        <w:t>.</w:t>
      </w:r>
    </w:p>
    <w:p w14:paraId="032E19C8"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就产品应用而言，目前Commercial是最主要的需求来源，占据大约79.1%的份额。</w:t>
      </w:r>
    </w:p>
    <w:p w14:paraId="4B5D90DE">
      <w:pPr>
        <w:pStyle w:val="145"/>
        <w:rPr>
          <w:lang w:eastAsia="zh-CN"/>
        </w:rPr>
      </w:pPr>
    </w:p>
    <w:p w14:paraId="0CD10F4E">
      <w:pPr>
        <w:pStyle w:val="148"/>
        <w:rPr>
          <w:lang w:eastAsia="zh-CN"/>
        </w:rPr>
      </w:pPr>
      <w:r>
        <w:rPr>
          <w:rFonts w:hint="eastAsia"/>
          <w:lang w:eastAsia="zh-CN"/>
        </w:rPr>
        <w:t>全球主要市场</w:t>
      </w:r>
      <w:r>
        <w:rPr>
          <w:lang w:eastAsia="zh-CN"/>
        </w:rPr>
        <w:t>密胺餐具</w:t>
      </w:r>
      <w:r>
        <w:rPr>
          <w:rFonts w:hint="eastAsia"/>
          <w:lang w:eastAsia="zh-CN"/>
        </w:rPr>
        <w:t>规模</w:t>
      </w:r>
    </w:p>
    <w:p w14:paraId="4B44D8E9">
      <w:pPr>
        <w:pStyle w:val="145"/>
        <w:rPr>
          <w:lang w:val="en-US" w:eastAsia="zh-CN"/>
        </w:rPr>
      </w:pPr>
      <w:r>
        <w:drawing>
          <wp:inline distT="0" distB="0" distL="0" distR="0">
            <wp:extent cx="6188710" cy="2922270"/>
            <wp:effectExtent l="0" t="0" r="2540" b="0"/>
            <wp:docPr id="7" name="图表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1955FD00">
      <w:pPr>
        <w:pStyle w:val="145"/>
        <w:rPr>
          <w:rFonts w:hint="eastAsia"/>
          <w:lang w:val="en-US" w:eastAsia="zh-CN"/>
        </w:rPr>
      </w:pPr>
      <w:r>
        <w:drawing>
          <wp:inline distT="0" distB="0" distL="0" distR="0">
            <wp:extent cx="5908040" cy="3059430"/>
            <wp:effectExtent l="0" t="0" r="0" b="7620"/>
            <wp:docPr id="8" name="图表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265C5B20"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t>密胺餐具</w:t>
      </w:r>
      <w:r>
        <w:rPr>
          <w:rFonts w:hint="eastAsia"/>
        </w:rPr>
        <w:t>市场研究报告2025-2031”</w:t>
      </w:r>
      <w:r>
        <w:t>.</w:t>
      </w:r>
    </w:p>
    <w:p w14:paraId="3BEB8223">
      <w:pPr>
        <w:pStyle w:val="143"/>
      </w:pPr>
    </w:p>
    <w:p w14:paraId="1B70AE3F">
      <w:pPr>
        <w:pStyle w:val="145"/>
      </w:pPr>
    </w:p>
    <w:p w14:paraId="6AB919D2">
      <w:pPr>
        <w:pStyle w:val="145"/>
        <w:rPr>
          <w:b/>
          <w:lang w:eastAsia="zh-CN"/>
        </w:rPr>
      </w:pPr>
      <w:r>
        <w:rPr>
          <w:rFonts w:hint="eastAsia"/>
          <w:b/>
          <w:lang w:eastAsia="zh-CN"/>
        </w:rPr>
        <w:t>主要驱动因素：</w:t>
      </w:r>
    </w:p>
    <w:p w14:paraId="7AB9730B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D1：高品质和独特的设计。</w:t>
      </w:r>
    </w:p>
    <w:p w14:paraId="377F6482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D2：拥有原材料优势的新进入者。</w:t>
      </w:r>
    </w:p>
    <w:p w14:paraId="5A207FDA">
      <w:pPr>
        <w:pStyle w:val="145"/>
        <w:rPr>
          <w:lang w:eastAsia="zh-CN"/>
        </w:rPr>
      </w:pPr>
      <w:r>
        <w:rPr>
          <w:rFonts w:hint="eastAsia"/>
          <w:lang w:eastAsia="zh-CN"/>
        </w:rPr>
        <w:t>D3：现代营销技术不断发展。除了传统营销，网络营销也逐渐普及。</w:t>
      </w:r>
    </w:p>
    <w:p w14:paraId="4462B40E">
      <w:pPr>
        <w:pStyle w:val="145"/>
        <w:rPr>
          <w:lang w:eastAsia="zh-CN"/>
        </w:rPr>
      </w:pPr>
    </w:p>
    <w:p w14:paraId="67577450">
      <w:pPr>
        <w:pStyle w:val="145"/>
        <w:rPr>
          <w:b/>
          <w:lang w:eastAsia="zh-CN"/>
        </w:rPr>
      </w:pPr>
      <w:r>
        <w:rPr>
          <w:rFonts w:hint="eastAsia"/>
          <w:b/>
          <w:lang w:eastAsia="zh-CN"/>
        </w:rPr>
        <w:t>主要挑战：</w:t>
      </w:r>
    </w:p>
    <w:p w14:paraId="45C0B1C6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C1：供应链挑战，供应链中断是关税摩擦对美耐皿餐具生态系统的主要影响。</w:t>
      </w:r>
    </w:p>
    <w:p w14:paraId="0C70C19D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C2：原材料和劳动力成本的上涨将影响美耐皿餐具的价格。</w:t>
      </w:r>
    </w:p>
    <w:p w14:paraId="5CC05EDA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C3：美耐皿餐具市场的增长与国家或地区的GDP增长率高度相关。</w:t>
      </w:r>
    </w:p>
    <w:p w14:paraId="34A8B176">
      <w:pPr>
        <w:pStyle w:val="145"/>
        <w:rPr>
          <w:lang w:eastAsia="zh-CN"/>
        </w:rPr>
      </w:pPr>
      <w:r>
        <w:rPr>
          <w:rFonts w:hint="eastAsia"/>
          <w:lang w:eastAsia="zh-CN"/>
        </w:rPr>
        <w:t>C4：国际竞争始终存在，企业都在努力争取更大的市场地位。</w:t>
      </w:r>
    </w:p>
    <w:p w14:paraId="4EFE979A">
      <w:pPr>
        <w:pStyle w:val="145"/>
        <w:rPr>
          <w:lang w:eastAsia="zh-CN"/>
        </w:rPr>
      </w:pPr>
    </w:p>
    <w:p w14:paraId="5D27BBA3">
      <w:pPr>
        <w:pStyle w:val="145"/>
        <w:rPr>
          <w:lang w:eastAsia="zh-CN"/>
        </w:rPr>
      </w:pPr>
      <w:r>
        <w:rPr>
          <w:rFonts w:hint="eastAsia"/>
          <w:lang w:eastAsia="zh-CN"/>
        </w:rPr>
        <w:t>希望以上信息能为您提供有价值的参考。如果您想获取行业市场更详细分析，请咨询相关的完整版行业报告。在市场调查报告方面，QYResearch研究团队深入挖掘市场数据，通过科学的方法和严谨的分析，为客户提供准确、全面的市场现状和趋势信息，帮助企业了解目标市场的规模、增长潜力、竞争格局等关键要素。市场研究报告则更加注重对特定行业或细分市场的深度剖析，从宏观经济环境、政策法规、技术创新等多个维度进行综合分析，为企业制定发展战略提供有力支持。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07A95001"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E0980">
    <w:pPr>
      <w:pStyle w:val="21"/>
      <w:jc w:val="center"/>
    </w:pPr>
    <w:r>
      <w:t>Copyright © QYResearch | market@qyresearch.com | 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EBBC53"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65371B16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65371B16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02A48211">
    <w:pPr>
      <w:pStyle w:val="22"/>
      <w:pBdr>
        <w:bottom w:val="none" w:color="auto" w:sz="0" w:space="0"/>
      </w:pBdr>
      <w:jc w:val="both"/>
    </w:pPr>
  </w:p>
  <w:p w14:paraId="7C1E6558">
    <w:pPr>
      <w:pStyle w:val="22"/>
      <w:pBdr>
        <w:bottom w:val="none" w:color="auto" w:sz="0" w:space="0"/>
      </w:pBdr>
      <w:jc w:val="both"/>
    </w:pPr>
  </w:p>
  <w:p w14:paraId="3522D064">
    <w:pPr>
      <w:pStyle w:val="22"/>
      <w:pBdr>
        <w:bottom w:val="none" w:color="auto" w:sz="0" w:space="0"/>
      </w:pBdr>
      <w:jc w:val="both"/>
    </w:pPr>
  </w:p>
  <w:p w14:paraId="0E6B6DFD"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839A2F"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86DDD5"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48D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8A7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462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9F4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3B1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7B8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136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6FA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664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146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CA5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D72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C0E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C6C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14C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30F"/>
    <w:rsid w:val="00174813"/>
    <w:rsid w:val="00174928"/>
    <w:rsid w:val="00174B47"/>
    <w:rsid w:val="00175134"/>
    <w:rsid w:val="00175245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6E10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D3F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06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3DC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9EE"/>
    <w:rsid w:val="002B1A3C"/>
    <w:rsid w:val="002B1CB6"/>
    <w:rsid w:val="002B1CDF"/>
    <w:rsid w:val="002B23E5"/>
    <w:rsid w:val="002B248B"/>
    <w:rsid w:val="002B24B5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38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86A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505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05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0E4"/>
    <w:rsid w:val="003915D3"/>
    <w:rsid w:val="00391663"/>
    <w:rsid w:val="0039166F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A67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530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A5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3CA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7FE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A42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82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922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E5D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1AC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5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75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BD4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3BE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8C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223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26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5DA8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EDC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254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E94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118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59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5EA9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119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6F2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7F0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DA2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4ED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473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19A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561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77F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729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04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3E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4F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3BD0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3D4F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418"/>
    <w:rsid w:val="00BF45E6"/>
    <w:rsid w:val="00BF45FE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9DC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2E7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27E95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32B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98E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0B3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4E5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5E9B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DE2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3F86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4D3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374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283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1FFF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24C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6E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8E0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3A84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3F9F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8D6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9F5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1A2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8B7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3C4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651D1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customXml" Target="../customXml/item2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chart" Target="charts/chart5.xml"/><Relationship Id="rId17" Type="http://schemas.openxmlformats.org/officeDocument/2006/relationships/chart" Target="charts/chart4.xml"/><Relationship Id="rId16" Type="http://schemas.openxmlformats.org/officeDocument/2006/relationships/chart" Target="charts/chart3.xml"/><Relationship Id="rId15" Type="http://schemas.openxmlformats.org/officeDocument/2006/relationships/image" Target="media/image7.png"/><Relationship Id="rId14" Type="http://schemas.openxmlformats.org/officeDocument/2006/relationships/chart" Target="charts/chart2.xml"/><Relationship Id="rId13" Type="http://schemas.openxmlformats.org/officeDocument/2006/relationships/image" Target="media/image6.png"/><Relationship Id="rId12" Type="http://schemas.openxmlformats.org/officeDocument/2006/relationships/chart" Target="charts/chart1.xml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admin\Desktop\20251010%20%20&#23459;&#20256;&#25991;&#26723;%20&#24352;&#27905;\20251010%20Melamine%20Tableware%20%20&#23494;&#33018;&#39184;&#20855;\&#35266;&#28857;&#25968;&#25454;&#22270;&#34920;&#27169;&#26495;-&#27169;&#26495;%2020240426%20&#20026;&#20934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admin\Desktop\20251010%20%20&#23459;&#20256;&#25991;&#26723;%20&#24352;&#27905;\20251010%20Melamine%20Tableware%20%20&#23494;&#33018;&#39184;&#20855;\&#35266;&#28857;&#25968;&#25454;&#22270;&#34920;&#27169;&#26495;-&#27169;&#26495;%2020240426%20&#20026;&#20934;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5.xml"/><Relationship Id="rId2" Type="http://schemas.microsoft.com/office/2011/relationships/chartStyle" Target="style5.xml"/><Relationship Id="rId1" Type="http://schemas.openxmlformats.org/officeDocument/2006/relationships/oleObject" Target="file:///C:\Users\admin\Desktop\20251010%20%20&#23459;&#20256;&#25991;&#26723;%20&#24352;&#27905;\20251010%20Melamine%20Tableware%20%20&#23494;&#33018;&#39184;&#20855;\&#35266;&#28857;&#25968;&#25454;&#22270;&#34920;&#27169;&#26495;-&#27169;&#26495;%2020240426%20&#20026;&#20934;.xlsx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oleObject" Target="file:///C:\Users\admin\Desktop\20251010%20%20&#23459;&#20256;&#25991;&#26723;%20&#24352;&#27905;\20251010%20Melamine%20Tableware%20%20&#23494;&#33018;&#39184;&#20855;\&#35266;&#28857;&#25968;&#25454;&#22270;&#34920;&#27169;&#26495;-&#27169;&#26495;%2020240426%20&#20026;&#20934;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4.xml"/><Relationship Id="rId2" Type="http://schemas.microsoft.com/office/2011/relationships/chartStyle" Target="style4.xml"/><Relationship Id="rId1" Type="http://schemas.openxmlformats.org/officeDocument/2006/relationships/oleObject" Target="file:///C:\Users\admin\Desktop\20251010%20%20&#23459;&#20256;&#25991;&#26723;%20&#24352;&#27905;\20251010%20Melamine%20Tableware%20%20&#23494;&#33018;&#39184;&#20855;\&#35266;&#28857;&#25968;&#25454;&#22270;&#34920;&#27169;&#26495;-&#27169;&#26495;%2020240426%20&#20026;&#20934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宋体" panose="02010600030101010101" charset="-122"/>
                <a:cs typeface="+mn-cs"/>
              </a:defRPr>
            </a:pPr>
            <a:r>
              <a:rPr lang="zh-CN" sz="1100"/>
              <a:t>全球市场主要企业排名</a:t>
            </a:r>
            <a:endParaRPr lang="en-US" sz="1100"/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企业收入!$I$1</c:f>
              <c:strCache>
                <c:ptCount val="1"/>
                <c:pt idx="0">
                  <c:v>2024</c:v>
                </c:pt>
              </c:strCache>
            </c:strRef>
          </c:tx>
          <c:spPr>
            <a:solidFill>
              <a:srgbClr val="002060"/>
            </a:solidFill>
          </c:spPr>
          <c:invertIfNegative val="0"/>
          <c:dPt>
            <c:idx val="0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企业收入!$H$2:$H$21</c:f>
              <c:strCache>
                <c:ptCount val="10"/>
                <c:pt idx="0">
                  <c:v>Huizhou Wuhe</c:v>
                </c:pt>
                <c:pt idx="1">
                  <c:v>Dongguan Thousand</c:v>
                </c:pt>
                <c:pt idx="2">
                  <c:v>Kokusai-Kako</c:v>
                </c:pt>
                <c:pt idx="3">
                  <c:v>Sanshin</c:v>
                </c:pt>
                <c:pt idx="4">
                  <c:v>GET Enterprises</c:v>
                </c:pt>
                <c:pt idx="5">
                  <c:v>Fujian Sanheng</c:v>
                </c:pt>
                <c:pt idx="6">
                  <c:v>Zhejiang Taishun</c:v>
                </c:pt>
                <c:pt idx="7">
                  <c:v>Shanghai Meiernai</c:v>
                </c:pt>
                <c:pt idx="8">
                  <c:v>Nanjing Demei</c:v>
                </c:pt>
                <c:pt idx="9">
                  <c:v>Fujian Kingpally</c:v>
                </c:pt>
              </c:strCache>
            </c:strRef>
          </c:cat>
          <c:val>
            <c:numRef>
              <c:f>企业收入!$I$2:$I$21</c:f>
              <c:numCache>
                <c:formatCode>0.0%</c:formatCode>
                <c:ptCount val="10"/>
                <c:pt idx="0">
                  <c:v>0.0594806297268097</c:v>
                </c:pt>
                <c:pt idx="1">
                  <c:v>0.0439593301435407</c:v>
                </c:pt>
                <c:pt idx="2">
                  <c:v>0.0248591603642537</c:v>
                </c:pt>
                <c:pt idx="3">
                  <c:v>0.0200937644698256</c:v>
                </c:pt>
                <c:pt idx="4">
                  <c:v>0.0155598857848433</c:v>
                </c:pt>
                <c:pt idx="5">
                  <c:v>0.012357231054175</c:v>
                </c:pt>
                <c:pt idx="6">
                  <c:v>0.0095790245408242</c:v>
                </c:pt>
                <c:pt idx="7">
                  <c:v>0.00786193857076709</c:v>
                </c:pt>
                <c:pt idx="8">
                  <c:v>0.00706127488810001</c:v>
                </c:pt>
                <c:pt idx="9">
                  <c:v>0.0070226886865257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axId val="1272139183"/>
        <c:axId val="1326546959"/>
      </c:barChart>
      <c:catAx>
        <c:axId val="1272139183"/>
        <c:scaling>
          <c:orientation val="maxMin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宋体" panose="02010600030101010101" charset="-122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t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.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宋体" panose="02010600030101010101" charset="-122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uri="{0b15fc19-7d7d-44ad-8c2d-2c3a37ce22c3}">
        <chartProps xmlns="https://web.wps.cn/et/2018/main" chartId="{79e3f53c-9f51-47e6-9a2d-2d48de67e549}"/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 baseline="0">
          <a:latin typeface="Times New Roman" panose="02020603050405020304" charset="0"/>
          <a:ea typeface="宋体" panose="02010600030101010101" charset="-122"/>
        </a:defRPr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分类!$R$2</c:f>
              <c:strCache>
                <c:ptCount val="1"/>
                <c:pt idx="0">
                  <c:v>Melamine Bowls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</c:v>
                </c:pt>
                <c:pt idx="6">
                  <c:v>2026</c:v>
                </c:pt>
                <c:pt idx="7">
                  <c:v>2027</c:v>
                </c:pt>
                <c:pt idx="8">
                  <c:v>2028</c:v>
                </c:pt>
                <c:pt idx="9">
                  <c:v>2029</c:v>
                </c:pt>
                <c:pt idx="10">
                  <c:v>2030</c:v>
                </c:pt>
                <c:pt idx="11">
                  <c:v>2031</c:v>
                </c:pt>
              </c:numCache>
            </c:numRef>
          </c:cat>
          <c:val>
            <c:numRef>
              <c:f>分类!$S$2:$AD$2</c:f>
              <c:numCache>
                <c:formatCode>0.0%</c:formatCode>
                <c:ptCount val="12"/>
                <c:pt idx="0">
                  <c:v>0.385840609222015</c:v>
                </c:pt>
                <c:pt idx="1">
                  <c:v>0.385525706607044</c:v>
                </c:pt>
                <c:pt idx="2">
                  <c:v>0.376746785913918</c:v>
                </c:pt>
                <c:pt idx="3">
                  <c:v>0.364634849358294</c:v>
                </c:pt>
                <c:pt idx="4">
                  <c:v>0.374517672480321</c:v>
                </c:pt>
                <c:pt idx="5">
                  <c:v>0.385814425382771</c:v>
                </c:pt>
                <c:pt idx="6">
                  <c:v>0.396506334909357</c:v>
                </c:pt>
                <c:pt idx="7">
                  <c:v>0.406269476308387</c:v>
                </c:pt>
                <c:pt idx="8">
                  <c:v>0.41521983033473</c:v>
                </c:pt>
                <c:pt idx="9">
                  <c:v>0.423454838509702</c:v>
                </c:pt>
                <c:pt idx="10">
                  <c:v>0.431056965090719</c:v>
                </c:pt>
                <c:pt idx="11">
                  <c:v>0.438096468190755</c:v>
                </c:pt>
              </c:numCache>
            </c:numRef>
          </c:val>
        </c:ser>
        <c:ser>
          <c:idx val="1"/>
          <c:order val="1"/>
          <c:tx>
            <c:strRef>
              <c:f>分类!$R$3</c:f>
              <c:strCache>
                <c:ptCount val="1"/>
                <c:pt idx="0">
                  <c:v>Melamine Trays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</c:v>
                </c:pt>
                <c:pt idx="6">
                  <c:v>2026</c:v>
                </c:pt>
                <c:pt idx="7">
                  <c:v>2027</c:v>
                </c:pt>
                <c:pt idx="8">
                  <c:v>2028</c:v>
                </c:pt>
                <c:pt idx="9">
                  <c:v>2029</c:v>
                </c:pt>
                <c:pt idx="10">
                  <c:v>2030</c:v>
                </c:pt>
                <c:pt idx="11">
                  <c:v>2031</c:v>
                </c:pt>
              </c:numCache>
            </c:numRef>
          </c:cat>
          <c:val>
            <c:numRef>
              <c:f>分类!$S$3:$AD$3</c:f>
              <c:numCache>
                <c:formatCode>0.0%</c:formatCode>
                <c:ptCount val="12"/>
                <c:pt idx="0">
                  <c:v>0.299785210187174</c:v>
                </c:pt>
                <c:pt idx="1">
                  <c:v>0.299524599975157</c:v>
                </c:pt>
                <c:pt idx="2">
                  <c:v>0.307771813071496</c:v>
                </c:pt>
                <c:pt idx="3">
                  <c:v>0.318840579710145</c:v>
                </c:pt>
                <c:pt idx="4">
                  <c:v>0.308795724648866</c:v>
                </c:pt>
                <c:pt idx="5">
                  <c:v>0.297712599151448</c:v>
                </c:pt>
                <c:pt idx="6">
                  <c:v>0.289944266885021</c:v>
                </c:pt>
                <c:pt idx="7">
                  <c:v>0.282850741994711</c:v>
                </c:pt>
                <c:pt idx="8">
                  <c:v>0.27634775730279</c:v>
                </c:pt>
                <c:pt idx="9">
                  <c:v>0.270364515529106</c:v>
                </c:pt>
                <c:pt idx="10">
                  <c:v>0.26484110130025</c:v>
                </c:pt>
                <c:pt idx="11">
                  <c:v>0.259726467760222</c:v>
                </c:pt>
              </c:numCache>
            </c:numRef>
          </c:val>
        </c:ser>
        <c:ser>
          <c:idx val="2"/>
          <c:order val="2"/>
          <c:tx>
            <c:strRef>
              <c:f>分类!$R$4</c:f>
              <c:strCache>
                <c:ptCount val="1"/>
                <c:pt idx="0">
                  <c:v>Melamine Cups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</c:v>
                </c:pt>
                <c:pt idx="6">
                  <c:v>2026</c:v>
                </c:pt>
                <c:pt idx="7">
                  <c:v>2027</c:v>
                </c:pt>
                <c:pt idx="8">
                  <c:v>2028</c:v>
                </c:pt>
                <c:pt idx="9">
                  <c:v>2029</c:v>
                </c:pt>
                <c:pt idx="10">
                  <c:v>2030</c:v>
                </c:pt>
                <c:pt idx="11">
                  <c:v>2031</c:v>
                </c:pt>
              </c:numCache>
            </c:numRef>
          </c:cat>
          <c:val>
            <c:numRef>
              <c:f>分类!$S$4:$AD$4</c:f>
              <c:numCache>
                <c:formatCode>0.0%</c:formatCode>
                <c:ptCount val="12"/>
                <c:pt idx="0">
                  <c:v>0.106962537309269</c:v>
                </c:pt>
                <c:pt idx="1">
                  <c:v>0.107365877344535</c:v>
                </c:pt>
                <c:pt idx="2">
                  <c:v>0.110149023909215</c:v>
                </c:pt>
                <c:pt idx="3">
                  <c:v>0.109600817176897</c:v>
                </c:pt>
                <c:pt idx="4">
                  <c:v>0.105977002623862</c:v>
                </c:pt>
                <c:pt idx="5">
                  <c:v>0.108171923999262</c:v>
                </c:pt>
                <c:pt idx="6">
                  <c:v>0.107248826787114</c:v>
                </c:pt>
                <c:pt idx="7">
                  <c:v>0.106405915744437</c:v>
                </c:pt>
                <c:pt idx="8">
                  <c:v>0.105633177551235</c:v>
                </c:pt>
                <c:pt idx="9">
                  <c:v>0.104922199491662</c:v>
                </c:pt>
                <c:pt idx="10">
                  <c:v>0.104265861927648</c:v>
                </c:pt>
                <c:pt idx="11">
                  <c:v>0.103658099051391</c:v>
                </c:pt>
              </c:numCache>
            </c:numRef>
          </c:val>
        </c:ser>
        <c:ser>
          <c:idx val="3"/>
          <c:order val="3"/>
          <c:tx>
            <c:strRef>
              <c:f>分类!$R$5</c:f>
              <c:strCache>
                <c:ptCount val="1"/>
                <c:pt idx="0">
                  <c:v>Melamine Plates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</c:v>
                </c:pt>
                <c:pt idx="6">
                  <c:v>2026</c:v>
                </c:pt>
                <c:pt idx="7">
                  <c:v>2027</c:v>
                </c:pt>
                <c:pt idx="8">
                  <c:v>2028</c:v>
                </c:pt>
                <c:pt idx="9">
                  <c:v>2029</c:v>
                </c:pt>
                <c:pt idx="10">
                  <c:v>2030</c:v>
                </c:pt>
                <c:pt idx="11">
                  <c:v>2031</c:v>
                </c:pt>
              </c:numCache>
            </c:numRef>
          </c:cat>
          <c:val>
            <c:numRef>
              <c:f>分类!$S$5:$AD$5</c:f>
              <c:numCache>
                <c:formatCode>0.0%</c:formatCode>
                <c:ptCount val="12"/>
                <c:pt idx="0">
                  <c:v>0.147939970431532</c:v>
                </c:pt>
                <c:pt idx="1">
                  <c:v>0.147283670404372</c:v>
                </c:pt>
                <c:pt idx="2">
                  <c:v>0.146229051752323</c:v>
                </c:pt>
                <c:pt idx="3">
                  <c:v>0.148396492612033</c:v>
                </c:pt>
                <c:pt idx="4">
                  <c:v>0.152270797962649</c:v>
                </c:pt>
                <c:pt idx="5">
                  <c:v>0.150239808153477</c:v>
                </c:pt>
                <c:pt idx="6">
                  <c:v>0.147767593790996</c:v>
                </c:pt>
                <c:pt idx="7">
                  <c:v>0.145510131891455</c:v>
                </c:pt>
                <c:pt idx="8">
                  <c:v>0.143440605047986</c:v>
                </c:pt>
                <c:pt idx="9">
                  <c:v>0.141536482549129</c:v>
                </c:pt>
                <c:pt idx="10">
                  <c:v>0.139778696769867</c:v>
                </c:pt>
                <c:pt idx="11">
                  <c:v>0.138151002425338</c:v>
                </c:pt>
              </c:numCache>
            </c:numRef>
          </c:val>
        </c:ser>
        <c:ser>
          <c:idx val="4"/>
          <c:order val="4"/>
          <c:tx>
            <c:strRef>
              <c:f>分类!$R$6</c:f>
              <c:strCache>
                <c:ptCount val="1"/>
                <c:pt idx="0">
                  <c:v>Others</c:v>
                </c:pt>
              </c:strCache>
            </c:strRef>
          </c:tx>
          <c:spPr>
            <a:solidFill>
              <a:schemeClr val="tx1">
                <a:lumMod val="65000"/>
                <a:lumOff val="3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</c:v>
                </c:pt>
                <c:pt idx="6">
                  <c:v>2026</c:v>
                </c:pt>
                <c:pt idx="7">
                  <c:v>2027</c:v>
                </c:pt>
                <c:pt idx="8">
                  <c:v>2028</c:v>
                </c:pt>
                <c:pt idx="9">
                  <c:v>2029</c:v>
                </c:pt>
                <c:pt idx="10">
                  <c:v>2030</c:v>
                </c:pt>
                <c:pt idx="11">
                  <c:v>2031</c:v>
                </c:pt>
              </c:numCache>
            </c:numRef>
          </c:cat>
          <c:val>
            <c:numRef>
              <c:f>分类!$S$6:$AD$6</c:f>
              <c:numCache>
                <c:formatCode>0.0%</c:formatCode>
                <c:ptCount val="12"/>
                <c:pt idx="0">
                  <c:v>0.0594716728500098</c:v>
                </c:pt>
                <c:pt idx="1">
                  <c:v>0.0603001456688912</c:v>
                </c:pt>
                <c:pt idx="2">
                  <c:v>0.0591033253530485</c:v>
                </c:pt>
                <c:pt idx="3">
                  <c:v>0.0585272611426317</c:v>
                </c:pt>
                <c:pt idx="4">
                  <c:v>0.0584388022843031</c:v>
                </c:pt>
                <c:pt idx="5">
                  <c:v>0.0580612433130419</c:v>
                </c:pt>
                <c:pt idx="6">
                  <c:v>0.0585329776275126</c:v>
                </c:pt>
                <c:pt idx="7">
                  <c:v>0.0589637340610103</c:v>
                </c:pt>
                <c:pt idx="8">
                  <c:v>0.0593586297632596</c:v>
                </c:pt>
                <c:pt idx="9">
                  <c:v>0.0597219639204017</c:v>
                </c:pt>
                <c:pt idx="10">
                  <c:v>0.060057374911516</c:v>
                </c:pt>
                <c:pt idx="11">
                  <c:v>0.0603679625722937</c:v>
                </c:pt>
              </c:numCache>
            </c:numRef>
          </c:val>
        </c:ser>
        <c:ser>
          <c:idx val="5"/>
          <c:order val="5"/>
          <c:tx>
            <c:strRef>
              <c:f>分类!$R$7</c:f>
              <c:strCache>
                <c:ptCount val="1"/>
                <c:pt idx="0">
                  <c:v>0</c:v>
                </c:pt>
              </c:strCache>
            </c:strRef>
          </c:tx>
          <c:spPr>
            <a:solidFill>
              <a:srgbClr val="C00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</c:v>
                </c:pt>
                <c:pt idx="6">
                  <c:v>2026</c:v>
                </c:pt>
                <c:pt idx="7">
                  <c:v>2027</c:v>
                </c:pt>
                <c:pt idx="8">
                  <c:v>2028</c:v>
                </c:pt>
                <c:pt idx="9">
                  <c:v>2029</c:v>
                </c:pt>
                <c:pt idx="10">
                  <c:v>2030</c:v>
                </c:pt>
                <c:pt idx="11">
                  <c:v>2031</c:v>
                </c:pt>
              </c:numCache>
            </c:numRef>
          </c:cat>
          <c:val>
            <c:numRef>
              <c:f>分类!$S$7:$AD$7</c:f>
            </c:numRef>
          </c:val>
        </c:ser>
        <c:ser>
          <c:idx val="6"/>
          <c:order val="6"/>
          <c:tx>
            <c:strRef>
              <c:f>分类!$R$8</c:f>
              <c:strCache>
                <c:ptCount val="1"/>
                <c:pt idx="0">
                  <c:v>0</c:v>
                </c:pt>
              </c:strCache>
            </c:strRef>
          </c:tx>
          <c:spPr>
            <a:solidFill>
              <a:srgbClr val="7030A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</c:v>
                </c:pt>
                <c:pt idx="6">
                  <c:v>2026</c:v>
                </c:pt>
                <c:pt idx="7">
                  <c:v>2027</c:v>
                </c:pt>
                <c:pt idx="8">
                  <c:v>2028</c:v>
                </c:pt>
                <c:pt idx="9">
                  <c:v>2029</c:v>
                </c:pt>
                <c:pt idx="10">
                  <c:v>2030</c:v>
                </c:pt>
                <c:pt idx="11">
                  <c:v>2031</c:v>
                </c:pt>
              </c:numCache>
            </c:numRef>
          </c:cat>
          <c:val>
            <c:numRef>
              <c:f>分类!$S$8:$AD$8</c:f>
            </c:numRef>
          </c:val>
        </c:ser>
        <c:ser>
          <c:idx val="7"/>
          <c:order val="7"/>
          <c:tx>
            <c:strRef>
              <c:f>分类!$R$9</c:f>
              <c:strCache>
                <c:ptCount val="1"/>
                <c:pt idx="0">
                  <c:v>0</c:v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</c:v>
                </c:pt>
                <c:pt idx="6">
                  <c:v>2026</c:v>
                </c:pt>
                <c:pt idx="7">
                  <c:v>2027</c:v>
                </c:pt>
                <c:pt idx="8">
                  <c:v>2028</c:v>
                </c:pt>
                <c:pt idx="9">
                  <c:v>2029</c:v>
                </c:pt>
                <c:pt idx="10">
                  <c:v>2030</c:v>
                </c:pt>
                <c:pt idx="11">
                  <c:v>2031</c:v>
                </c:pt>
              </c:numCache>
            </c:numRef>
          </c:cat>
          <c:val>
            <c:numRef>
              <c:f>分类!$S$9:$AD$9</c:f>
            </c:numRef>
          </c:val>
        </c:ser>
        <c:ser>
          <c:idx val="8"/>
          <c:order val="8"/>
          <c:tx>
            <c:strRef>
              <c:f>分类!$R$10</c:f>
              <c:strCache>
                <c:ptCount val="1"/>
                <c:pt idx="0">
                  <c:v>0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</c:v>
                </c:pt>
                <c:pt idx="6">
                  <c:v>2026</c:v>
                </c:pt>
                <c:pt idx="7">
                  <c:v>2027</c:v>
                </c:pt>
                <c:pt idx="8">
                  <c:v>2028</c:v>
                </c:pt>
                <c:pt idx="9">
                  <c:v>2029</c:v>
                </c:pt>
                <c:pt idx="10">
                  <c:v>2030</c:v>
                </c:pt>
                <c:pt idx="11">
                  <c:v>2031</c:v>
                </c:pt>
              </c:numCache>
            </c:numRef>
          </c:cat>
          <c:val>
            <c:numRef>
              <c:f>分类!$S$10:$AD$10</c:f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897692240"/>
        <c:axId val="1897707216"/>
      </c:barChart>
      <c:catAx>
        <c:axId val="18976922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707216"/>
        <c:crosses val="autoZero"/>
        <c:auto val="1"/>
        <c:lblAlgn val="ctr"/>
        <c:lblOffset val="100"/>
        <c:noMultiLvlLbl val="0"/>
      </c:catAx>
      <c:valAx>
        <c:axId val="189770721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6922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45b72c18-e48f-4026-a07a-571bda168979}"/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691853448275862"/>
          <c:y val="0.03175"/>
          <c:w val="0.897009594053696"/>
          <c:h val="0.75544166666666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应用!$A$2</c:f>
              <c:strCache>
                <c:ptCount val="1"/>
                <c:pt idx="0">
                  <c:v>Commercial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</c:v>
                </c:pt>
                <c:pt idx="6">
                  <c:v>2026</c:v>
                </c:pt>
                <c:pt idx="7">
                  <c:v>2027</c:v>
                </c:pt>
                <c:pt idx="8">
                  <c:v>2028</c:v>
                </c:pt>
                <c:pt idx="9">
                  <c:v>2029</c:v>
                </c:pt>
                <c:pt idx="10">
                  <c:v>2030</c:v>
                </c:pt>
                <c:pt idx="11">
                  <c:v>2031</c:v>
                </c:pt>
              </c:numCache>
            </c:numRef>
          </c:cat>
          <c:val>
            <c:numRef>
              <c:f>应用!$B$2:$M$2</c:f>
              <c:numCache>
                <c:formatCode>#,##0_);[Red]\(#,##0\)</c:formatCode>
                <c:ptCount val="12"/>
                <c:pt idx="0">
                  <c:v>174.2</c:v>
                </c:pt>
                <c:pt idx="1">
                  <c:v>233</c:v>
                </c:pt>
                <c:pt idx="2">
                  <c:v>266.6</c:v>
                </c:pt>
                <c:pt idx="3">
                  <c:v>278.1</c:v>
                </c:pt>
                <c:pt idx="4">
                  <c:v>291.6</c:v>
                </c:pt>
                <c:pt idx="5">
                  <c:v>304.8</c:v>
                </c:pt>
                <c:pt idx="6">
                  <c:v>318.6</c:v>
                </c:pt>
                <c:pt idx="7" c:formatCode="#,##0_ ">
                  <c:v>332.4</c:v>
                </c:pt>
                <c:pt idx="8" c:formatCode="#,##0_ ">
                  <c:v>346.2</c:v>
                </c:pt>
                <c:pt idx="9" c:formatCode="#,##0_ ">
                  <c:v>360</c:v>
                </c:pt>
                <c:pt idx="10" c:formatCode="#,##0_ ">
                  <c:v>373.8</c:v>
                </c:pt>
                <c:pt idx="11" c:formatCode="#,##0_ ">
                  <c:v>387.6</c:v>
                </c:pt>
              </c:numCache>
            </c:numRef>
          </c:val>
        </c:ser>
        <c:ser>
          <c:idx val="1"/>
          <c:order val="1"/>
          <c:tx>
            <c:strRef>
              <c:f>应用!$A$3</c:f>
              <c:strCache>
                <c:ptCount val="1"/>
                <c:pt idx="0">
                  <c:v>Residential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</c:v>
                </c:pt>
                <c:pt idx="6">
                  <c:v>2026</c:v>
                </c:pt>
                <c:pt idx="7">
                  <c:v>2027</c:v>
                </c:pt>
                <c:pt idx="8">
                  <c:v>2028</c:v>
                </c:pt>
                <c:pt idx="9">
                  <c:v>2029</c:v>
                </c:pt>
                <c:pt idx="10">
                  <c:v>2030</c:v>
                </c:pt>
                <c:pt idx="11">
                  <c:v>2031</c:v>
                </c:pt>
              </c:numCache>
            </c:numRef>
          </c:cat>
          <c:val>
            <c:numRef>
              <c:f>应用!$B$3:$M$3</c:f>
              <c:numCache>
                <c:formatCode>#,##0_);[Red]\(#,##0\)</c:formatCode>
                <c:ptCount val="12"/>
                <c:pt idx="0">
                  <c:v>83.8</c:v>
                </c:pt>
                <c:pt idx="1">
                  <c:v>84.1</c:v>
                </c:pt>
                <c:pt idx="2">
                  <c:v>71.8</c:v>
                </c:pt>
                <c:pt idx="3">
                  <c:v>74.3</c:v>
                </c:pt>
                <c:pt idx="4">
                  <c:v>77.1</c:v>
                </c:pt>
                <c:pt idx="5">
                  <c:v>79.4</c:v>
                </c:pt>
                <c:pt idx="6">
                  <c:v>82.7</c:v>
                </c:pt>
                <c:pt idx="7" c:formatCode="#,##0_ ">
                  <c:v>86</c:v>
                </c:pt>
                <c:pt idx="8" c:formatCode="#,##0_ ">
                  <c:v>89.3</c:v>
                </c:pt>
                <c:pt idx="9" c:formatCode="#,##0_ ">
                  <c:v>92.6</c:v>
                </c:pt>
                <c:pt idx="10" c:formatCode="#,##0_ ">
                  <c:v>95.9</c:v>
                </c:pt>
                <c:pt idx="11" c:formatCode="#,##0_ ">
                  <c:v>99.2</c:v>
                </c:pt>
              </c:numCache>
            </c:numRef>
          </c:val>
        </c:ser>
        <c:ser>
          <c:idx val="2"/>
          <c:order val="2"/>
          <c:tx>
            <c:strRef>
              <c:f>应用!$A$4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</c:v>
                </c:pt>
                <c:pt idx="6">
                  <c:v>2026</c:v>
                </c:pt>
                <c:pt idx="7">
                  <c:v>2027</c:v>
                </c:pt>
                <c:pt idx="8">
                  <c:v>2028</c:v>
                </c:pt>
                <c:pt idx="9">
                  <c:v>2029</c:v>
                </c:pt>
                <c:pt idx="10">
                  <c:v>2030</c:v>
                </c:pt>
                <c:pt idx="11">
                  <c:v>2031</c:v>
                </c:pt>
              </c:numCache>
            </c:numRef>
          </c:cat>
          <c:val>
            <c:numRef>
              <c:f>应用!$B$4:$M$4</c:f>
            </c:numRef>
          </c:val>
        </c:ser>
        <c:ser>
          <c:idx val="3"/>
          <c:order val="3"/>
          <c:tx>
            <c:strRef>
              <c:f>应用!$A$5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</c:v>
                </c:pt>
                <c:pt idx="6">
                  <c:v>2026</c:v>
                </c:pt>
                <c:pt idx="7">
                  <c:v>2027</c:v>
                </c:pt>
                <c:pt idx="8">
                  <c:v>2028</c:v>
                </c:pt>
                <c:pt idx="9">
                  <c:v>2029</c:v>
                </c:pt>
                <c:pt idx="10">
                  <c:v>2030</c:v>
                </c:pt>
                <c:pt idx="11">
                  <c:v>2031</c:v>
                </c:pt>
              </c:numCache>
            </c:numRef>
          </c:cat>
          <c:val>
            <c:numRef>
              <c:f>应用!$B$5:$M$5</c:f>
            </c:numRef>
          </c:val>
        </c:ser>
        <c:ser>
          <c:idx val="4"/>
          <c:order val="4"/>
          <c:tx>
            <c:strRef>
              <c:f>应用!$A$6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</c:v>
                </c:pt>
                <c:pt idx="6">
                  <c:v>2026</c:v>
                </c:pt>
                <c:pt idx="7">
                  <c:v>2027</c:v>
                </c:pt>
                <c:pt idx="8">
                  <c:v>2028</c:v>
                </c:pt>
                <c:pt idx="9">
                  <c:v>2029</c:v>
                </c:pt>
                <c:pt idx="10">
                  <c:v>2030</c:v>
                </c:pt>
                <c:pt idx="11">
                  <c:v>2031</c:v>
                </c:pt>
              </c:numCache>
            </c:numRef>
          </c:cat>
          <c:val>
            <c:numRef>
              <c:f>应用!$B$6:$M$6</c:f>
            </c:numRef>
          </c:val>
        </c:ser>
        <c:ser>
          <c:idx val="5"/>
          <c:order val="5"/>
          <c:tx>
            <c:strRef>
              <c:f>应用!$A$7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4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</c:v>
                </c:pt>
                <c:pt idx="6">
                  <c:v>2026</c:v>
                </c:pt>
                <c:pt idx="7">
                  <c:v>2027</c:v>
                </c:pt>
                <c:pt idx="8">
                  <c:v>2028</c:v>
                </c:pt>
                <c:pt idx="9">
                  <c:v>2029</c:v>
                </c:pt>
                <c:pt idx="10">
                  <c:v>2030</c:v>
                </c:pt>
                <c:pt idx="11">
                  <c:v>2031</c:v>
                </c:pt>
              </c:numCache>
            </c:numRef>
          </c:cat>
          <c:val>
            <c:numRef>
              <c:f>应用!$B$7:$M$7</c:f>
            </c:numRef>
          </c:val>
        </c:ser>
        <c:ser>
          <c:idx val="6"/>
          <c:order val="6"/>
          <c:tx>
            <c:strRef>
              <c:f>应用!$A$8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</c:v>
                </c:pt>
                <c:pt idx="6">
                  <c:v>2026</c:v>
                </c:pt>
                <c:pt idx="7">
                  <c:v>2027</c:v>
                </c:pt>
                <c:pt idx="8">
                  <c:v>2028</c:v>
                </c:pt>
                <c:pt idx="9">
                  <c:v>2029</c:v>
                </c:pt>
                <c:pt idx="10">
                  <c:v>2030</c:v>
                </c:pt>
                <c:pt idx="11">
                  <c:v>2031</c:v>
                </c:pt>
              </c:numCache>
            </c:numRef>
          </c:cat>
          <c:val>
            <c:numRef>
              <c:f>应用!$B$8:$M$8</c:f>
            </c:numRef>
          </c:val>
        </c:ser>
        <c:ser>
          <c:idx val="7"/>
          <c:order val="7"/>
          <c:tx>
            <c:strRef>
              <c:f>应用!$A$9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bg2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</c:v>
                </c:pt>
                <c:pt idx="6">
                  <c:v>2026</c:v>
                </c:pt>
                <c:pt idx="7">
                  <c:v>2027</c:v>
                </c:pt>
                <c:pt idx="8">
                  <c:v>2028</c:v>
                </c:pt>
                <c:pt idx="9">
                  <c:v>2029</c:v>
                </c:pt>
                <c:pt idx="10">
                  <c:v>2030</c:v>
                </c:pt>
                <c:pt idx="11">
                  <c:v>2031</c:v>
                </c:pt>
              </c:numCache>
            </c:numRef>
          </c:cat>
          <c:val>
            <c:numRef>
              <c:f>应用!$B$9:$M$9</c:f>
            </c:numRef>
          </c:val>
        </c:ser>
        <c:ser>
          <c:idx val="8"/>
          <c:order val="8"/>
          <c:tx>
            <c:strRef>
              <c:f>应用!$A$10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5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</c:v>
                </c:pt>
                <c:pt idx="6">
                  <c:v>2026</c:v>
                </c:pt>
                <c:pt idx="7">
                  <c:v>2027</c:v>
                </c:pt>
                <c:pt idx="8">
                  <c:v>2028</c:v>
                </c:pt>
                <c:pt idx="9">
                  <c:v>2029</c:v>
                </c:pt>
                <c:pt idx="10">
                  <c:v>2030</c:v>
                </c:pt>
                <c:pt idx="11">
                  <c:v>2031</c:v>
                </c:pt>
              </c:numCache>
            </c:numRef>
          </c:cat>
          <c:val>
            <c:numRef>
              <c:f>应用!$B$10:$M$10</c:f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overlap val="100"/>
        <c:axId val="2101581920"/>
        <c:axId val="2101559456"/>
      </c:barChart>
      <c:lineChart>
        <c:grouping val="stacked"/>
        <c:varyColors val="0"/>
        <c:ser>
          <c:idx val="9"/>
          <c:order val="9"/>
          <c:tx>
            <c:strRef>
              <c:f>应用!$A$11</c:f>
              <c:strCache>
                <c:ptCount val="1"/>
                <c:pt idx="0">
                  <c:v>Total</c:v>
                </c:pt>
              </c:strCache>
            </c:strRef>
          </c:tx>
          <c:spPr>
            <a:ln w="28575" cap="rnd">
              <a:solidFill>
                <a:srgbClr val="002060"/>
              </a:solidFill>
              <a:round/>
            </a:ln>
            <a:effectLst/>
          </c:spPr>
          <c:marker>
            <c:symbol val="diamond"/>
            <c:size val="8"/>
            <c:spPr>
              <a:solidFill>
                <a:srgbClr val="FFC000"/>
              </a:solidFill>
              <a:ln w="9525">
                <a:solidFill>
                  <a:schemeClr val="accent4">
                    <a:lumMod val="60000"/>
                  </a:schemeClr>
                </a:solidFill>
              </a:ln>
              <a:effectLst/>
            </c:spPr>
          </c:marker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</c:v>
                </c:pt>
                <c:pt idx="6">
                  <c:v>2026</c:v>
                </c:pt>
                <c:pt idx="7">
                  <c:v>2027</c:v>
                </c:pt>
                <c:pt idx="8">
                  <c:v>2028</c:v>
                </c:pt>
                <c:pt idx="9">
                  <c:v>2029</c:v>
                </c:pt>
                <c:pt idx="10">
                  <c:v>2030</c:v>
                </c:pt>
                <c:pt idx="11">
                  <c:v>2031</c:v>
                </c:pt>
              </c:numCache>
            </c:numRef>
          </c:cat>
          <c:val>
            <c:numRef>
              <c:f>应用!$B$11:$M$11</c:f>
              <c:numCache>
                <c:formatCode>#,##0_);[Red]\(#,##0\)</c:formatCode>
                <c:ptCount val="12"/>
                <c:pt idx="0">
                  <c:v>258</c:v>
                </c:pt>
                <c:pt idx="1">
                  <c:v>317.1</c:v>
                </c:pt>
                <c:pt idx="2">
                  <c:v>338.4</c:v>
                </c:pt>
                <c:pt idx="3">
                  <c:v>352.4</c:v>
                </c:pt>
                <c:pt idx="4">
                  <c:v>368.7</c:v>
                </c:pt>
                <c:pt idx="5">
                  <c:v>384.2</c:v>
                </c:pt>
                <c:pt idx="6">
                  <c:v>401.3</c:v>
                </c:pt>
                <c:pt idx="7">
                  <c:v>418.4</c:v>
                </c:pt>
                <c:pt idx="8">
                  <c:v>435.5</c:v>
                </c:pt>
                <c:pt idx="9">
                  <c:v>452.6</c:v>
                </c:pt>
                <c:pt idx="10">
                  <c:v>469.7</c:v>
                </c:pt>
                <c:pt idx="11">
                  <c:v>486.8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101602720"/>
        <c:axId val="2101608960"/>
      </c:lineChart>
      <c:catAx>
        <c:axId val="21015819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559456"/>
        <c:crosses val="autoZero"/>
        <c:auto val="1"/>
        <c:lblAlgn val="ctr"/>
        <c:lblOffset val="100"/>
        <c:noMultiLvlLbl val="0"/>
      </c:catAx>
      <c:valAx>
        <c:axId val="210155945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0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581920"/>
        <c:crosses val="autoZero"/>
        <c:crossBetween val="between"/>
      </c:valAx>
      <c:catAx>
        <c:axId val="210160272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608960"/>
        <c:crosses val="autoZero"/>
        <c:auto val="1"/>
        <c:lblAlgn val="ctr"/>
        <c:lblOffset val="100"/>
        <c:noMultiLvlLbl val="0"/>
      </c:catAx>
      <c:valAx>
        <c:axId val="2101608960"/>
        <c:scaling>
          <c:orientation val="minMax"/>
        </c:scaling>
        <c:delete val="0"/>
        <c:axPos val="r"/>
        <c:numFmt formatCode="0.0%" sourceLinked="0"/>
        <c:majorTickMark val="out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602720"/>
        <c:crosses val="max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0695485312899106"/>
          <c:y val="0.865502222222222"/>
          <c:w val="0.860902937420179"/>
          <c:h val="0.11333111111111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3a541287-946a-46a4-8423-90aadad44083}"/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en-US" altLang="zh-CN" sz="1200">
                <a:latin typeface="Book Antiqua" panose="02040602050305030304" pitchFamily="1" charset="0"/>
              </a:rPr>
              <a:t>Market Size By Region, 2020 VS 2024 VS 2031</a:t>
            </a:r>
            <a:endParaRPr lang="zh-CN" altLang="en-US" sz="12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'地区-消费'!$AE$1</c:f>
              <c:strCache>
                <c:ptCount val="1"/>
                <c:pt idx="0">
                  <c:v>2020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'地区-消费'!$AD$2:$AD$10</c:f>
              <c:strCache>
                <c:ptCount val="6"/>
                <c:pt idx="0">
                  <c:v>North America</c:v>
                </c:pt>
                <c:pt idx="1">
                  <c:v>Europe</c:v>
                </c:pt>
                <c:pt idx="2">
                  <c:v>China</c:v>
                </c:pt>
                <c:pt idx="3">
                  <c:v>Japan</c:v>
                </c:pt>
                <c:pt idx="4">
                  <c:v>India</c:v>
                </c:pt>
                <c:pt idx="5">
                  <c:v>Other</c:v>
                </c:pt>
              </c:strCache>
            </c:strRef>
          </c:cat>
          <c:val>
            <c:numRef>
              <c:f>'地区-消费'!$AE$2:$AE$10</c:f>
              <c:numCache>
                <c:formatCode>#,##0_);[Red]\(#,##0\)</c:formatCode>
                <c:ptCount val="6"/>
                <c:pt idx="0">
                  <c:v>26.1</c:v>
                </c:pt>
                <c:pt idx="1">
                  <c:v>42.4</c:v>
                </c:pt>
                <c:pt idx="2">
                  <c:v>110.2</c:v>
                </c:pt>
                <c:pt idx="3">
                  <c:v>18.5</c:v>
                </c:pt>
                <c:pt idx="4">
                  <c:v>33.1</c:v>
                </c:pt>
                <c:pt idx="5">
                  <c:v>27.7000000000001</c:v>
                </c:pt>
              </c:numCache>
            </c:numRef>
          </c:val>
        </c:ser>
        <c:ser>
          <c:idx val="1"/>
          <c:order val="1"/>
          <c:tx>
            <c:strRef>
              <c:f>'地区-消费'!$AF$1</c:f>
              <c:strCache>
                <c:ptCount val="1"/>
                <c:pt idx="0">
                  <c:v>2024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'地区-消费'!$AD$2:$AD$10</c:f>
              <c:strCache>
                <c:ptCount val="6"/>
                <c:pt idx="0">
                  <c:v>North America</c:v>
                </c:pt>
                <c:pt idx="1">
                  <c:v>Europe</c:v>
                </c:pt>
                <c:pt idx="2">
                  <c:v>China</c:v>
                </c:pt>
                <c:pt idx="3">
                  <c:v>Japan</c:v>
                </c:pt>
                <c:pt idx="4">
                  <c:v>India</c:v>
                </c:pt>
                <c:pt idx="5">
                  <c:v>Other</c:v>
                </c:pt>
              </c:strCache>
            </c:strRef>
          </c:cat>
          <c:val>
            <c:numRef>
              <c:f>'地区-消费'!$AF$2:$AF$10</c:f>
              <c:numCache>
                <c:formatCode>#,##0_);[Red]\(#,##0\)</c:formatCode>
                <c:ptCount val="6"/>
                <c:pt idx="0">
                  <c:v>40.1</c:v>
                </c:pt>
                <c:pt idx="1">
                  <c:v>62.8</c:v>
                </c:pt>
                <c:pt idx="2">
                  <c:v>148.6</c:v>
                </c:pt>
                <c:pt idx="3">
                  <c:v>25.5</c:v>
                </c:pt>
                <c:pt idx="4">
                  <c:v>52.6</c:v>
                </c:pt>
                <c:pt idx="5">
                  <c:v>39.1</c:v>
                </c:pt>
              </c:numCache>
            </c:numRef>
          </c:val>
        </c:ser>
        <c:ser>
          <c:idx val="2"/>
          <c:order val="2"/>
          <c:tx>
            <c:strRef>
              <c:f>'地区-消费'!$AG$1</c:f>
              <c:strCache>
                <c:ptCount val="1"/>
                <c:pt idx="0">
                  <c:v>2031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'地区-消费'!$AD$2:$AD$10</c:f>
              <c:strCache>
                <c:ptCount val="6"/>
                <c:pt idx="0">
                  <c:v>North America</c:v>
                </c:pt>
                <c:pt idx="1">
                  <c:v>Europe</c:v>
                </c:pt>
                <c:pt idx="2">
                  <c:v>China</c:v>
                </c:pt>
                <c:pt idx="3">
                  <c:v>Japan</c:v>
                </c:pt>
                <c:pt idx="4">
                  <c:v>India</c:v>
                </c:pt>
                <c:pt idx="5">
                  <c:v>Other</c:v>
                </c:pt>
              </c:strCache>
            </c:strRef>
          </c:cat>
          <c:val>
            <c:numRef>
              <c:f>'地区-消费'!$AG$2:$AG$10</c:f>
              <c:numCache>
                <c:formatCode>#,##0_);[Red]\(#,##0\)</c:formatCode>
                <c:ptCount val="6"/>
                <c:pt idx="0">
                  <c:v>49.7</c:v>
                </c:pt>
                <c:pt idx="1">
                  <c:v>76.5</c:v>
                </c:pt>
                <c:pt idx="2">
                  <c:v>202.3</c:v>
                </c:pt>
                <c:pt idx="3">
                  <c:v>30.9</c:v>
                </c:pt>
                <c:pt idx="4">
                  <c:v>73.4</c:v>
                </c:pt>
                <c:pt idx="5">
                  <c:v>54.0000000000001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25844928"/>
        <c:axId val="1875643855"/>
      </c:barChart>
      <c:catAx>
        <c:axId val="258449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875643855"/>
        <c:crosses val="autoZero"/>
        <c:auto val="1"/>
        <c:lblAlgn val="ctr"/>
        <c:lblOffset val="100"/>
        <c:noMultiLvlLbl val="0"/>
      </c:catAx>
      <c:valAx>
        <c:axId val="1875643855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258449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Book Antiqua" panose="02040602050305030304" pitchFamily="1" charset="0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af95cb82-ee33-44b4-ab7f-13bb815a5878}"/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691853448275862"/>
          <c:y val="0.03175"/>
          <c:w val="0.897009594053696"/>
          <c:h val="0.75544166666666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'地区-消费'!$A$2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</c:v>
                </c:pt>
                <c:pt idx="6">
                  <c:v>2026</c:v>
                </c:pt>
                <c:pt idx="7">
                  <c:v>2027</c:v>
                </c:pt>
                <c:pt idx="8">
                  <c:v>2028</c:v>
                </c:pt>
                <c:pt idx="9">
                  <c:v>2029</c:v>
                </c:pt>
                <c:pt idx="10">
                  <c:v>2030</c:v>
                </c:pt>
                <c:pt idx="11">
                  <c:v>2031</c:v>
                </c:pt>
              </c:numCache>
            </c:numRef>
          </c:cat>
          <c:val>
            <c:numRef>
              <c:f>'地区-消费'!$B$2:$M$2</c:f>
              <c:numCache>
                <c:formatCode>#,##0_);[Red]\(#,##0\)</c:formatCode>
                <c:ptCount val="12"/>
                <c:pt idx="0">
                  <c:v>26.1</c:v>
                </c:pt>
                <c:pt idx="1">
                  <c:v>34.9</c:v>
                </c:pt>
                <c:pt idx="2">
                  <c:v>37.7</c:v>
                </c:pt>
                <c:pt idx="3">
                  <c:v>38.8</c:v>
                </c:pt>
                <c:pt idx="4">
                  <c:v>40.1</c:v>
                </c:pt>
                <c:pt idx="5">
                  <c:v>41.3</c:v>
                </c:pt>
                <c:pt idx="6">
                  <c:v>42.7</c:v>
                </c:pt>
                <c:pt idx="7" c:formatCode="#,##0_ ">
                  <c:v>44.1</c:v>
                </c:pt>
                <c:pt idx="8" c:formatCode="#,##0_ ">
                  <c:v>45.5</c:v>
                </c:pt>
                <c:pt idx="9" c:formatCode="#,##0_ ">
                  <c:v>46.9</c:v>
                </c:pt>
                <c:pt idx="10" c:formatCode="#,##0_ ">
                  <c:v>48.3</c:v>
                </c:pt>
                <c:pt idx="11" c:formatCode="#,##0_ ">
                  <c:v>49.7</c:v>
                </c:pt>
              </c:numCache>
            </c:numRef>
          </c:val>
        </c:ser>
        <c:ser>
          <c:idx val="1"/>
          <c:order val="1"/>
          <c:tx>
            <c:strRef>
              <c:f>'地区-消费'!$A$3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</c:v>
                </c:pt>
                <c:pt idx="6">
                  <c:v>2026</c:v>
                </c:pt>
                <c:pt idx="7">
                  <c:v>2027</c:v>
                </c:pt>
                <c:pt idx="8">
                  <c:v>2028</c:v>
                </c:pt>
                <c:pt idx="9">
                  <c:v>2029</c:v>
                </c:pt>
                <c:pt idx="10">
                  <c:v>2030</c:v>
                </c:pt>
                <c:pt idx="11">
                  <c:v>2031</c:v>
                </c:pt>
              </c:numCache>
            </c:numRef>
          </c:cat>
          <c:val>
            <c:numRef>
              <c:f>'地区-消费'!$B$3:$M$3</c:f>
              <c:numCache>
                <c:formatCode>#,##0_);[Red]\(#,##0\)</c:formatCode>
                <c:ptCount val="12"/>
                <c:pt idx="0">
                  <c:v>42.4</c:v>
                </c:pt>
                <c:pt idx="1">
                  <c:v>55.1</c:v>
                </c:pt>
                <c:pt idx="2">
                  <c:v>59</c:v>
                </c:pt>
                <c:pt idx="3">
                  <c:v>60.9</c:v>
                </c:pt>
                <c:pt idx="4">
                  <c:v>62.8</c:v>
                </c:pt>
                <c:pt idx="5">
                  <c:v>64.5</c:v>
                </c:pt>
                <c:pt idx="6">
                  <c:v>66.5</c:v>
                </c:pt>
                <c:pt idx="7" c:formatCode="#,##0_ ">
                  <c:v>68.5</c:v>
                </c:pt>
                <c:pt idx="8" c:formatCode="#,##0_ ">
                  <c:v>70.5</c:v>
                </c:pt>
                <c:pt idx="9" c:formatCode="#,##0_ ">
                  <c:v>72.5</c:v>
                </c:pt>
                <c:pt idx="10" c:formatCode="#,##0_ ">
                  <c:v>74.5</c:v>
                </c:pt>
                <c:pt idx="11" c:formatCode="#,##0_ ">
                  <c:v>76.5</c:v>
                </c:pt>
              </c:numCache>
            </c:numRef>
          </c:val>
        </c:ser>
        <c:ser>
          <c:idx val="2"/>
          <c:order val="2"/>
          <c:tx>
            <c:strRef>
              <c:f>'地区-消费'!$A$4</c:f>
              <c:strCache>
                <c:ptCount val="1"/>
                <c:pt idx="0">
                  <c:v>China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</c:v>
                </c:pt>
                <c:pt idx="6">
                  <c:v>2026</c:v>
                </c:pt>
                <c:pt idx="7">
                  <c:v>2027</c:v>
                </c:pt>
                <c:pt idx="8">
                  <c:v>2028</c:v>
                </c:pt>
                <c:pt idx="9">
                  <c:v>2029</c:v>
                </c:pt>
                <c:pt idx="10">
                  <c:v>2030</c:v>
                </c:pt>
                <c:pt idx="11">
                  <c:v>2031</c:v>
                </c:pt>
              </c:numCache>
            </c:numRef>
          </c:cat>
          <c:val>
            <c:numRef>
              <c:f>'地区-消费'!$B$4:$M$4</c:f>
              <c:numCache>
                <c:formatCode>#,##0_);[Red]\(#,##0\)</c:formatCode>
                <c:ptCount val="12"/>
                <c:pt idx="0">
                  <c:v>110.2</c:v>
                </c:pt>
                <c:pt idx="1">
                  <c:v>127.9</c:v>
                </c:pt>
                <c:pt idx="2">
                  <c:v>135.4</c:v>
                </c:pt>
                <c:pt idx="3">
                  <c:v>141.5</c:v>
                </c:pt>
                <c:pt idx="4">
                  <c:v>148.6</c:v>
                </c:pt>
                <c:pt idx="5">
                  <c:v>155.5</c:v>
                </c:pt>
                <c:pt idx="6">
                  <c:v>163.3</c:v>
                </c:pt>
                <c:pt idx="7" c:formatCode="#,##0_ ">
                  <c:v>171.1</c:v>
                </c:pt>
                <c:pt idx="8" c:formatCode="#,##0_ ">
                  <c:v>178.9</c:v>
                </c:pt>
                <c:pt idx="9" c:formatCode="#,##0_ ">
                  <c:v>186.7</c:v>
                </c:pt>
                <c:pt idx="10" c:formatCode="#,##0_ ">
                  <c:v>194.5</c:v>
                </c:pt>
                <c:pt idx="11" c:formatCode="#,##0_ ">
                  <c:v>202.3</c:v>
                </c:pt>
              </c:numCache>
            </c:numRef>
          </c:val>
        </c:ser>
        <c:ser>
          <c:idx val="3"/>
          <c:order val="3"/>
          <c:tx>
            <c:strRef>
              <c:f>'地区-消费'!$A$5</c:f>
              <c:strCache>
                <c:ptCount val="1"/>
                <c:pt idx="0">
                  <c:v>Japan</c:v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</c:v>
                </c:pt>
                <c:pt idx="6">
                  <c:v>2026</c:v>
                </c:pt>
                <c:pt idx="7">
                  <c:v>2027</c:v>
                </c:pt>
                <c:pt idx="8">
                  <c:v>2028</c:v>
                </c:pt>
                <c:pt idx="9">
                  <c:v>2029</c:v>
                </c:pt>
                <c:pt idx="10">
                  <c:v>2030</c:v>
                </c:pt>
                <c:pt idx="11">
                  <c:v>2031</c:v>
                </c:pt>
              </c:numCache>
            </c:numRef>
          </c:cat>
          <c:val>
            <c:numRef>
              <c:f>'地区-消费'!$B$5:$M$5</c:f>
              <c:numCache>
                <c:formatCode>#,##0_);[Red]\(#,##0\)</c:formatCode>
                <c:ptCount val="12"/>
                <c:pt idx="0">
                  <c:v>18.5</c:v>
                </c:pt>
                <c:pt idx="1">
                  <c:v>23</c:v>
                </c:pt>
                <c:pt idx="2">
                  <c:v>24.4</c:v>
                </c:pt>
                <c:pt idx="3">
                  <c:v>24.9</c:v>
                </c:pt>
                <c:pt idx="4">
                  <c:v>25.5</c:v>
                </c:pt>
                <c:pt idx="5">
                  <c:v>26.1</c:v>
                </c:pt>
                <c:pt idx="6">
                  <c:v>26.9</c:v>
                </c:pt>
                <c:pt idx="7" c:formatCode="#,##0_ ">
                  <c:v>27.7</c:v>
                </c:pt>
                <c:pt idx="8" c:formatCode="#,##0_ ">
                  <c:v>28.5</c:v>
                </c:pt>
                <c:pt idx="9" c:formatCode="#,##0_ ">
                  <c:v>29.3</c:v>
                </c:pt>
                <c:pt idx="10" c:formatCode="#,##0_ ">
                  <c:v>30.1</c:v>
                </c:pt>
                <c:pt idx="11" c:formatCode="#,##0_ ">
                  <c:v>30.9</c:v>
                </c:pt>
              </c:numCache>
            </c:numRef>
          </c:val>
        </c:ser>
        <c:ser>
          <c:idx val="4"/>
          <c:order val="4"/>
          <c:tx>
            <c:strRef>
              <c:f>'地区-消费'!$A$6</c:f>
              <c:strCache>
                <c:ptCount val="1"/>
                <c:pt idx="0">
                  <c:v>India</c:v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</c:v>
                </c:pt>
                <c:pt idx="6">
                  <c:v>2026</c:v>
                </c:pt>
                <c:pt idx="7">
                  <c:v>2027</c:v>
                </c:pt>
                <c:pt idx="8">
                  <c:v>2028</c:v>
                </c:pt>
                <c:pt idx="9">
                  <c:v>2029</c:v>
                </c:pt>
                <c:pt idx="10">
                  <c:v>2030</c:v>
                </c:pt>
                <c:pt idx="11">
                  <c:v>2031</c:v>
                </c:pt>
              </c:numCache>
            </c:numRef>
          </c:cat>
          <c:val>
            <c:numRef>
              <c:f>'地区-消费'!$B$6:$M$6</c:f>
              <c:numCache>
                <c:formatCode>#,##0_);[Red]\(#,##0\)</c:formatCode>
                <c:ptCount val="12"/>
                <c:pt idx="0">
                  <c:v>33.1</c:v>
                </c:pt>
                <c:pt idx="1">
                  <c:v>43.2</c:v>
                </c:pt>
                <c:pt idx="2">
                  <c:v>47.5</c:v>
                </c:pt>
                <c:pt idx="3">
                  <c:v>49.9</c:v>
                </c:pt>
                <c:pt idx="4">
                  <c:v>52.6</c:v>
                </c:pt>
                <c:pt idx="5">
                  <c:v>55.4</c:v>
                </c:pt>
                <c:pt idx="6">
                  <c:v>58.4</c:v>
                </c:pt>
                <c:pt idx="7" c:formatCode="#,##0_ ">
                  <c:v>61.4</c:v>
                </c:pt>
                <c:pt idx="8" c:formatCode="#,##0_ ">
                  <c:v>64.4</c:v>
                </c:pt>
                <c:pt idx="9" c:formatCode="#,##0_ ">
                  <c:v>67.4</c:v>
                </c:pt>
                <c:pt idx="10" c:formatCode="#,##0_ ">
                  <c:v>70.4</c:v>
                </c:pt>
                <c:pt idx="11" c:formatCode="#,##0_ ">
                  <c:v>73.4</c:v>
                </c:pt>
              </c:numCache>
            </c:numRef>
          </c:val>
        </c:ser>
        <c:ser>
          <c:idx val="5"/>
          <c:order val="5"/>
          <c:tx>
            <c:strRef>
              <c:f>'地区-消费'!$A$7</c:f>
              <c:strCache>
                <c:ptCount val="1"/>
                <c:pt idx="0">
                  <c:v>Other</c:v>
                </c:pt>
              </c:strCache>
            </c:strRef>
          </c:tx>
          <c:spPr>
            <a:solidFill>
              <a:schemeClr val="accent4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</c:v>
                </c:pt>
                <c:pt idx="6">
                  <c:v>2026</c:v>
                </c:pt>
                <c:pt idx="7">
                  <c:v>2027</c:v>
                </c:pt>
                <c:pt idx="8">
                  <c:v>2028</c:v>
                </c:pt>
                <c:pt idx="9">
                  <c:v>2029</c:v>
                </c:pt>
                <c:pt idx="10">
                  <c:v>2030</c:v>
                </c:pt>
                <c:pt idx="11">
                  <c:v>2031</c:v>
                </c:pt>
              </c:numCache>
            </c:numRef>
          </c:cat>
          <c:val>
            <c:numRef>
              <c:f>'地区-消费'!$B$7:$M$7</c:f>
              <c:numCache>
                <c:formatCode>#,##0_);[Red]\(#,##0\)</c:formatCode>
                <c:ptCount val="12"/>
                <c:pt idx="0">
                  <c:v>27.7000000000001</c:v>
                </c:pt>
                <c:pt idx="1">
                  <c:v>33</c:v>
                </c:pt>
                <c:pt idx="2">
                  <c:v>34.4</c:v>
                </c:pt>
                <c:pt idx="3">
                  <c:v>36.4</c:v>
                </c:pt>
                <c:pt idx="4">
                  <c:v>39.1</c:v>
                </c:pt>
                <c:pt idx="5">
                  <c:v>41.4</c:v>
                </c:pt>
                <c:pt idx="6">
                  <c:v>43.5</c:v>
                </c:pt>
                <c:pt idx="7" c:formatCode="#,##0_ ">
                  <c:v>45.6</c:v>
                </c:pt>
                <c:pt idx="8" c:formatCode="#,##0_ ">
                  <c:v>47.7000000000001</c:v>
                </c:pt>
                <c:pt idx="9" c:formatCode="#,##0_ ">
                  <c:v>49.8000000000001</c:v>
                </c:pt>
                <c:pt idx="10" c:formatCode="#,##0_ ">
                  <c:v>51.9000000000001</c:v>
                </c:pt>
                <c:pt idx="11" c:formatCode="#,##0_ ">
                  <c:v>54.0000000000001</c:v>
                </c:pt>
              </c:numCache>
            </c:numRef>
          </c:val>
        </c:ser>
        <c:ser>
          <c:idx val="6"/>
          <c:order val="6"/>
          <c:tx>
            <c:strRef>
              <c:f>'地区-消费'!$A$8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</c:v>
                </c:pt>
                <c:pt idx="6">
                  <c:v>2026</c:v>
                </c:pt>
                <c:pt idx="7">
                  <c:v>2027</c:v>
                </c:pt>
                <c:pt idx="8">
                  <c:v>2028</c:v>
                </c:pt>
                <c:pt idx="9">
                  <c:v>2029</c:v>
                </c:pt>
                <c:pt idx="10">
                  <c:v>2030</c:v>
                </c:pt>
                <c:pt idx="11">
                  <c:v>2031</c:v>
                </c:pt>
              </c:numCache>
            </c:numRef>
          </c:cat>
          <c:val>
            <c:numRef>
              <c:f>'地区-消费'!$B$8:$M$8</c:f>
            </c:numRef>
          </c:val>
        </c:ser>
        <c:ser>
          <c:idx val="7"/>
          <c:order val="7"/>
          <c:tx>
            <c:strRef>
              <c:f>'地区-消费'!$A$9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bg2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</c:v>
                </c:pt>
                <c:pt idx="6">
                  <c:v>2026</c:v>
                </c:pt>
                <c:pt idx="7">
                  <c:v>2027</c:v>
                </c:pt>
                <c:pt idx="8">
                  <c:v>2028</c:v>
                </c:pt>
                <c:pt idx="9">
                  <c:v>2029</c:v>
                </c:pt>
                <c:pt idx="10">
                  <c:v>2030</c:v>
                </c:pt>
                <c:pt idx="11">
                  <c:v>2031</c:v>
                </c:pt>
              </c:numCache>
            </c:numRef>
          </c:cat>
          <c:val>
            <c:numRef>
              <c:f>'地区-消费'!$B$9:$M$9</c:f>
            </c:numRef>
          </c:val>
        </c:ser>
        <c:ser>
          <c:idx val="8"/>
          <c:order val="8"/>
          <c:tx>
            <c:strRef>
              <c:f>'地区-消费'!$A$10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5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</c:v>
                </c:pt>
                <c:pt idx="6">
                  <c:v>2026</c:v>
                </c:pt>
                <c:pt idx="7">
                  <c:v>2027</c:v>
                </c:pt>
                <c:pt idx="8">
                  <c:v>2028</c:v>
                </c:pt>
                <c:pt idx="9">
                  <c:v>2029</c:v>
                </c:pt>
                <c:pt idx="10">
                  <c:v>2030</c:v>
                </c:pt>
                <c:pt idx="11">
                  <c:v>2031</c:v>
                </c:pt>
              </c:numCache>
            </c:numRef>
          </c:cat>
          <c:val>
            <c:numRef>
              <c:f>'地区-消费'!$B$10:$M$10</c:f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overlap val="100"/>
        <c:axId val="2101581920"/>
        <c:axId val="2101559456"/>
      </c:barChart>
      <c:lineChart>
        <c:grouping val="stacked"/>
        <c:varyColors val="0"/>
        <c:ser>
          <c:idx val="9"/>
          <c:order val="9"/>
          <c:tx>
            <c:strRef>
              <c:f>'地区-消费'!$A$11</c:f>
              <c:strCache>
                <c:ptCount val="1"/>
                <c:pt idx="0">
                  <c:v>Total</c:v>
                </c:pt>
              </c:strCache>
            </c:strRef>
          </c:tx>
          <c:spPr>
            <a:ln w="28575" cap="rnd">
              <a:solidFill>
                <a:srgbClr val="002060"/>
              </a:solidFill>
              <a:round/>
            </a:ln>
            <a:effectLst/>
          </c:spPr>
          <c:marker>
            <c:symbol val="diamond"/>
            <c:size val="8"/>
            <c:spPr>
              <a:solidFill>
                <a:srgbClr val="FFC000"/>
              </a:solidFill>
              <a:ln w="9525">
                <a:solidFill>
                  <a:schemeClr val="accent4">
                    <a:lumMod val="60000"/>
                  </a:schemeClr>
                </a:solidFill>
              </a:ln>
              <a:effectLst/>
            </c:spPr>
          </c:marker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</c:v>
                </c:pt>
                <c:pt idx="6">
                  <c:v>2026</c:v>
                </c:pt>
                <c:pt idx="7">
                  <c:v>2027</c:v>
                </c:pt>
                <c:pt idx="8">
                  <c:v>2028</c:v>
                </c:pt>
                <c:pt idx="9">
                  <c:v>2029</c:v>
                </c:pt>
                <c:pt idx="10">
                  <c:v>2030</c:v>
                </c:pt>
                <c:pt idx="11">
                  <c:v>2031</c:v>
                </c:pt>
              </c:numCache>
            </c:numRef>
          </c:cat>
          <c:val>
            <c:numRef>
              <c:f>'地区-消费'!$B$11:$M$11</c:f>
              <c:numCache>
                <c:formatCode>#,##0_);[Red]\(#,##0\)</c:formatCode>
                <c:ptCount val="12"/>
                <c:pt idx="0">
                  <c:v>258</c:v>
                </c:pt>
                <c:pt idx="1">
                  <c:v>317.1</c:v>
                </c:pt>
                <c:pt idx="2">
                  <c:v>338.4</c:v>
                </c:pt>
                <c:pt idx="3">
                  <c:v>352.4</c:v>
                </c:pt>
                <c:pt idx="4">
                  <c:v>368.7</c:v>
                </c:pt>
                <c:pt idx="5">
                  <c:v>384.2</c:v>
                </c:pt>
                <c:pt idx="6">
                  <c:v>401.3</c:v>
                </c:pt>
                <c:pt idx="7">
                  <c:v>418.4</c:v>
                </c:pt>
                <c:pt idx="8">
                  <c:v>435.5</c:v>
                </c:pt>
                <c:pt idx="9">
                  <c:v>452.6</c:v>
                </c:pt>
                <c:pt idx="10">
                  <c:v>469.7</c:v>
                </c:pt>
                <c:pt idx="11">
                  <c:v>486.8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101602720"/>
        <c:axId val="2101608960"/>
      </c:lineChart>
      <c:catAx>
        <c:axId val="21015819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559456"/>
        <c:crosses val="autoZero"/>
        <c:auto val="1"/>
        <c:lblAlgn val="ctr"/>
        <c:lblOffset val="100"/>
        <c:noMultiLvlLbl val="0"/>
      </c:catAx>
      <c:valAx>
        <c:axId val="2101559456"/>
        <c:scaling>
          <c:orientation val="minMax"/>
        </c:scaling>
        <c:delete val="1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581920"/>
        <c:crosses val="autoZero"/>
        <c:crossBetween val="between"/>
      </c:valAx>
      <c:catAx>
        <c:axId val="210160272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608960"/>
        <c:crosses val="autoZero"/>
        <c:auto val="1"/>
        <c:lblAlgn val="ctr"/>
        <c:lblOffset val="100"/>
        <c:noMultiLvlLbl val="0"/>
      </c:catAx>
      <c:valAx>
        <c:axId val="2101608960"/>
        <c:scaling>
          <c:orientation val="minMax"/>
        </c:scaling>
        <c:delete val="0"/>
        <c:axPos val="r"/>
        <c:numFmt formatCode="0.0%" sourceLinked="0"/>
        <c:majorTickMark val="out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602720"/>
        <c:crosses val="max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0695485312899106"/>
          <c:y val="0.865502222222222"/>
          <c:w val="0.860902937420179"/>
          <c:h val="0.11333111111111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3f33029f-b7fa-4264-80ef-202416db40e5}"/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43ACD46-C85F-4F22-903B-B902C9A98C0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1322</Words>
  <Characters>1690</Characters>
  <Lines>12</Lines>
  <Paragraphs>3</Paragraphs>
  <TotalTime>676</TotalTime>
  <ScaleCrop>false</ScaleCrop>
  <LinksUpToDate>false</LinksUpToDate>
  <CharactersWithSpaces>1699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鼕鼕</cp:lastModifiedBy>
  <dcterms:modified xsi:type="dcterms:W3CDTF">2025-11-13T07:43:15Z</dcterms:modified>
  <cp:revision>882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eyJoZGlkIjoiMjFmNGNlNTgxMTU0YzBhMjY3NTRmNDcyYjNlZTNhMDciLCJ1c2VySWQiOiI0MzI5MTg4NDMifQ==</vt:lpwstr>
  </property>
  <property fmtid="{D5CDD505-2E9C-101B-9397-08002B2CF9AE}" pid="3" name="KSOProductBuildVer">
    <vt:lpwstr>2052-12.1.0.23542</vt:lpwstr>
  </property>
  <property fmtid="{D5CDD505-2E9C-101B-9397-08002B2CF9AE}" pid="4" name="ICV">
    <vt:lpwstr>F6CD0B6CB7F14E369E80AC62D0C7B927_12</vt:lpwstr>
  </property>
</Properties>
</file>