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F54C4">
      <w:pPr>
        <w:pStyle w:val="167"/>
        <w:rPr>
          <w:lang w:eastAsia="zh-CN"/>
        </w:rPr>
      </w:pPr>
      <w:bookmarkStart w:id="0" w:name="_Toc517262917"/>
      <w:bookmarkStart w:id="1" w:name="_Toc453597319"/>
      <w:bookmarkStart w:id="2" w:name="_Toc438987549"/>
      <w:bookmarkStart w:id="3" w:name="OLE_LINK13"/>
      <w:bookmarkStart w:id="4" w:name="OLE_LINK15"/>
      <w:bookmarkStart w:id="5" w:name="_Toc415143481"/>
      <w:bookmarkStart w:id="6" w:name="OLE_LINK40"/>
      <w:bookmarkStart w:id="7" w:name="_Toc481801204"/>
      <w:bookmarkStart w:id="8" w:name="_Toc415142861"/>
      <w:bookmarkStart w:id="9" w:name="OLE_LINK24"/>
      <w:bookmarkStart w:id="10" w:name="_Toc418070112"/>
      <w:bookmarkStart w:id="11" w:name="OLE_LINK39"/>
      <w:bookmarkStart w:id="12" w:name="_Toc415818939"/>
      <w:r>
        <w:rPr>
          <w:rFonts w:hint="eastAsia"/>
          <w:lang w:eastAsia="zh-CN"/>
        </w:rPr>
        <w:t>平板显示器用静电卡盘全球市场总体规模</w:t>
      </w:r>
    </w:p>
    <w:p w14:paraId="6848DD28">
      <w:pPr>
        <w:pStyle w:val="145"/>
        <w:rPr>
          <w:rFonts w:hint="eastAsia"/>
          <w:lang w:val="en-US" w:eastAsia="zh-CN"/>
        </w:rPr>
      </w:pPr>
      <w:r>
        <w:rPr>
          <w:rFonts w:hint="eastAsia"/>
          <w:lang w:val="en-US" w:eastAsia="zh-CN"/>
        </w:rPr>
        <w:t>平板显示器用静电卡盘（Electrostatic Chuck for Flat Panel Displays, FPD）是一种用于固定和支撑平板显示器（如液晶显示器LCD、有机发光二极管OLED等）基板的关键设备。在制造过程中，特别是在薄膜沉积、蚀刻、光刻等工艺步骤中，需要将大面积的玻璃或柔性基板牢固地固定在处理腔室内，以确保工艺的精确性和一致性。</w:t>
      </w:r>
    </w:p>
    <w:p w14:paraId="4E593E4B">
      <w:pPr>
        <w:bidi w:val="0"/>
        <w:rPr>
          <w:rFonts w:hint="eastAsia"/>
          <w:lang w:val="en-US" w:eastAsia="zh-CN"/>
        </w:rPr>
      </w:pPr>
      <w:r>
        <w:rPr>
          <w:rFonts w:hint="eastAsia"/>
          <w:lang w:val="en-US" w:eastAsia="zh-CN"/>
        </w:rPr>
        <w:t>主要特点和功能：</w:t>
      </w:r>
    </w:p>
    <w:p w14:paraId="2E7F8D43">
      <w:pPr>
        <w:bidi w:val="0"/>
        <w:rPr>
          <w:rFonts w:hint="eastAsia"/>
          <w:lang w:val="en-US" w:eastAsia="zh-CN"/>
        </w:rPr>
      </w:pPr>
      <w:r>
        <w:rPr>
          <w:lang w:val="en-US" w:eastAsia="zh-CN"/>
        </w:rPr>
        <w:t xml:space="preserve">1. </w:t>
      </w:r>
      <w:r>
        <w:rPr>
          <w:rFonts w:hint="eastAsia"/>
          <w:lang w:val="en-US" w:eastAsia="zh-CN"/>
        </w:rPr>
        <w:t>固定基板：通过静电吸引力将基板牢牢固定在卡盘表面，防止在处理过程中发生移动。</w:t>
      </w:r>
    </w:p>
    <w:p w14:paraId="356A82B1">
      <w:pPr>
        <w:bidi w:val="0"/>
        <w:rPr>
          <w:rFonts w:hint="eastAsia"/>
          <w:lang w:val="en-US" w:eastAsia="zh-CN"/>
        </w:rPr>
      </w:pPr>
      <w:r>
        <w:rPr>
          <w:lang w:val="en-US" w:eastAsia="zh-CN"/>
        </w:rPr>
        <w:t xml:space="preserve">2. </w:t>
      </w:r>
      <w:r>
        <w:rPr>
          <w:rFonts w:hint="eastAsia"/>
          <w:lang w:val="en-US" w:eastAsia="zh-CN"/>
        </w:rPr>
        <w:t>均匀加热/冷却：许多静电卡盘还具备温度控制功能，可以对基板进行均匀加热或冷却，这对于某些工艺步骤（如薄膜沉积）至关重要。</w:t>
      </w:r>
    </w:p>
    <w:p w14:paraId="5D4C1603">
      <w:pPr>
        <w:bidi w:val="0"/>
        <w:rPr>
          <w:rFonts w:hint="eastAsia"/>
          <w:lang w:val="en-US" w:eastAsia="zh-CN"/>
        </w:rPr>
      </w:pPr>
      <w:r>
        <w:rPr>
          <w:lang w:val="en-US" w:eastAsia="zh-CN"/>
        </w:rPr>
        <w:t xml:space="preserve">3. </w:t>
      </w:r>
      <w:r>
        <w:rPr>
          <w:rFonts w:hint="eastAsia"/>
          <w:lang w:val="en-US" w:eastAsia="zh-CN"/>
        </w:rPr>
        <w:t>高真空兼容性：设计上能够承受高真空环境，适用于各种真空处理工艺。</w:t>
      </w:r>
    </w:p>
    <w:p w14:paraId="42A6B756">
      <w:pPr>
        <w:bidi w:val="0"/>
        <w:rPr>
          <w:rFonts w:hint="eastAsia"/>
          <w:lang w:val="en-US" w:eastAsia="zh-CN"/>
        </w:rPr>
      </w:pPr>
      <w:r>
        <w:rPr>
          <w:lang w:val="en-US" w:eastAsia="zh-CN"/>
        </w:rPr>
        <w:t xml:space="preserve">4. </w:t>
      </w:r>
      <w:r>
        <w:rPr>
          <w:rFonts w:hint="eastAsia"/>
          <w:lang w:val="en-US" w:eastAsia="zh-CN"/>
        </w:rPr>
        <w:t>低颗粒污染：表面材料通常选择不易产生颗粒物的材料，以减少对基板的污染。</w:t>
      </w:r>
    </w:p>
    <w:p w14:paraId="0461A052">
      <w:pPr>
        <w:bidi w:val="0"/>
        <w:rPr>
          <w:lang w:val="en-US" w:eastAsia="zh-CN"/>
        </w:rPr>
      </w:pPr>
      <w:r>
        <w:rPr>
          <w:rFonts w:hint="eastAsia"/>
          <w:lang w:val="en-US" w:eastAsia="zh-CN"/>
        </w:rPr>
        <w:t>工作原理：</w:t>
      </w:r>
    </w:p>
    <w:p w14:paraId="6CF89FB3">
      <w:pPr>
        <w:bidi w:val="0"/>
        <w:rPr>
          <w:rFonts w:hint="eastAsia"/>
          <w:lang w:val="en-US" w:eastAsia="zh-CN"/>
        </w:rPr>
      </w:pPr>
      <w:r>
        <w:rPr>
          <w:rFonts w:hint="eastAsia"/>
          <w:lang w:val="en-US" w:eastAsia="zh-CN"/>
        </w:rPr>
        <w:t>1. 静电吸附：静电卡盘利用电场产生的静电力来吸附基板。当卡盘与基板之间施加电压时，会在两者之间形成一个电场，从而产生静电力，将基板紧紧吸附在卡盘上。</w:t>
      </w:r>
    </w:p>
    <w:p w14:paraId="664BC884">
      <w:pPr>
        <w:bidi w:val="0"/>
        <w:rPr>
          <w:rFonts w:hint="eastAsia"/>
          <w:lang w:val="en-US" w:eastAsia="zh-CN"/>
        </w:rPr>
      </w:pPr>
      <w:r>
        <w:rPr>
          <w:rFonts w:hint="eastAsia"/>
          <w:lang w:val="en-US" w:eastAsia="zh-CN"/>
        </w:rPr>
        <w:t>2. 电压控制：可以通过调整施加的电压来调节静电力的大小，进而控制基板的吸附力。</w:t>
      </w:r>
    </w:p>
    <w:p w14:paraId="63AEA775">
      <w:pPr>
        <w:pStyle w:val="148"/>
        <w:pBdr>
          <w:bottom w:val="none" w:color="auto" w:sz="0" w:space="0"/>
        </w:pBdr>
        <w:spacing w:after="160" w:line="259" w:lineRule="auto"/>
        <w:ind w:left="0" w:firstLine="0"/>
        <w:jc w:val="both"/>
        <w:rPr>
          <w:sz w:val="22"/>
          <w:szCs w:val="24"/>
          <w:lang w:eastAsia="zh-CN"/>
        </w:rPr>
      </w:pPr>
      <w:bookmarkStart w:id="13" w:name="_Toc153726125"/>
      <w:bookmarkStart w:id="14" w:name="_Toc24028878"/>
      <w:bookmarkStart w:id="15" w:name="_Toc26779984"/>
      <w:bookmarkStart w:id="16" w:name="_Toc153725300"/>
      <w:r>
        <w:rPr>
          <w:rFonts w:hint="eastAsia" w:ascii="宋体" w:hAnsi="宋体"/>
          <w:sz w:val="22"/>
          <w:szCs w:val="28"/>
          <w:lang w:eastAsia="zh-CN"/>
        </w:rPr>
        <w:t>平板显示器用静电卡盘</w:t>
      </w:r>
      <w:r>
        <w:rPr>
          <w:rFonts w:hint="eastAsia"/>
          <w:sz w:val="22"/>
          <w:szCs w:val="24"/>
          <w:lang w:eastAsia="zh-CN"/>
        </w:rPr>
        <w:t>产品图片</w:t>
      </w:r>
      <w:bookmarkEnd w:id="13"/>
      <w:bookmarkEnd w:id="14"/>
      <w:bookmarkEnd w:id="15"/>
      <w:bookmarkEnd w:id="16"/>
    </w:p>
    <w:p w14:paraId="19AFD56A">
      <w:pPr>
        <w:pStyle w:val="145"/>
      </w:pPr>
      <w:r>
        <w:drawing>
          <wp:inline distT="0" distB="0" distL="0" distR="0">
            <wp:extent cx="3086735" cy="2124075"/>
            <wp:effectExtent l="0" t="0" r="0" b="0"/>
            <wp:docPr id="18808874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887476" name="图片 1"/>
                    <pic:cNvPicPr>
                      <a:picLocks noChangeAspect="1"/>
                    </pic:cNvPicPr>
                  </pic:nvPicPr>
                  <pic:blipFill>
                    <a:blip r:embed="rId9"/>
                    <a:stretch>
                      <a:fillRect/>
                    </a:stretch>
                  </pic:blipFill>
                  <pic:spPr>
                    <a:xfrm>
                      <a:off x="0" y="0"/>
                      <a:ext cx="3091533" cy="2127044"/>
                    </a:xfrm>
                    <a:prstGeom prst="rect">
                      <a:avLst/>
                    </a:prstGeom>
                  </pic:spPr>
                </pic:pic>
              </a:graphicData>
            </a:graphic>
          </wp:inline>
        </w:drawing>
      </w:r>
    </w:p>
    <w:p w14:paraId="3580584D">
      <w:pPr>
        <w:pStyle w:val="145"/>
        <w:rPr>
          <w:lang w:eastAsia="zh-CN"/>
        </w:rPr>
      </w:pPr>
      <w:r>
        <w:rPr>
          <w:lang w:eastAsia="zh-CN"/>
        </w:rPr>
        <w:t>资料来源：第三方资料及QYResearch整理研究，2024年</w:t>
      </w:r>
    </w:p>
    <w:p w14:paraId="6AF04795">
      <w:pPr>
        <w:pStyle w:val="145"/>
        <w:rPr>
          <w:lang w:val="en-US" w:eastAsia="zh-CN"/>
        </w:rPr>
      </w:pPr>
      <w:r>
        <w:rPr>
          <w:rFonts w:hint="eastAsia"/>
          <w:lang w:val="en-US" w:eastAsia="zh-CN"/>
        </w:rPr>
        <w:t>全球对于高分辨率显示设备（如4K、8K及以上）的需求日益增长，加上OLED以及新兴技术如MicroLED和MiniLED的流行，正在推动对精密处理解决方案需求的激增。电静电卡盘（ESCs）在这些行业中至关重要，因为它们为处理用于先进显示制造中的精细且超薄基板提供了所需的精度和稳定性。随着消费电子、汽车及医疗保健等行业对更高质量显示器需求的增长，静电卡盘在实现生产精度和质量方面的作用将显著扩大。</w:t>
      </w:r>
    </w:p>
    <w:p w14:paraId="1EF71DAF">
      <w:pPr>
        <w:pStyle w:val="145"/>
        <w:rPr>
          <w:lang w:val="en-US" w:eastAsia="zh-CN"/>
        </w:rPr>
      </w:pPr>
      <w:r>
        <w:rPr>
          <w:rFonts w:hint="eastAsia"/>
          <w:lang w:val="en-US" w:eastAsia="zh-CN"/>
        </w:rPr>
        <w:t>根据我们的调查发现，预计到2030年，全球平板显示器用电静电卡盘(ESCs)市场规模将达到3074万美元，从2023年的1012万美元增长而来。就数量而言，2023年全球平板显示器用电静电卡盘销量为364台，预计到2030年将增至1,111台。</w:t>
      </w:r>
    </w:p>
    <w:p w14:paraId="093A9479">
      <w:pPr>
        <w:pStyle w:val="145"/>
        <w:rPr>
          <w:lang w:val="en-US" w:eastAsia="zh-CN"/>
        </w:rPr>
      </w:pPr>
      <w:r>
        <w:rPr>
          <w:rFonts w:hint="eastAsia"/>
          <w:lang w:val="en-US" w:eastAsia="zh-CN"/>
        </w:rPr>
        <w:t>显示制造业正扩展至亚洲地区（中国、韩国、日本），这些地方是LCD、OLED及新兴MicroLED技术生产的关键中心。随着这些地区投资新建显示生产设备，对先进ESCs的需求预计将增长，为当地和全球ESCs供应商提供了机会。地理上来说，亚太区是增长最快的区域，特别是韩国，在全球扮演着更加重要的角色。</w:t>
      </w:r>
    </w:p>
    <w:p w14:paraId="275EADE4">
      <w:pPr>
        <w:pStyle w:val="145"/>
        <w:rPr>
          <w:lang w:val="en-US" w:eastAsia="zh-CN"/>
        </w:rPr>
      </w:pPr>
      <w:r>
        <w:rPr>
          <w:rFonts w:hint="eastAsia"/>
          <w:lang w:val="en-US" w:eastAsia="zh-CN"/>
        </w:rPr>
        <w:t>全球主要平板显示器用电静电卡盘制造商包括MiCo、TOMOEGAWA等。2023年市场上收入份额前三名分别是MiCo、TOMOEGAWA和AEGISCO。其中MiCo以51.28%的市场份额占据主导地位，其次是TOMOEGAWA占17.39%，AEGISCO占10.77%。</w:t>
      </w:r>
    </w:p>
    <w:p w14:paraId="35290A66">
      <w:pPr>
        <w:pStyle w:val="145"/>
        <w:rPr>
          <w:rFonts w:hint="eastAsia"/>
          <w:lang w:val="en-US" w:eastAsia="zh-CN"/>
        </w:rPr>
      </w:pPr>
      <w:r>
        <w:rPr>
          <w:rFonts w:hint="eastAsia"/>
          <w:lang w:val="en-US" w:eastAsia="zh-CN"/>
        </w:rPr>
        <w:t>平板显示器用电静电卡盘制造市场预计将强劲增长，这得益于显示技术的进步和制造工艺复杂性的增加。ESC材料创新、能效提升以及与自动化生产线集成将是未来增长的关键驱动力。尽管存在技术复杂性和潜在替代威胁等挑战，但鉴于ESCs在实现精确处理特别是在高质量、柔性及可折叠显示屏制造中所发挥的核心作用，它们在未来一段时间内仍将是显示制造技术领域的前沿选择。</w:t>
      </w:r>
    </w:p>
    <w:p w14:paraId="3F6C2722">
      <w:pPr>
        <w:pStyle w:val="148"/>
        <w:rPr>
          <w:sz w:val="22"/>
          <w:szCs w:val="24"/>
          <w:lang w:eastAsia="zh-CN"/>
        </w:rPr>
      </w:pPr>
      <w:r>
        <w:rPr>
          <w:sz w:val="22"/>
          <w:szCs w:val="24"/>
          <w:lang w:eastAsia="zh-CN"/>
        </w:rPr>
        <w:t>平板显示器用静电卡盘</w:t>
      </w:r>
      <w:r>
        <w:rPr>
          <w:rFonts w:hint="eastAsia"/>
          <w:sz w:val="22"/>
          <w:szCs w:val="24"/>
          <w:lang w:eastAsia="zh-CN"/>
        </w:rPr>
        <w:t>，全球市场总体规模</w:t>
      </w:r>
    </w:p>
    <w:p w14:paraId="548964BA">
      <w:pPr>
        <w:pStyle w:val="145"/>
        <w:rPr>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2876550</wp:posOffset>
                </wp:positionH>
                <wp:positionV relativeFrom="paragraph">
                  <wp:posOffset>1041400</wp:posOffset>
                </wp:positionV>
                <wp:extent cx="914400" cy="914400"/>
                <wp:effectExtent l="0" t="0" r="0" b="0"/>
                <wp:wrapNone/>
                <wp:docPr id="1" name="文本框 1"/>
                <wp:cNvGraphicFramePr/>
                <a:graphic xmlns:a="http://schemas.openxmlformats.org/drawingml/2006/main">
                  <a:graphicData uri="http://schemas.microsoft.com/office/word/2010/wordprocessingShape">
                    <wps:wsp>
                      <wps:cNvSpPr txBox="1"/>
                      <wps:spPr>
                        <a:xfrm>
                          <a:off x="3665220" y="6309995"/>
                          <a:ext cx="914400" cy="914400"/>
                        </a:xfrm>
                        <a:prstGeom prst="rect">
                          <a:avLst/>
                        </a:prstGeom>
                        <a:ln w="6350" cap="flat" cmpd="sng" algn="ctr">
                          <a:noFill/>
                          <a:prstDash val="dash"/>
                          <a:miter lim="800000"/>
                        </a:ln>
                      </wps:spPr>
                      <wps:style>
                        <a:lnRef idx="0">
                          <a:schemeClr val="accent1"/>
                        </a:lnRef>
                        <a:fillRef idx="0">
                          <a:srgbClr val="FFFFFF"/>
                        </a:fillRef>
                        <a:effectRef idx="0">
                          <a:srgbClr val="FFFFFF"/>
                        </a:effectRef>
                        <a:fontRef idx="minor">
                          <a:schemeClr val="tx1"/>
                        </a:fontRef>
                      </wps:style>
                      <wps:txbx>
                        <w:txbxContent>
                          <w:p w14:paraId="4C16EE3F">
                            <w:pPr>
                              <w:rPr>
                                <w:rFonts w:hint="default" w:eastAsia="宋体"/>
                                <w:lang w:val="en-US" w:eastAsia="zh-CN"/>
                              </w:rPr>
                            </w:pPr>
                            <w:r>
                              <w:rPr>
                                <w:rFonts w:hint="eastAsia"/>
                                <w:lang w:val="en-US" w:eastAsia="zh-CN"/>
                              </w:rPr>
                              <w:t>17.0%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6.5pt;margin-top:82pt;height:72pt;width:72pt;z-index:251659264;mso-width-relative:page;mso-height-relative:page;" filled="f" stroked="f" coordsize="21600,21600" o:gfxdata="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OeSKc1QAAAAsBAAAPAAAAAAAAAAEAIAAAACIAAABkcnMvZG93bnJldi54bWxQ&#10;SwECFAAUAAAACACHTuJAtyD/wWwCAADBBAAADgAAAAAAAAABACAAAAAkAQAAZHJzL2Uyb0RvYy54&#10;bWxQSwUGAAAAAAYABgBZAQAAAgYAAAAA&#10;">
                <v:fill on="f" focussize="0,0"/>
                <v:stroke on="f" weight="0.5pt" miterlimit="8" joinstyle="miter" dashstyle="dash"/>
                <v:imagedata o:title=""/>
                <o:lock v:ext="edit" aspectratio="f"/>
                <v:textbox>
                  <w:txbxContent>
                    <w:p w14:paraId="4C16EE3F">
                      <w:pPr>
                        <w:rPr>
                          <w:rFonts w:hint="default" w:eastAsia="宋体"/>
                          <w:lang w:val="en-US" w:eastAsia="zh-CN"/>
                        </w:rPr>
                      </w:pPr>
                      <w:r>
                        <w:rPr>
                          <w:rFonts w:hint="eastAsia"/>
                          <w:lang w:val="en-US" w:eastAsia="zh-CN"/>
                        </w:rPr>
                        <w:t>17.0%</w:t>
                      </w:r>
                    </w:p>
                  </w:txbxContent>
                </v:textbox>
              </v:shape>
            </w:pict>
          </mc:Fallback>
        </mc:AlternateContent>
      </w:r>
      <w:r>
        <w:drawing>
          <wp:inline distT="0" distB="0" distL="0" distR="0">
            <wp:extent cx="6188710" cy="2954655"/>
            <wp:effectExtent l="0" t="0" r="2540" b="0"/>
            <wp:docPr id="7387417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hint="eastAsia"/>
          <w:lang w:eastAsia="zh-CN"/>
        </w:rPr>
        <w:t>来源：QYResearc</w:t>
      </w:r>
      <w:r>
        <w:rPr>
          <w:lang w:eastAsia="zh-CN"/>
        </w:rPr>
        <w:t>h</w:t>
      </w:r>
      <w:r>
        <w:rPr>
          <w:rFonts w:hint="eastAsia"/>
          <w:lang w:eastAsia="zh-CN"/>
        </w:rPr>
        <w:t>电子研究中心</w:t>
      </w:r>
    </w:p>
    <w:p w14:paraId="12FD9BEF">
      <w:pPr>
        <w:pStyle w:val="145"/>
        <w:rPr>
          <w:lang w:eastAsia="zh-CN"/>
        </w:rPr>
      </w:pPr>
    </w:p>
    <w:p w14:paraId="720E31E2">
      <w:pPr>
        <w:pStyle w:val="148"/>
        <w:rPr>
          <w:sz w:val="22"/>
          <w:szCs w:val="24"/>
          <w:lang w:eastAsia="zh-CN"/>
        </w:rPr>
      </w:pPr>
      <w:r>
        <w:rPr>
          <w:rFonts w:hint="eastAsia"/>
          <w:sz w:val="22"/>
          <w:szCs w:val="24"/>
          <w:lang w:eastAsia="zh-CN"/>
        </w:rPr>
        <w:t>全球</w:t>
      </w:r>
      <w:r>
        <w:rPr>
          <w:sz w:val="22"/>
          <w:szCs w:val="24"/>
          <w:lang w:eastAsia="zh-CN"/>
        </w:rPr>
        <w:t>平板显示器用静电卡盘</w:t>
      </w:r>
      <w:r>
        <w:rPr>
          <w:rFonts w:hint="eastAsia"/>
          <w:sz w:val="22"/>
          <w:szCs w:val="24"/>
          <w:lang w:eastAsia="zh-CN"/>
        </w:rPr>
        <w:t>市场前4强生产商排名及市场占有率（基于2</w:t>
      </w:r>
      <w:r>
        <w:rPr>
          <w:sz w:val="22"/>
          <w:szCs w:val="24"/>
          <w:lang w:eastAsia="zh-CN"/>
        </w:rPr>
        <w:t>023</w:t>
      </w:r>
      <w:r>
        <w:rPr>
          <w:rFonts w:hint="eastAsia"/>
          <w:sz w:val="22"/>
          <w:szCs w:val="24"/>
          <w:lang w:eastAsia="zh-CN"/>
        </w:rPr>
        <w:t>年调研数据；目前最新数据以本公司最新调研数据为准）</w:t>
      </w:r>
    </w:p>
    <w:p w14:paraId="4BAAEB40">
      <w:pPr>
        <w:widowControl/>
        <w:topLinePunct w:val="0"/>
        <w:spacing w:after="0"/>
        <w:jc w:val="center"/>
      </w:pPr>
      <w:r>
        <w:drawing>
          <wp:inline distT="0" distB="0" distL="0" distR="0">
            <wp:extent cx="4747895" cy="4015740"/>
            <wp:effectExtent l="0" t="0" r="14605" b="3810"/>
            <wp:docPr id="76628174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4A43543">
      <w:pPr>
        <w:widowControl/>
        <w:topLinePunct w:val="0"/>
        <w:spacing w:after="0"/>
        <w:jc w:val="center"/>
        <w:rPr>
          <w:lang w:eastAsia="zh-CN"/>
        </w:rPr>
      </w:pPr>
      <w:r>
        <w:rPr>
          <w:rFonts w:hint="eastAsia"/>
          <w:lang w:eastAsia="zh-CN"/>
        </w:rPr>
        <w:t>来源：QYResearch电子研究中心。行业处于不断变动之中，最新数据请联系QYResearch咨询。</w:t>
      </w:r>
    </w:p>
    <w:p w14:paraId="25E3B091">
      <w:pPr>
        <w:widowControl/>
        <w:topLinePunct w:val="0"/>
        <w:spacing w:after="0"/>
        <w:rPr>
          <w:rFonts w:ascii="Times New Roman" w:hAnsi="Times New Roman" w:cs="Times New Roman"/>
          <w:kern w:val="0"/>
          <w:sz w:val="22"/>
          <w:szCs w:val="22"/>
        </w:rPr>
      </w:pPr>
    </w:p>
    <w:p w14:paraId="63B00480">
      <w:pPr>
        <w:widowControl/>
        <w:topLinePunct w:val="0"/>
        <w:spacing w:after="0"/>
        <w:rPr>
          <w:rFonts w:hint="eastAsia" w:ascii="Times New Roman" w:hAnsi="Times New Roman" w:cs="Times New Roman"/>
          <w:kern w:val="0"/>
          <w:sz w:val="22"/>
          <w:szCs w:val="22"/>
        </w:rPr>
      </w:pPr>
      <w:r>
        <w:rPr>
          <w:rFonts w:ascii="Times New Roman" w:hAnsi="Times New Roman" w:cs="Times New Roman"/>
          <w:kern w:val="0"/>
          <w:sz w:val="22"/>
          <w:szCs w:val="22"/>
        </w:rPr>
        <w:t>根据QYResearch头部企业研究中心调研，全球范围内平板显示器用静电卡盘生产商主要包括MiCo、TOMOEGAWA等。2023年，全球前三大厂商占有大约86.0%的市场份额。</w:t>
      </w:r>
    </w:p>
    <w:p w14:paraId="6F411D9F">
      <w:pPr>
        <w:pStyle w:val="145"/>
        <w:rPr>
          <w:lang w:eastAsia="zh-CN"/>
        </w:rPr>
      </w:pPr>
    </w:p>
    <w:p w14:paraId="3E6DE9A8">
      <w:pPr>
        <w:pStyle w:val="148"/>
        <w:rPr>
          <w:sz w:val="22"/>
          <w:szCs w:val="24"/>
          <w:lang w:eastAsia="zh-CN"/>
        </w:rPr>
      </w:pPr>
      <w:r>
        <w:rPr>
          <w:sz w:val="22"/>
          <w:szCs w:val="24"/>
          <w:lang w:eastAsia="zh-CN"/>
        </w:rPr>
        <w:t>平板显示器用静电卡盘</w:t>
      </w:r>
      <w:r>
        <w:rPr>
          <w:rFonts w:hint="eastAsia"/>
          <w:sz w:val="22"/>
          <w:szCs w:val="24"/>
          <w:lang w:eastAsia="zh-CN"/>
        </w:rPr>
        <w:t>，全球市场规模，按产品类型细分，</w:t>
      </w:r>
      <w:r>
        <w:rPr>
          <w:rFonts w:ascii="Book Antiqua" w:hAnsi="Book Antiqua" w:cs="宋体"/>
          <w:sz w:val="24"/>
          <w:szCs w:val="24"/>
          <w:lang w:eastAsia="zh-CN"/>
        </w:rPr>
        <w:t>陶瓷型</w:t>
      </w:r>
      <w:r>
        <w:rPr>
          <w:rFonts w:hint="eastAsia"/>
          <w:sz w:val="22"/>
          <w:szCs w:val="24"/>
          <w:lang w:eastAsia="zh-CN"/>
        </w:rPr>
        <w:t>处于主导地位</w:t>
      </w:r>
    </w:p>
    <w:p w14:paraId="6938E788">
      <w:pPr>
        <w:pStyle w:val="145"/>
        <w:rPr>
          <w:lang w:eastAsia="zh-CN"/>
        </w:rPr>
      </w:pPr>
      <w:r>
        <w:drawing>
          <wp:inline distT="0" distB="0" distL="0" distR="0">
            <wp:extent cx="5340350" cy="2211070"/>
            <wp:effectExtent l="0" t="0" r="12700" b="17780"/>
            <wp:docPr id="12407660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lang w:val="en-US" w:eastAsia="zh-CN"/>
        </w:rPr>
        <w:drawing>
          <wp:inline distT="0" distB="0" distL="0" distR="0">
            <wp:extent cx="5090795" cy="2346960"/>
            <wp:effectExtent l="0" t="0" r="14605" b="15240"/>
            <wp:docPr id="2349706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970605"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090795" cy="2346960"/>
                    </a:xfrm>
                    <a:prstGeom prst="rect">
                      <a:avLst/>
                    </a:prstGeom>
                    <a:noFill/>
                  </pic:spPr>
                </pic:pic>
              </a:graphicData>
            </a:graphic>
          </wp:inline>
        </w:drawing>
      </w:r>
      <w:r>
        <w:rPr>
          <w:rFonts w:hint="eastAsia"/>
          <w:lang w:val="en-US" w:eastAsia="zh-CN"/>
        </w:rPr>
        <w:t xml:space="preserve">                </w:t>
      </w:r>
      <w:r>
        <w:rPr>
          <w:rFonts w:hint="eastAsia"/>
          <w:lang w:eastAsia="zh-CN"/>
        </w:rPr>
        <w:t>来源：QYResearch电子研究中心</w:t>
      </w:r>
    </w:p>
    <w:p w14:paraId="29F8C0BB">
      <w:pPr>
        <w:widowControl/>
        <w:topLinePunct w:val="0"/>
        <w:spacing w:after="0"/>
        <w:jc w:val="left"/>
        <w:rPr>
          <w:rFonts w:ascii="Book Antiqua" w:hAnsi="Book Antiqua" w:cs="宋体"/>
          <w:kern w:val="0"/>
          <w:sz w:val="22"/>
          <w:szCs w:val="22"/>
        </w:rPr>
      </w:pPr>
    </w:p>
    <w:p w14:paraId="20313761">
      <w:pPr>
        <w:widowControl/>
        <w:topLinePunct w:val="0"/>
        <w:spacing w:after="0"/>
        <w:jc w:val="left"/>
        <w:rPr>
          <w:rFonts w:ascii="Book Antiqua" w:hAnsi="Book Antiqua" w:cs="宋体"/>
          <w:kern w:val="0"/>
          <w:sz w:val="22"/>
          <w:szCs w:val="22"/>
        </w:rPr>
      </w:pPr>
      <w:r>
        <w:rPr>
          <w:rFonts w:ascii="Book Antiqua" w:hAnsi="Book Antiqua" w:cs="宋体"/>
          <w:kern w:val="0"/>
          <w:sz w:val="22"/>
          <w:szCs w:val="22"/>
        </w:rPr>
        <w:t>就产品类型而言，目前陶瓷型是最主要的细分产品，占据大约78.9%的份额。</w:t>
      </w:r>
    </w:p>
    <w:p w14:paraId="296042D7">
      <w:pPr>
        <w:widowControl/>
        <w:topLinePunct w:val="0"/>
        <w:spacing w:after="0"/>
        <w:jc w:val="left"/>
        <w:rPr>
          <w:rFonts w:cs="Arial"/>
          <w:b/>
          <w:color w:val="FF8200"/>
          <w:kern w:val="0"/>
          <w:szCs w:val="22"/>
        </w:rPr>
      </w:pPr>
      <w:r>
        <w:br w:type="page"/>
      </w:r>
    </w:p>
    <w:p w14:paraId="0B069045">
      <w:pPr>
        <w:pStyle w:val="148"/>
        <w:rPr>
          <w:sz w:val="22"/>
          <w:szCs w:val="24"/>
          <w:lang w:eastAsia="zh-CN"/>
        </w:rPr>
      </w:pPr>
      <w:r>
        <w:rPr>
          <w:sz w:val="22"/>
          <w:szCs w:val="24"/>
          <w:lang w:eastAsia="zh-CN"/>
        </w:rPr>
        <w:t>平板显示器用静电卡盘</w:t>
      </w:r>
      <w:r>
        <w:rPr>
          <w:rFonts w:hint="eastAsia"/>
          <w:sz w:val="22"/>
          <w:szCs w:val="24"/>
          <w:lang w:eastAsia="zh-CN"/>
        </w:rPr>
        <w:t>，全球市场规模，按应用细分，</w:t>
      </w:r>
      <w:r>
        <w:rPr>
          <w:rFonts w:hint="eastAsia" w:ascii="Book Antiqua" w:hAnsi="Book Antiqua" w:cs="宋体"/>
          <w:sz w:val="24"/>
          <w:szCs w:val="24"/>
          <w:lang w:eastAsia="zh-CN"/>
        </w:rPr>
        <w:t>OLED</w:t>
      </w:r>
      <w:r>
        <w:rPr>
          <w:rFonts w:hint="eastAsia"/>
          <w:sz w:val="22"/>
          <w:szCs w:val="24"/>
          <w:lang w:eastAsia="zh-CN"/>
        </w:rPr>
        <w:t>是最大的下游市场</w:t>
      </w:r>
    </w:p>
    <w:p w14:paraId="077212C9">
      <w:pPr>
        <w:widowControl/>
        <w:topLinePunct w:val="0"/>
        <w:spacing w:after="0"/>
        <w:jc w:val="left"/>
        <w:rPr>
          <w:rFonts w:hint="eastAsia" w:ascii="宋体" w:hAnsi="宋体" w:cs="宋体"/>
          <w:kern w:val="0"/>
          <w:sz w:val="24"/>
          <w:szCs w:val="24"/>
        </w:rPr>
      </w:pPr>
      <w:r>
        <w:drawing>
          <wp:inline distT="0" distB="0" distL="0" distR="0">
            <wp:extent cx="5546090" cy="2446655"/>
            <wp:effectExtent l="0" t="0" r="16510" b="10795"/>
            <wp:docPr id="43997614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rFonts w:hint="eastAsia" w:ascii="宋体" w:hAnsi="宋体" w:cs="宋体"/>
          <w:kern w:val="0"/>
          <w:sz w:val="24"/>
          <w:szCs w:val="24"/>
        </w:rPr>
        <w:drawing>
          <wp:inline distT="0" distB="0" distL="0" distR="0">
            <wp:extent cx="5242560" cy="2416810"/>
            <wp:effectExtent l="0" t="0" r="15240" b="2540"/>
            <wp:docPr id="7341681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168151" name="图片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42560" cy="2416810"/>
                    </a:xfrm>
                    <a:prstGeom prst="rect">
                      <a:avLst/>
                    </a:prstGeom>
                    <a:noFill/>
                  </pic:spPr>
                </pic:pic>
              </a:graphicData>
            </a:graphic>
          </wp:inline>
        </w:drawing>
      </w:r>
    </w:p>
    <w:p w14:paraId="1753BDFC">
      <w:pPr>
        <w:widowControl/>
        <w:topLinePunct w:val="0"/>
        <w:spacing w:after="0"/>
        <w:jc w:val="left"/>
        <w:rPr>
          <w:lang w:eastAsia="zh-CN"/>
        </w:rPr>
      </w:pPr>
      <w:r>
        <w:rPr>
          <w:rFonts w:hint="eastAsia"/>
          <w:lang w:eastAsia="zh-CN"/>
        </w:rPr>
        <w:t>来源：QYResearch电子研究中心</w:t>
      </w:r>
    </w:p>
    <w:p w14:paraId="25429902">
      <w:pPr>
        <w:widowControl/>
        <w:topLinePunct w:val="0"/>
        <w:spacing w:after="0"/>
        <w:jc w:val="left"/>
        <w:rPr>
          <w:rFonts w:ascii="Book Antiqua" w:hAnsi="Book Antiqua" w:cs="宋体"/>
          <w:kern w:val="0"/>
          <w:sz w:val="22"/>
          <w:szCs w:val="22"/>
        </w:rPr>
      </w:pPr>
    </w:p>
    <w:p w14:paraId="5315F7D2">
      <w:pPr>
        <w:widowControl/>
        <w:topLinePunct w:val="0"/>
        <w:spacing w:after="0"/>
        <w:jc w:val="left"/>
        <w:rPr>
          <w:rFonts w:hint="eastAsia" w:ascii="Book Antiqua" w:hAnsi="Book Antiqua" w:cs="宋体"/>
          <w:kern w:val="0"/>
          <w:sz w:val="22"/>
          <w:szCs w:val="22"/>
        </w:rPr>
      </w:pPr>
      <w:r>
        <w:rPr>
          <w:rFonts w:ascii="Book Antiqua" w:hAnsi="Book Antiqua" w:cs="宋体"/>
          <w:kern w:val="0"/>
          <w:sz w:val="22"/>
          <w:szCs w:val="22"/>
        </w:rPr>
        <w:t>就产品应用而言，目前OLED是最主要的需求来源，占据大约80.9%的份额。</w:t>
      </w:r>
    </w:p>
    <w:p w14:paraId="0CD10F4E">
      <w:pPr>
        <w:pStyle w:val="148"/>
        <w:rPr>
          <w:sz w:val="22"/>
          <w:szCs w:val="24"/>
          <w:lang w:eastAsia="zh-CN"/>
        </w:rPr>
      </w:pPr>
      <w:r>
        <w:rPr>
          <w:rFonts w:hint="eastAsia"/>
          <w:sz w:val="22"/>
          <w:szCs w:val="24"/>
          <w:lang w:eastAsia="zh-CN"/>
        </w:rPr>
        <w:t>全球主要市场</w:t>
      </w:r>
      <w:r>
        <w:rPr>
          <w:sz w:val="22"/>
          <w:szCs w:val="24"/>
          <w:lang w:eastAsia="zh-CN"/>
        </w:rPr>
        <w:t>平板显示器用静电卡盘</w:t>
      </w:r>
      <w:r>
        <w:rPr>
          <w:rFonts w:hint="eastAsia"/>
          <w:sz w:val="22"/>
          <w:szCs w:val="24"/>
          <w:lang w:eastAsia="zh-CN"/>
        </w:rPr>
        <w:t>规模</w:t>
      </w:r>
    </w:p>
    <w:p w14:paraId="53EAAA83">
      <w:pPr>
        <w:pStyle w:val="145"/>
      </w:pPr>
      <w:r>
        <w:drawing>
          <wp:inline distT="0" distB="0" distL="0" distR="0">
            <wp:extent cx="5259705" cy="2541270"/>
            <wp:effectExtent l="0" t="0" r="17145" b="11430"/>
            <wp:docPr id="177559164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7A95001">
      <w:pPr>
        <w:pStyle w:val="145"/>
        <w:rPr>
          <w:rFonts w:hint="eastAsia"/>
          <w:lang w:eastAsia="zh-CN"/>
        </w:rPr>
      </w:pPr>
      <w:r>
        <w:rPr>
          <w:rFonts w:hint="eastAsia"/>
          <w:lang w:eastAsia="zh-CN"/>
        </w:rPr>
        <w:t>来源：QYResearch电子研究中心</w:t>
      </w:r>
      <w:bookmarkEnd w:id="0"/>
      <w:bookmarkEnd w:id="1"/>
      <w:bookmarkEnd w:id="2"/>
      <w:bookmarkEnd w:id="3"/>
      <w:bookmarkEnd w:id="4"/>
      <w:bookmarkEnd w:id="5"/>
      <w:bookmarkEnd w:id="6"/>
      <w:bookmarkEnd w:id="7"/>
      <w:bookmarkEnd w:id="8"/>
      <w:bookmarkEnd w:id="9"/>
      <w:bookmarkEnd w:id="10"/>
      <w:bookmarkEnd w:id="11"/>
      <w:bookmarkEnd w:id="12"/>
    </w:p>
    <w:p w14:paraId="486E4D38">
      <w:pPr>
        <w:pStyle w:val="145"/>
        <w:rPr>
          <w:rFonts w:hint="eastAsia"/>
          <w:lang w:eastAsia="zh-CN"/>
        </w:rPr>
      </w:pPr>
    </w:p>
    <w:p w14:paraId="2B4BE0D9">
      <w:pPr>
        <w:pStyle w:val="145"/>
        <w:rPr>
          <w:sz w:val="15"/>
          <w:szCs w:val="16"/>
          <w:lang w:eastAsia="zh-CN"/>
        </w:rPr>
      </w:pPr>
      <w:r>
        <w:rPr>
          <w:rStyle w:val="68"/>
          <w:rFonts w:ascii="Microsoft YaHei UI" w:hAnsi="Microsoft YaHei UI" w:eastAsia="Microsoft YaHei UI" w:cs="Microsoft YaHei UI"/>
          <w:i w:val="0"/>
          <w:iCs w:val="0"/>
          <w:caps w:val="0"/>
          <w:color w:val="AB1942"/>
          <w:spacing w:val="15"/>
          <w:sz w:val="18"/>
          <w:szCs w:val="18"/>
          <w:shd w:val="clear" w:fill="FFFFFF"/>
        </w:rPr>
        <w:t>QYResearch将持续关注行业动态，为投资者和业内人士提供最新、最全面的市场分析和趋势预测。更多行业资料建议查看</w:t>
      </w:r>
      <w:r>
        <w:rPr>
          <w:rStyle w:val="68"/>
          <w:rFonts w:hint="eastAsia" w:ascii="Microsoft YaHei UI" w:hAnsi="Microsoft YaHei UI" w:eastAsia="Microsoft YaHei UI" w:cs="Microsoft YaHei UI"/>
          <w:i w:val="0"/>
          <w:iCs w:val="0"/>
          <w:caps w:val="0"/>
          <w:color w:val="AB1942"/>
          <w:spacing w:val="15"/>
          <w:sz w:val="18"/>
          <w:szCs w:val="18"/>
          <w:shd w:val="clear" w:fill="FFFFFF"/>
        </w:rPr>
        <w:t>恒州博智研究中心出版的相关报告。</w:t>
      </w:r>
    </w:p>
    <w:p w14:paraId="2E86FFF1">
      <w:pPr>
        <w:pStyle w:val="145"/>
        <w:rPr>
          <w:rFonts w:hint="eastAsia"/>
          <w:lang w:eastAsia="zh-CN"/>
        </w:rPr>
      </w:pPr>
      <w:bookmarkStart w:id="17" w:name="_GoBack"/>
      <w:bookmarkEnd w:id="17"/>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QYResearch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2336"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jFmNGNlNTgxMTU0YzBhMjY3NTRmNDcyYjNlZTNhMDc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96"/>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BF9"/>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816"/>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3D04"/>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3C89"/>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9E6"/>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465"/>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A25"/>
    <w:rsid w:val="003B2B7A"/>
    <w:rsid w:val="003B2BA6"/>
    <w:rsid w:val="003B2BE2"/>
    <w:rsid w:val="003B2E45"/>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38"/>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30"/>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0CE"/>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72"/>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4E8"/>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1F9E"/>
    <w:rsid w:val="009720CB"/>
    <w:rsid w:val="00972C60"/>
    <w:rsid w:val="0097311B"/>
    <w:rsid w:val="009733AB"/>
    <w:rsid w:val="009735DA"/>
    <w:rsid w:val="009735EC"/>
    <w:rsid w:val="009738BE"/>
    <w:rsid w:val="00974063"/>
    <w:rsid w:val="00974173"/>
    <w:rsid w:val="00974579"/>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49DD"/>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3C60"/>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2C78"/>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AB3"/>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1E62"/>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E45"/>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02"/>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78579B3"/>
    <w:rsid w:val="379901EC"/>
    <w:rsid w:val="59E779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5.xml"/><Relationship Id="rId15" Type="http://schemas.openxmlformats.org/officeDocument/2006/relationships/image" Target="media/image5.png"/><Relationship Id="rId14" Type="http://schemas.openxmlformats.org/officeDocument/2006/relationships/chart" Target="charts/chart4.xml"/><Relationship Id="rId13" Type="http://schemas.openxmlformats.org/officeDocument/2006/relationships/image" Target="media/image4.png"/><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chartUserShapes" Target="../drawings/drawing1.xml"/><Relationship Id="rId1" Type="http://schemas.openxmlformats.org/officeDocument/2006/relationships/oleObject" Target="file:///C:\Users\11476\Desktop\&#23459;&#20256;&#25991;&#20214;\&#23459;&#20256;&#26448;&#26009;%20&#27169;&#26495;Word%2020240903\&#35266;&#28857;&#25968;&#25454;&#22270;&#34920;&#27169;&#26495;-&#27169;&#26495;%2020240612%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11476\Desktop\&#23459;&#20256;&#25991;&#20214;\&#23459;&#20256;&#26448;&#26009;%20&#27169;&#26495;Word%2020240903\&#35266;&#28857;&#25968;&#25454;&#22270;&#34920;&#27169;&#26495;-&#27169;&#26495;%2020240612%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11476\Desktop\&#23459;&#20256;&#25991;&#20214;\&#23459;&#20256;&#26448;&#26009;%20&#27169;&#26495;Word%2020240903\&#35266;&#28857;&#25968;&#25454;&#22270;&#34920;&#27169;&#26495;-&#27169;&#26495;%2020240612%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11476\Desktop\&#23459;&#20256;&#25991;&#20214;\&#23459;&#20256;&#26448;&#26009;%20&#27169;&#26495;Word%2020240903\&#35266;&#28857;&#25968;&#25454;&#22270;&#34920;&#27169;&#26495;-&#27169;&#26495;%2020240612%20&#20026;&#2093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11476\Desktop\&#23459;&#20256;&#25991;&#20214;\&#23459;&#20256;&#26448;&#26009;%20&#27169;&#26495;Word%2020240903\&#35266;&#28857;&#25968;&#25454;&#22270;&#34920;&#27169;&#26495;-&#27169;&#26495;%2020240612%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zh-CN" altLang="en-US" sz="1100" b="0" i="0" u="none" strike="noStrike" kern="1200" spc="0" baseline="0">
                <a:solidFill>
                  <a:sysClr val="windowText" lastClr="000000">
                    <a:lumMod val="65000"/>
                    <a:lumOff val="35000"/>
                  </a:sysClr>
                </a:solidFill>
                <a:latin typeface="Times New Roman" panose="02020603050405020304" charset="0"/>
                <a:cs typeface="Times New Roman" panose="02020603050405020304" charset="0"/>
              </a:rPr>
              <a:t>全球规模 </a:t>
            </a:r>
            <a:r>
              <a:rPr lang="en-US" altLang="zh-CN" sz="1100" b="0" i="0" u="none" strike="noStrike" kern="1200" spc="0" baseline="0">
                <a:solidFill>
                  <a:sysClr val="windowText" lastClr="000000">
                    <a:lumMod val="65000"/>
                    <a:lumOff val="35000"/>
                  </a:sysClr>
                </a:solidFill>
                <a:latin typeface="Times New Roman" panose="02020603050405020304" charset="0"/>
                <a:cs typeface="Times New Roman" panose="02020603050405020304" charset="0"/>
              </a:rPr>
              <a:t>(</a:t>
            </a:r>
            <a:r>
              <a:rPr lang="zh-CN" altLang="en-US" sz="1100" b="0" i="0" u="none" strike="noStrike" kern="1200" spc="0" baseline="0">
                <a:solidFill>
                  <a:sysClr val="windowText" lastClr="000000">
                    <a:lumMod val="65000"/>
                    <a:lumOff val="35000"/>
                  </a:sysClr>
                </a:solidFill>
                <a:latin typeface="Times New Roman" panose="02020603050405020304" charset="0"/>
                <a:cs typeface="Times New Roman" panose="02020603050405020304" charset="0"/>
              </a:rPr>
              <a:t>百万美元</a:t>
            </a:r>
            <a:r>
              <a:rPr lang="en-US" altLang="zh-CN" sz="1100" b="0" i="0" u="none" strike="noStrike" kern="1200" spc="0" baseline="0">
                <a:solidFill>
                  <a:sysClr val="windowText" lastClr="000000">
                    <a:lumMod val="65000"/>
                    <a:lumOff val="35000"/>
                  </a:sysClr>
                </a:solidFill>
                <a:latin typeface="Times New Roman" panose="02020603050405020304" charset="0"/>
                <a:cs typeface="Times New Roman" panose="02020603050405020304" charset="0"/>
              </a:rPr>
              <a:t>), </a:t>
            </a:r>
            <a:r>
              <a:rPr lang="en-US"/>
              <a:t>2024 VS 2030</a:t>
            </a:r>
            <a:endParaRPr lang="en-US"/>
          </a:p>
        </c:rich>
      </c:tx>
      <c:layout/>
      <c:overlay val="0"/>
      <c:spPr>
        <a:noFill/>
        <a:ln>
          <a:noFill/>
        </a:ln>
        <a:effectLst/>
      </c:spPr>
    </c:title>
    <c:autoTitleDeleted val="0"/>
    <c:plotArea>
      <c:layout>
        <c:manualLayout>
          <c:layoutTarget val="inner"/>
          <c:xMode val="edge"/>
          <c:yMode val="edge"/>
          <c:x val="0.0254783950617284"/>
          <c:y val="0.139741503267974"/>
          <c:w val="0.956882716049383"/>
          <c:h val="0.7639781045751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全球总体!$T$6:$U$6</c:f>
              <c:numCache>
                <c:formatCode>General</c:formatCode>
                <c:ptCount val="2"/>
                <c:pt idx="0">
                  <c:v>2024</c:v>
                </c:pt>
                <c:pt idx="1">
                  <c:v>2030</c:v>
                </c:pt>
              </c:numCache>
            </c:numRef>
          </c:cat>
          <c:val>
            <c:numRef>
              <c:f>全球总体!$T$7:$U$7</c:f>
              <c:numCache>
                <c:formatCode>#,##0_ </c:formatCode>
                <c:ptCount val="2"/>
                <c:pt idx="0">
                  <c:v>11.97</c:v>
                </c:pt>
                <c:pt idx="1">
                  <c:v>30.74</c:v>
                </c:pt>
              </c:numCache>
            </c:numRef>
          </c:val>
        </c:ser>
        <c:dLbls>
          <c:showLegendKey val="0"/>
          <c:showVal val="0"/>
          <c:showCatName val="0"/>
          <c:showSerName val="0"/>
          <c:showPercent val="0"/>
          <c:showBubbleSize val="0"/>
        </c:dLbls>
        <c:gapWidth val="219"/>
        <c:overlap val="100"/>
        <c:serLines>
          <c:spPr>
            <a:ln w="15875" cap="flat"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extLst>
      <c:ext uri="{0b15fc19-7d7d-44ad-8c2d-2c3a37ce22c3}">
        <chartProps xmlns="https://web.wps.cn/et/2018/main" chartId="{8d96ca8f-c914-43ec-afa2-4328ab38789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Lbls>
            <c:delete val="1"/>
          </c:dLbls>
          <c:cat>
            <c:strRef>
              <c:f>企业收入!$H$2:$H$5</c:f>
              <c:strCache>
                <c:ptCount val="4"/>
                <c:pt idx="0">
                  <c:v>MiCo</c:v>
                </c:pt>
                <c:pt idx="1">
                  <c:v>TOMOEGAWA</c:v>
                </c:pt>
                <c:pt idx="2">
                  <c:v>AEGISCO</c:v>
                </c:pt>
                <c:pt idx="3">
                  <c:v>Tsukuba Seiko</c:v>
                </c:pt>
              </c:strCache>
            </c:strRef>
          </c:cat>
          <c:val>
            <c:numRef>
              <c:f>企业收入!$I$2:$I$5</c:f>
              <c:numCache>
                <c:formatCode>0.00%</c:formatCode>
                <c:ptCount val="4"/>
                <c:pt idx="0">
                  <c:v>0.512845849802372</c:v>
                </c:pt>
                <c:pt idx="1">
                  <c:v>0.173913043478261</c:v>
                </c:pt>
                <c:pt idx="2">
                  <c:v>0.107707509881423</c:v>
                </c:pt>
                <c:pt idx="3">
                  <c:v>0.0622529644268775</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a770fe99-2f52-42f6-a055-32a2da7020cc}"/>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陶瓷型</c:v>
                </c:pt>
              </c:strCache>
            </c:strRef>
          </c:tx>
          <c:spPr>
            <a:solidFill>
              <a:srgbClr val="002060"/>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分类!$B$2:$M$2</c:f>
              <c:numCache>
                <c:formatCode>#,##0_);[Red]\(#,##0\)</c:formatCode>
                <c:ptCount val="12"/>
                <c:pt idx="0">
                  <c:v>3.88</c:v>
                </c:pt>
                <c:pt idx="1">
                  <c:v>4.98</c:v>
                </c:pt>
                <c:pt idx="2">
                  <c:v>6.16</c:v>
                </c:pt>
                <c:pt idx="3">
                  <c:v>7.06</c:v>
                </c:pt>
                <c:pt idx="4">
                  <c:v>7.98</c:v>
                </c:pt>
                <c:pt idx="5">
                  <c:v>9.45</c:v>
                </c:pt>
                <c:pt idx="6">
                  <c:v>10.88</c:v>
                </c:pt>
                <c:pt idx="7">
                  <c:v>12.91</c:v>
                </c:pt>
                <c:pt idx="8">
                  <c:v>15.14</c:v>
                </c:pt>
                <c:pt idx="9">
                  <c:v>17.98</c:v>
                </c:pt>
                <c:pt idx="10">
                  <c:v>21.13</c:v>
                </c:pt>
                <c:pt idx="11">
                  <c:v>24.5</c:v>
                </c:pt>
              </c:numCache>
            </c:numRef>
          </c:val>
        </c:ser>
        <c:ser>
          <c:idx val="1"/>
          <c:order val="1"/>
          <c:tx>
            <c:strRef>
              <c:f>分类!$A$3</c:f>
              <c:strCache>
                <c:ptCount val="1"/>
                <c:pt idx="0">
                  <c:v>其他</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分类!$B$3:$M$3</c:f>
              <c:numCache>
                <c:formatCode>#,##0_);[Red]\(#,##0\)</c:formatCode>
                <c:ptCount val="12"/>
                <c:pt idx="0">
                  <c:v>1.01</c:v>
                </c:pt>
                <c:pt idx="1">
                  <c:v>1.35</c:v>
                </c:pt>
                <c:pt idx="2">
                  <c:v>1.61</c:v>
                </c:pt>
                <c:pt idx="3">
                  <c:v>1.93</c:v>
                </c:pt>
                <c:pt idx="4">
                  <c:v>2.14</c:v>
                </c:pt>
                <c:pt idx="5">
                  <c:v>2.52</c:v>
                </c:pt>
                <c:pt idx="6">
                  <c:v>2.9</c:v>
                </c:pt>
                <c:pt idx="7">
                  <c:v>3.43</c:v>
                </c:pt>
                <c:pt idx="8">
                  <c:v>3.99</c:v>
                </c:pt>
                <c:pt idx="9">
                  <c:v>4.65</c:v>
                </c:pt>
                <c:pt idx="10">
                  <c:v>5.43</c:v>
                </c:pt>
                <c:pt idx="11">
                  <c:v>6.24</c:v>
                </c:pt>
              </c:numCache>
            </c:numRef>
          </c:val>
        </c:ser>
        <c:ser>
          <c:idx val="2"/>
          <c:order val="2"/>
          <c:tx>
            <c:strRef>
              <c:f>分类!$A$4</c:f>
              <c:strCache>
                <c:ptCount val="1"/>
                <c:pt idx="0">
                  <c:v>聚对苯二甲酸乙二醇酯</c:v>
                </c:pt>
              </c:strCache>
            </c:strRef>
          </c:tx>
          <c:spPr>
            <a:solidFill>
              <a:schemeClr val="accent6">
                <a:lumMod val="75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分类!$B$4:$M$4</c:f>
            </c:numRef>
          </c:val>
        </c:ser>
        <c:ser>
          <c:idx val="3"/>
          <c:order val="3"/>
          <c:tx>
            <c:strRef>
              <c:f>分类!$A$5</c:f>
              <c:strCache>
                <c:ptCount val="1"/>
                <c:pt idx="0">
                  <c:v>聚丙烯</c:v>
                </c:pt>
              </c:strCache>
            </c:strRef>
          </c:tx>
          <c:spPr>
            <a:solidFill>
              <a:schemeClr val="tx2">
                <a:lumMod val="60000"/>
                <a:lumOff val="4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分类!$B$5:$M$5</c:f>
            </c:numRef>
          </c:val>
        </c:ser>
        <c:ser>
          <c:idx val="4"/>
          <c:order val="4"/>
          <c:tx>
            <c:strRef>
              <c:f>分类!$A$6</c:f>
              <c:strCache>
                <c:ptCount val="1"/>
                <c:pt idx="0">
                  <c:v>其他</c:v>
                </c:pt>
              </c:strCache>
            </c:strRef>
          </c:tx>
          <c:spPr>
            <a:solidFill>
              <a:schemeClr val="accent1">
                <a:lumMod val="75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分类!$B$6:$M$6</c:f>
            </c:numRef>
          </c:val>
        </c:ser>
        <c:ser>
          <c:idx val="5"/>
          <c:order val="5"/>
          <c:tx>
            <c:strRef>
              <c:f>分类!$A$7</c:f>
              <c:strCache>
                <c:ptCount val="1"/>
                <c:pt idx="0">
                  <c:v>总计</c:v>
                </c:pt>
              </c:strCache>
            </c:strRef>
          </c:tx>
          <c:spPr>
            <a:solidFill>
              <a:schemeClr val="accent4">
                <a:lumMod val="60000"/>
                <a:lumOff val="4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分类!$B$7:$M$7</c:f>
            </c:numRef>
          </c:val>
        </c:ser>
        <c:ser>
          <c:idx val="6"/>
          <c:order val="6"/>
          <c:tx>
            <c:strRef>
              <c:f>分类!$A$8</c:f>
              <c:strCache>
                <c:ptCount val="1"/>
                <c:pt idx="0">
                  <c:v/>
                </c:pt>
              </c:strCache>
            </c:strRef>
          </c:tx>
          <c:spPr>
            <a:solidFill>
              <a:schemeClr val="accent2">
                <a:lumMod val="60000"/>
                <a:lumOff val="4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分类!$B$8:$M$8</c:f>
            </c:numRef>
          </c:val>
        </c:ser>
        <c:ser>
          <c:idx val="7"/>
          <c:order val="7"/>
          <c:tx>
            <c:strRef>
              <c:f>分类!$A$9</c:f>
              <c:strCache>
                <c:ptCount val="1"/>
                <c:pt idx="0">
                  <c:v/>
                </c:pt>
              </c:strCache>
            </c:strRef>
          </c:tx>
          <c:spPr>
            <a:solidFill>
              <a:schemeClr val="bg2">
                <a:lumMod val="5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分类!$B$9:$M$9</c:f>
            </c:numRef>
          </c:val>
        </c:ser>
        <c:ser>
          <c:idx val="8"/>
          <c:order val="8"/>
          <c:tx>
            <c:strRef>
              <c:f>分类!$A$10</c:f>
              <c:strCache>
                <c:ptCount val="1"/>
                <c:pt idx="0">
                  <c:v/>
                </c:pt>
              </c:strCache>
            </c:strRef>
          </c:tx>
          <c:spPr>
            <a:solidFill>
              <a:schemeClr val="accent5">
                <a:lumMod val="60000"/>
                <a:lumOff val="40000"/>
              </a:schemeClr>
            </a:solidFill>
            <a:ln>
              <a:noFill/>
            </a:ln>
            <a:effectLst/>
          </c:spPr>
          <c:invertIfNegative val="0"/>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分类!$A$11</c:f>
              <c:strCache>
                <c:ptCount val="1"/>
                <c:pt idx="0">
                  <c:v>合计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分类!$B$1:$M$1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分类!$B$11:$M$11</c:f>
              <c:numCache>
                <c:formatCode>#,##0_);[Red]\(#,##0\)</c:formatCode>
                <c:ptCount val="12"/>
                <c:pt idx="0">
                  <c:v>4.89</c:v>
                </c:pt>
                <c:pt idx="1">
                  <c:v>6.33</c:v>
                </c:pt>
                <c:pt idx="2">
                  <c:v>7.77</c:v>
                </c:pt>
                <c:pt idx="3">
                  <c:v>8.99</c:v>
                </c:pt>
                <c:pt idx="4">
                  <c:v>10.12</c:v>
                </c:pt>
                <c:pt idx="5">
                  <c:v>11.97</c:v>
                </c:pt>
                <c:pt idx="6">
                  <c:v>13.78</c:v>
                </c:pt>
                <c:pt idx="7">
                  <c:v>16.34</c:v>
                </c:pt>
                <c:pt idx="8">
                  <c:v>19.13</c:v>
                </c:pt>
                <c:pt idx="9">
                  <c:v>22.63</c:v>
                </c:pt>
                <c:pt idx="10">
                  <c:v>26.56</c:v>
                </c:pt>
                <c:pt idx="11">
                  <c:v>30.74</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8812e703-96cc-45b9-8b1b-2765f041c4d2}"/>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OLED</c:v>
                </c:pt>
              </c:strCache>
            </c:strRef>
          </c:tx>
          <c:spPr>
            <a:solidFill>
              <a:srgbClr val="002060"/>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应用!$B$2:$M$2</c:f>
              <c:numCache>
                <c:formatCode>#,##0_);[Red]\(#,##0\)</c:formatCode>
                <c:ptCount val="12"/>
                <c:pt idx="0">
                  <c:v>3.33</c:v>
                </c:pt>
                <c:pt idx="1">
                  <c:v>4.52</c:v>
                </c:pt>
                <c:pt idx="2">
                  <c:v>5.68</c:v>
                </c:pt>
                <c:pt idx="3">
                  <c:v>6.88</c:v>
                </c:pt>
                <c:pt idx="4">
                  <c:v>8.19</c:v>
                </c:pt>
                <c:pt idx="5">
                  <c:v>9.96</c:v>
                </c:pt>
                <c:pt idx="6">
                  <c:v>11.76</c:v>
                </c:pt>
                <c:pt idx="7">
                  <c:v>14.2</c:v>
                </c:pt>
                <c:pt idx="8">
                  <c:v>16.85</c:v>
                </c:pt>
                <c:pt idx="9">
                  <c:v>20.26</c:v>
                </c:pt>
                <c:pt idx="10">
                  <c:v>24.04</c:v>
                </c:pt>
                <c:pt idx="11">
                  <c:v>28.1</c:v>
                </c:pt>
              </c:numCache>
            </c:numRef>
          </c:val>
        </c:ser>
        <c:ser>
          <c:idx val="1"/>
          <c:order val="1"/>
          <c:tx>
            <c:strRef>
              <c:f>应用!$A$3</c:f>
              <c:strCache>
                <c:ptCount val="1"/>
                <c:pt idx="0">
                  <c:v>LCD</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应用!$B$3:$M$3</c:f>
              <c:numCache>
                <c:formatCode>#,##0_);[Red]\(#,##0\)</c:formatCode>
                <c:ptCount val="12"/>
                <c:pt idx="0">
                  <c:v>1.56</c:v>
                </c:pt>
                <c:pt idx="1">
                  <c:v>1.81</c:v>
                </c:pt>
                <c:pt idx="2">
                  <c:v>2.09</c:v>
                </c:pt>
                <c:pt idx="3">
                  <c:v>2.11</c:v>
                </c:pt>
                <c:pt idx="4">
                  <c:v>1.93</c:v>
                </c:pt>
                <c:pt idx="5">
                  <c:v>2.01</c:v>
                </c:pt>
                <c:pt idx="6">
                  <c:v>2.02</c:v>
                </c:pt>
                <c:pt idx="7">
                  <c:v>2.14</c:v>
                </c:pt>
                <c:pt idx="8">
                  <c:v>2.28</c:v>
                </c:pt>
                <c:pt idx="9">
                  <c:v>2.37</c:v>
                </c:pt>
                <c:pt idx="10">
                  <c:v>2.52</c:v>
                </c:pt>
                <c:pt idx="11">
                  <c:v>2.64</c:v>
                </c:pt>
              </c:numCache>
            </c:numRef>
          </c:val>
        </c:ser>
        <c:ser>
          <c:idx val="2"/>
          <c:order val="2"/>
          <c:tx>
            <c:strRef>
              <c:f>应用!$A$4</c:f>
              <c:strCache>
                <c:ptCount val="1"/>
                <c:pt idx="0">
                  <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应用!$B$4:$M$4</c:f>
            </c:numRef>
          </c:val>
        </c:ser>
        <c:ser>
          <c:idx val="3"/>
          <c:order val="3"/>
          <c:tx>
            <c:strRef>
              <c:f>应用!$A$5</c:f>
              <c:strCache>
                <c:ptCount val="1"/>
                <c:pt idx="0">
                  <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应用!$B$5:$M$5</c:f>
            </c:numRef>
          </c:val>
        </c:ser>
        <c:ser>
          <c:idx val="4"/>
          <c:order val="4"/>
          <c:tx>
            <c:strRef>
              <c:f>应用!$A$6</c:f>
              <c:strCache>
                <c:ptCount val="1"/>
                <c:pt idx="0">
                  <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应用!$B$6:$M$6</c:f>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合计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应用!$B$11:$M$11</c:f>
              <c:numCache>
                <c:formatCode>#,##0_);[Red]\(#,##0\)</c:formatCode>
                <c:ptCount val="12"/>
                <c:pt idx="0">
                  <c:v>4.89</c:v>
                </c:pt>
                <c:pt idx="1">
                  <c:v>6.33</c:v>
                </c:pt>
                <c:pt idx="2">
                  <c:v>7.77</c:v>
                </c:pt>
                <c:pt idx="3">
                  <c:v>8.99</c:v>
                </c:pt>
                <c:pt idx="4">
                  <c:v>10.12</c:v>
                </c:pt>
                <c:pt idx="5">
                  <c:v>11.97</c:v>
                </c:pt>
                <c:pt idx="6">
                  <c:v>13.78</c:v>
                </c:pt>
                <c:pt idx="7">
                  <c:v>16.34</c:v>
                </c:pt>
                <c:pt idx="8">
                  <c:v>19.13</c:v>
                </c:pt>
                <c:pt idx="9">
                  <c:v>22.63</c:v>
                </c:pt>
                <c:pt idx="10">
                  <c:v>26.56</c:v>
                </c:pt>
                <c:pt idx="11">
                  <c:v>30.74</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51544d93-66da-4c71-b646-c14e2e7b592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200" b="0" i="0" u="none" strike="noStrike" kern="1200" spc="0" baseline="0">
                <a:solidFill>
                  <a:sysClr val="windowText" lastClr="000000">
                    <a:lumMod val="65000"/>
                    <a:lumOff val="35000"/>
                  </a:sysClr>
                </a:solidFill>
                <a:latin typeface="Book Antiqua" panose="02040602050305030304" pitchFamily="1" charset="0"/>
              </a:rPr>
              <a:t>消费地区</a:t>
            </a:r>
            <a:r>
              <a:rPr lang="en-US" altLang="zh-CN" sz="1200">
                <a:latin typeface="Book Antiqua" panose="02040602050305030304" pitchFamily="1" charset="0"/>
              </a:rPr>
              <a:t>, 2019 Vs 2023 VS 2030</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2019</c:v>
                </c:pt>
              </c:strCache>
            </c:strRef>
          </c:tx>
          <c:spPr>
            <a:solidFill>
              <a:srgbClr val="FFC000"/>
            </a:solidFill>
            <a:ln>
              <a:noFill/>
            </a:ln>
            <a:effectLst/>
          </c:spPr>
          <c:invertIfNegative val="0"/>
          <c:dLbls>
            <c:delete val="1"/>
          </c:dLbls>
          <c:cat>
            <c:strRef>
              <c:f>'地区-消费'!$AD$2:$AD$10</c:f>
              <c:strCache>
                <c:ptCount val="3"/>
                <c:pt idx="0">
                  <c:v>亚太</c:v>
                </c:pt>
                <c:pt idx="1">
                  <c:v>美洲</c:v>
                </c:pt>
                <c:pt idx="2">
                  <c:v>欧洲</c:v>
                </c:pt>
              </c:strCache>
            </c:strRef>
          </c:cat>
          <c:val>
            <c:numRef>
              <c:f>'地区-消费'!$AE$2:$AE$10</c:f>
              <c:numCache>
                <c:formatCode>#,##0_);[Red]\(#,##0\)</c:formatCode>
                <c:ptCount val="3"/>
                <c:pt idx="0">
                  <c:v>4.21</c:v>
                </c:pt>
                <c:pt idx="1">
                  <c:v>0.41</c:v>
                </c:pt>
                <c:pt idx="2">
                  <c:v>0.27</c:v>
                </c:pt>
              </c:numCache>
            </c:numRef>
          </c:val>
        </c:ser>
        <c:ser>
          <c:idx val="1"/>
          <c:order val="1"/>
          <c:tx>
            <c:strRef>
              <c:f>'地区-消费'!$AF$1</c:f>
              <c:strCache>
                <c:ptCount val="1"/>
                <c:pt idx="0">
                  <c:v>2023</c:v>
                </c:pt>
              </c:strCache>
            </c:strRef>
          </c:tx>
          <c:spPr>
            <a:solidFill>
              <a:schemeClr val="bg1">
                <a:lumMod val="50000"/>
              </a:schemeClr>
            </a:solidFill>
            <a:ln>
              <a:noFill/>
            </a:ln>
            <a:effectLst/>
          </c:spPr>
          <c:invertIfNegative val="0"/>
          <c:dLbls>
            <c:delete val="1"/>
          </c:dLbls>
          <c:cat>
            <c:strRef>
              <c:f>'地区-消费'!$AD$2:$AD$10</c:f>
              <c:strCache>
                <c:ptCount val="3"/>
                <c:pt idx="0">
                  <c:v>亚太</c:v>
                </c:pt>
                <c:pt idx="1">
                  <c:v>美洲</c:v>
                </c:pt>
                <c:pt idx="2">
                  <c:v>欧洲</c:v>
                </c:pt>
              </c:strCache>
            </c:strRef>
          </c:cat>
          <c:val>
            <c:numRef>
              <c:f>'地区-消费'!$AF$2:$AF$10</c:f>
              <c:numCache>
                <c:formatCode>#,##0_);[Red]\(#,##0\)</c:formatCode>
                <c:ptCount val="3"/>
                <c:pt idx="0">
                  <c:v>8.9</c:v>
                </c:pt>
                <c:pt idx="1">
                  <c:v>0.72</c:v>
                </c:pt>
                <c:pt idx="2">
                  <c:v>0.5</c:v>
                </c:pt>
              </c:numCache>
            </c:numRef>
          </c:val>
        </c:ser>
        <c:ser>
          <c:idx val="2"/>
          <c:order val="2"/>
          <c:tx>
            <c:strRef>
              <c:f>'地区-消费'!$AG$1</c:f>
              <c:strCache>
                <c:ptCount val="1"/>
                <c:pt idx="0">
                  <c:v>2030</c:v>
                </c:pt>
              </c:strCache>
            </c:strRef>
          </c:tx>
          <c:spPr>
            <a:solidFill>
              <a:srgbClr val="002060"/>
            </a:solidFill>
            <a:ln>
              <a:noFill/>
            </a:ln>
            <a:effectLst/>
          </c:spPr>
          <c:invertIfNegative val="0"/>
          <c:dLbls>
            <c:delete val="1"/>
          </c:dLbls>
          <c:cat>
            <c:strRef>
              <c:f>'地区-消费'!$AD$2:$AD$10</c:f>
              <c:strCache>
                <c:ptCount val="3"/>
                <c:pt idx="0">
                  <c:v>亚太</c:v>
                </c:pt>
                <c:pt idx="1">
                  <c:v>美洲</c:v>
                </c:pt>
                <c:pt idx="2">
                  <c:v>欧洲</c:v>
                </c:pt>
              </c:strCache>
            </c:strRef>
          </c:cat>
          <c:val>
            <c:numRef>
              <c:f>'地区-消费'!$AG$2:$AG$10</c:f>
              <c:numCache>
                <c:formatCode>#,##0_);[Red]\(#,##0\)</c:formatCode>
                <c:ptCount val="3"/>
                <c:pt idx="0">
                  <c:v>27.57</c:v>
                </c:pt>
                <c:pt idx="1">
                  <c:v>1.95</c:v>
                </c:pt>
                <c:pt idx="2">
                  <c:v>1.22</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e4400e63-e830-4935-9f9b-572caba40fed}"/>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0.43661</cdr:x>
      <cdr:y>0.29825</cdr:y>
    </cdr:from>
    <cdr:to>
      <cdr:x>0.56834</cdr:x>
      <cdr:y>0.41076</cdr:y>
    </cdr:to>
    <cdr:sp>
      <cdr:nvSpPr>
        <cdr:cNvPr id="2" name="椭圆 1"/>
        <cdr:cNvSpPr/>
      </cdr:nvSpPr>
      <cdr:spPr xmlns:a="http://schemas.openxmlformats.org/drawingml/2006/main">
        <a:xfrm xmlns:a="http://schemas.openxmlformats.org/drawingml/2006/main" rot="20847704">
          <a:off x="2797794" y="912652"/>
          <a:ext cx="844098" cy="34427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endParaRPr lang="zh-CN" sz="1000" baseline="0">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2017</Words>
  <Characters>2389</Characters>
  <Lines>19</Lines>
  <Paragraphs>5</Paragraphs>
  <TotalTime>0</TotalTime>
  <ScaleCrop>false</ScaleCrop>
  <LinksUpToDate>false</LinksUpToDate>
  <CharactersWithSpaces>2417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2024-12-25T05:52:03Z</dcterms:modified>
  <cp:revision>953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FF57FE2CCCE94F7DBAB77BB3A61335A3_13</vt:lpwstr>
  </property>
</Properties>
</file>