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827E7">
      <w:pPr>
        <w:pStyle w:val="145"/>
        <w:rPr>
          <w:lang w:eastAsia="zh-CN"/>
        </w:rPr>
      </w:pPr>
      <w:bookmarkStart w:id="0" w:name="_Toc481801204"/>
      <w:bookmarkStart w:id="1" w:name="_Toc453597319"/>
      <w:bookmarkStart w:id="2" w:name="_Toc517262917"/>
      <w:bookmarkStart w:id="3" w:name="_Toc438987549"/>
      <w:bookmarkStart w:id="4" w:name="OLE_LINK39"/>
      <w:bookmarkStart w:id="5" w:name="OLE_LINK24"/>
      <w:bookmarkStart w:id="6" w:name="_Toc418070112"/>
      <w:bookmarkStart w:id="7" w:name="_Toc415818939"/>
      <w:bookmarkStart w:id="8" w:name="OLE_LINK15"/>
      <w:bookmarkStart w:id="9" w:name="OLE_LINK13"/>
      <w:bookmarkStart w:id="10" w:name="_Toc415143481"/>
      <w:bookmarkStart w:id="11" w:name="_Toc415142861"/>
      <w:bookmarkStart w:id="12" w:name="OLE_LINK40"/>
      <w:r>
        <w:rPr>
          <w:rFonts w:hint="eastAsia"/>
          <w:lang w:eastAsia="zh-CN"/>
        </w:rPr>
        <w:t>数控线圈铺展成型机是一种高精度的自动化设备，专门用于制造电感线圈、变压器线圈和其他类型的电线线圈。它结合了数控技术和机械加工技术，通过精确控制线圈的绕制和铺展过程，确保线圈的形状、尺寸和绕线间距达到设计要求。</w:t>
      </w:r>
    </w:p>
    <w:p w14:paraId="435E3011">
      <w:pPr>
        <w:pStyle w:val="145"/>
        <w:rPr>
          <w:lang w:eastAsia="zh-CN"/>
        </w:rPr>
      </w:pPr>
      <w:r>
        <w:rPr>
          <w:rFonts w:hint="eastAsia"/>
          <w:lang w:eastAsia="zh-CN"/>
        </w:rPr>
        <w:t>据QYResearch调研团队最新报告“全球数控线圈铺展成型机市场报告2024-2030”显示，预计2030年全球数控线圈铺展成型机市场规模将达到0.4亿美元，未来几年年复合增长率CAGR为13.4%。</w:t>
      </w:r>
    </w:p>
    <w:p w14:paraId="720E31E2">
      <w:pPr>
        <w:pStyle w:val="148"/>
        <w:rPr>
          <w:lang w:eastAsia="zh-CN"/>
        </w:rPr>
      </w:pPr>
      <w:r>
        <w:rPr>
          <w:rFonts w:hint="eastAsia"/>
          <w:lang w:eastAsia="zh-CN"/>
        </w:rPr>
        <w:t>全球</w:t>
      </w:r>
      <w:r>
        <w:rPr>
          <w:lang w:eastAsia="zh-CN"/>
        </w:rPr>
        <w:t>数控线圈铺展成型机</w:t>
      </w:r>
      <w:r>
        <w:rPr>
          <w:rFonts w:hint="eastAsia"/>
          <w:lang w:eastAsia="zh-CN"/>
        </w:rPr>
        <w:t>市场前11强生产商排名及市场占有率（基于2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319905" cy="5648325"/>
            <wp:effectExtent l="0" t="0" r="4445" b="0"/>
            <wp:docPr id="6140374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4A43543">
      <w:pPr>
        <w:pStyle w:val="143"/>
        <w:rPr>
          <w:lang w:eastAsia="zh-CN"/>
        </w:rPr>
      </w:pPr>
      <w:r>
        <w:rPr>
          <w:rFonts w:hint="eastAsia"/>
          <w:lang w:eastAsia="zh-CN"/>
        </w:rPr>
        <w:t>来源：QYResearch研究中心。行业处于不断变动之中，最新数据请联系QYResearch咨询。</w:t>
      </w:r>
    </w:p>
    <w:p w14:paraId="3B2E5865">
      <w:pPr>
        <w:pStyle w:val="145"/>
        <w:rPr>
          <w:lang w:eastAsia="zh-CN"/>
        </w:rPr>
      </w:pPr>
      <w:r>
        <w:rPr>
          <w:rFonts w:hint="eastAsia"/>
          <w:lang w:eastAsia="zh-CN"/>
        </w:rPr>
        <w:t>根据QYResearch头部企业研究中心调研，全球范围内数控线圈铺展成型机生产商主要包括CAM Innovation、Vincent Industrie (Nippon Rika Group)、Heinrich Schümann、株洲南方机电、Whitelegg等。2023年，全球前五大厂商占有大约46.0%的市场份额。</w:t>
      </w:r>
    </w:p>
    <w:p w14:paraId="3E6DE9A8">
      <w:pPr>
        <w:pStyle w:val="148"/>
        <w:rPr>
          <w:lang w:eastAsia="zh-CN"/>
        </w:rPr>
      </w:pPr>
      <w:r>
        <w:rPr>
          <w:lang w:eastAsia="zh-CN"/>
        </w:rPr>
        <w:t>数控线圈铺展成型机</w:t>
      </w:r>
      <w:r>
        <w:rPr>
          <w:rFonts w:hint="eastAsia"/>
          <w:lang w:eastAsia="zh-CN"/>
        </w:rPr>
        <w:t>，全球市场规模，按产品类型细分，Fully Automatic Coil Forming and Spreading Machine处于主导地位</w:t>
      </w:r>
    </w:p>
    <w:p w14:paraId="1DAC1641">
      <w:pPr>
        <w:pStyle w:val="145"/>
        <w:rPr>
          <w:rFonts w:hint="eastAsia"/>
          <w:lang w:eastAsia="zh-CN"/>
        </w:rPr>
      </w:pPr>
      <w:r>
        <w:drawing>
          <wp:inline distT="0" distB="0" distL="0" distR="0">
            <wp:extent cx="6188710" cy="2922270"/>
            <wp:effectExtent l="0" t="0" r="2540" b="0"/>
            <wp:docPr id="72117636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9AE0722">
      <w:pPr>
        <w:pStyle w:val="143"/>
        <w:rPr>
          <w:lang w:eastAsia="zh-CN"/>
        </w:rPr>
      </w:pPr>
      <w:r>
        <w:rPr>
          <w:rFonts w:hint="eastAsia"/>
          <w:lang w:eastAsia="zh-CN"/>
        </w:rPr>
        <w:t>来源：QYResearch研究中心</w:t>
      </w:r>
    </w:p>
    <w:p w14:paraId="41C3AE68">
      <w:pPr>
        <w:pStyle w:val="145"/>
        <w:rPr>
          <w:lang w:eastAsia="zh-CN"/>
        </w:rPr>
      </w:pPr>
      <w:r>
        <w:rPr>
          <w:rFonts w:hint="eastAsia"/>
          <w:lang w:eastAsia="zh-CN"/>
        </w:rPr>
        <w:t>就产品类型而言，目前Fully Automatic Coil Forming and Spreading Machine是最主要的细分产品，占据大约86.0%的份额。</w:t>
      </w:r>
    </w:p>
    <w:p w14:paraId="0B069045">
      <w:pPr>
        <w:pStyle w:val="148"/>
        <w:rPr>
          <w:lang w:eastAsia="zh-CN"/>
        </w:rPr>
      </w:pPr>
      <w:r>
        <w:rPr>
          <w:lang w:eastAsia="zh-CN"/>
        </w:rPr>
        <w:t>数控线圈铺展成型机</w:t>
      </w:r>
      <w:r>
        <w:rPr>
          <w:rFonts w:hint="eastAsia"/>
          <w:lang w:eastAsia="zh-CN"/>
        </w:rPr>
        <w:t>，全球市场规模，按应用细分，Consumer Electronics是最大的下游市场，占有51.5%份额。</w:t>
      </w:r>
    </w:p>
    <w:p w14:paraId="0A4DB270">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6638925" cy="3060700"/>
            <wp:effectExtent l="0" t="0" r="9525" b="6350"/>
            <wp:docPr id="379828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828063"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14:paraId="1F9213C6">
      <w:pPr>
        <w:widowControl/>
        <w:topLinePunct w:val="0"/>
        <w:spacing w:after="0"/>
        <w:jc w:val="left"/>
        <w:rPr>
          <w:rFonts w:hint="eastAsia" w:ascii="宋体" w:hAnsi="宋体" w:cs="宋体"/>
          <w:kern w:val="0"/>
          <w:sz w:val="24"/>
          <w:szCs w:val="24"/>
        </w:rPr>
      </w:pPr>
      <w:r>
        <w:drawing>
          <wp:inline distT="0" distB="0" distL="0" distR="0">
            <wp:extent cx="6188710" cy="2922270"/>
            <wp:effectExtent l="0" t="0" r="2540" b="0"/>
            <wp:docPr id="4660186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8CA65EC">
      <w:pPr>
        <w:pStyle w:val="143"/>
        <w:rPr>
          <w:rFonts w:hint="eastAsia"/>
          <w:lang w:eastAsia="zh-CN"/>
        </w:rPr>
      </w:pPr>
      <w:r>
        <w:rPr>
          <w:rFonts w:hint="eastAsia"/>
          <w:lang w:eastAsia="zh-CN"/>
        </w:rPr>
        <w:t>来源：QYResearch研究中心</w:t>
      </w:r>
    </w:p>
    <w:p w14:paraId="4B5D90DE">
      <w:pPr>
        <w:pStyle w:val="145"/>
        <w:rPr>
          <w:lang w:eastAsia="zh-CN"/>
        </w:rPr>
      </w:pPr>
      <w:r>
        <w:rPr>
          <w:rFonts w:hint="eastAsia"/>
          <w:lang w:eastAsia="zh-CN"/>
        </w:rPr>
        <w:t>就产品应用而言，目前Consumer Electronics是最主要的需求来源，占据大约51.5%的份额。</w:t>
      </w:r>
    </w:p>
    <w:p w14:paraId="0CD10F4E">
      <w:pPr>
        <w:pStyle w:val="148"/>
        <w:rPr>
          <w:lang w:eastAsia="zh-CN"/>
        </w:rPr>
      </w:pPr>
      <w:r>
        <w:rPr>
          <w:rFonts w:hint="eastAsia"/>
          <w:lang w:eastAsia="zh-CN"/>
        </w:rPr>
        <w:t>全球主要市场</w:t>
      </w:r>
      <w:r>
        <w:rPr>
          <w:lang w:eastAsia="zh-CN"/>
        </w:rPr>
        <w:t>数控线圈铺展成型机</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7512344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020B357">
      <w:pPr>
        <w:pStyle w:val="143"/>
        <w:rPr>
          <w:rFonts w:hint="eastAsia"/>
          <w:lang w:eastAsia="zh-CN"/>
        </w:rPr>
      </w:pPr>
      <w:r>
        <w:rPr>
          <w:rFonts w:hint="eastAsia"/>
          <w:lang w:eastAsia="zh-CN"/>
        </w:rPr>
        <w:t>来源：QYResearch研究中心</w:t>
      </w:r>
    </w:p>
    <w:p w14:paraId="418CECD8">
      <w:pPr>
        <w:pStyle w:val="145"/>
        <w:rPr>
          <w:lang w:eastAsia="zh-CN"/>
        </w:rPr>
      </w:pPr>
      <w:r>
        <w:rPr>
          <w:rFonts w:hint="eastAsia"/>
          <w:lang w:eastAsia="zh-CN"/>
        </w:rPr>
        <w:t>主要驱动因素</w:t>
      </w:r>
      <w:r>
        <w:rPr>
          <w:lang w:eastAsia="zh-CN"/>
        </w:rPr>
        <w:t>:</w:t>
      </w:r>
    </w:p>
    <w:p w14:paraId="7C269F26">
      <w:pPr>
        <w:pStyle w:val="145"/>
        <w:rPr>
          <w:rFonts w:hint="eastAsia"/>
          <w:lang w:val="en-US" w:eastAsia="zh-CN"/>
        </w:rPr>
      </w:pPr>
      <w:r>
        <w:rPr>
          <w:rFonts w:hint="eastAsia"/>
          <w:lang w:val="en-US" w:eastAsia="zh-CN"/>
        </w:rPr>
        <w:t>智能制造和工业4.0的推进：随着工业4.0的推广，制造业正逐步向智能化、自动化发展。数控线圈铺展成型机作为自动化设备的重要组成部分，有机会通过智能化改造提升生产效率和产品质量。数据分析和大数据技术的应用使得设备的维护、生产调度和质量控制变得更加智能，提升了生产线的整体效能。</w:t>
      </w:r>
    </w:p>
    <w:p w14:paraId="70B46DBC">
      <w:pPr>
        <w:pStyle w:val="145"/>
        <w:rPr>
          <w:rFonts w:hint="eastAsia"/>
          <w:lang w:val="en-US" w:eastAsia="zh-CN"/>
        </w:rPr>
      </w:pPr>
      <w:r>
        <w:rPr>
          <w:rFonts w:hint="eastAsia"/>
          <w:lang w:val="en-US" w:eastAsia="zh-CN"/>
        </w:rPr>
        <w:t>资本投入：资本市场对制造业和高科技行业的投资增加，为设备制造企业提供了充足的资金支持，推动了技术研发和市场拓展。行业内的并购和重组活动加强了企业的市场地位和技术实力，促进了产业整合和创新发展。</w:t>
      </w:r>
    </w:p>
    <w:p w14:paraId="54E2CC18">
      <w:pPr>
        <w:pStyle w:val="145"/>
        <w:rPr>
          <w:rFonts w:hint="eastAsia"/>
          <w:lang w:val="en-US" w:eastAsia="zh-CN"/>
        </w:rPr>
      </w:pPr>
      <w:r>
        <w:rPr>
          <w:rFonts w:hint="eastAsia"/>
          <w:lang w:val="en-US" w:eastAsia="zh-CN"/>
        </w:rPr>
        <w:t>市场需求的变化：消费者对高性能、高品质电子产品的需求不断增长，推动了对精密线圈及相关组件的需求。数控线圈铺展成型机的应用范围不断扩展，包括汽车电子、航空航天、家电等多个领域。</w:t>
      </w:r>
    </w:p>
    <w:p w14:paraId="5666E4F2">
      <w:pPr>
        <w:pStyle w:val="145"/>
        <w:rPr>
          <w:lang w:val="en-US" w:eastAsia="zh-CN"/>
        </w:rPr>
      </w:pPr>
      <w:r>
        <w:rPr>
          <w:rFonts w:hint="eastAsia"/>
          <w:lang w:val="en-US" w:eastAsia="zh-CN"/>
        </w:rPr>
        <w:t>高效能和节能环保需求：节能减排和环保法规的要求促使制造业追求更高效能的生产设备，数控线圈铺展成型机的节能和环保特性成为重要卖点。对高性能材料和先进工艺的需求增加，推动了设备技术的进步和应用的扩展。</w:t>
      </w:r>
    </w:p>
    <w:p w14:paraId="446A06E2">
      <w:pPr>
        <w:pStyle w:val="145"/>
        <w:rPr>
          <w:lang w:eastAsia="zh-CN"/>
        </w:rPr>
      </w:pPr>
      <w:r>
        <w:rPr>
          <w:rFonts w:hint="eastAsia"/>
          <w:lang w:eastAsia="zh-CN"/>
        </w:rPr>
        <w:t>主要阻碍因素</w:t>
      </w:r>
      <w:r>
        <w:rPr>
          <w:lang w:eastAsia="zh-CN"/>
        </w:rPr>
        <w:t>:</w:t>
      </w:r>
    </w:p>
    <w:p w14:paraId="5A6E9115">
      <w:pPr>
        <w:pStyle w:val="145"/>
        <w:rPr>
          <w:rFonts w:hint="eastAsia"/>
          <w:lang w:val="en-US" w:eastAsia="zh-CN"/>
        </w:rPr>
      </w:pPr>
      <w:r>
        <w:rPr>
          <w:rFonts w:hint="eastAsia"/>
          <w:lang w:val="en-US" w:eastAsia="zh-CN"/>
        </w:rPr>
        <w:t>原材料价格波动：关键原材料如钢材、铜材和电子元件的价格波动可能影响生产成本。全球供应链中断、自然灾害或地缘政治冲突也会对原材料供应产生不利影响。对单一供应商的依赖可能增加风险，如果供应商出现问题，可能导致原材料短缺或交货延迟，影响生产进度。</w:t>
      </w:r>
    </w:p>
    <w:p w14:paraId="5EC0B801">
      <w:pPr>
        <w:pStyle w:val="145"/>
        <w:rPr>
          <w:rFonts w:hint="eastAsia"/>
          <w:lang w:val="en-US" w:eastAsia="zh-CN"/>
        </w:rPr>
      </w:pPr>
      <w:r>
        <w:rPr>
          <w:rFonts w:hint="eastAsia"/>
          <w:lang w:val="en-US" w:eastAsia="zh-CN"/>
        </w:rPr>
        <w:t>技术更新换代：技术进步迅速，新的制造技术和解决方案不断涌现。如果企业无法及时跟上技术的发展步伐，可能会在市场竞争中处于不利地位。设备的高精度和复杂功能对技术要求极高，研发过程中可能遇到技术瓶颈，影响产品的性能和市场推出时间。</w:t>
      </w:r>
    </w:p>
    <w:p w14:paraId="225FF55A">
      <w:pPr>
        <w:pStyle w:val="145"/>
        <w:rPr>
          <w:rFonts w:hint="eastAsia"/>
          <w:lang w:val="en-US" w:eastAsia="zh-CN"/>
        </w:rPr>
      </w:pPr>
      <w:r>
        <w:rPr>
          <w:rFonts w:hint="eastAsia"/>
          <w:lang w:val="en-US" w:eastAsia="zh-CN"/>
        </w:rPr>
        <w:t>经济风险：全球或地区经济衰退可能导致制造业需求减少，影响设备的销售和市场扩展。国际市场交易涉及的汇率波动可能影响跨国采购和销售的成本和收益。</w:t>
      </w:r>
    </w:p>
    <w:p w14:paraId="3296E651">
      <w:pPr>
        <w:pStyle w:val="145"/>
        <w:rPr>
          <w:lang w:val="en-US" w:eastAsia="zh-CN"/>
        </w:rPr>
      </w:pPr>
      <w:r>
        <w:rPr>
          <w:rFonts w:hint="eastAsia"/>
          <w:lang w:val="en-US" w:eastAsia="zh-CN"/>
        </w:rPr>
        <w:t>人力资源风险：高技能人才和技术专家的短缺可能限制企业的研发和生产能力，影响技术创新和市场竞争力。高员工流动率可能导致技术知识和经验流失，影响企业的运营稳定性和项目进展。</w:t>
      </w:r>
    </w:p>
    <w:p w14:paraId="620E7F93">
      <w:pPr>
        <w:pStyle w:val="145"/>
        <w:rPr>
          <w:lang w:eastAsia="zh-CN"/>
        </w:rPr>
      </w:pPr>
      <w:r>
        <w:rPr>
          <w:rFonts w:hint="eastAsia"/>
          <w:lang w:eastAsia="zh-CN"/>
        </w:rPr>
        <w:t>行业发展机遇</w:t>
      </w:r>
      <w:r>
        <w:rPr>
          <w:lang w:eastAsia="zh-CN"/>
        </w:rPr>
        <w:t>:</w:t>
      </w:r>
    </w:p>
    <w:p w14:paraId="47C920BD">
      <w:pPr>
        <w:pStyle w:val="145"/>
        <w:rPr>
          <w:rFonts w:hint="eastAsia"/>
          <w:lang w:val="en-US" w:eastAsia="zh-CN"/>
        </w:rPr>
      </w:pPr>
      <w:r>
        <w:rPr>
          <w:rFonts w:hint="eastAsia"/>
          <w:lang w:val="en-US" w:eastAsia="zh-CN"/>
        </w:rPr>
        <w:t>智能化与自动化：未来的数控线圈铺展成型机将更加智能化，配备更先进的控制系统，实现自动化编程、故障诊断和实时监控。人工智能和机器学习技术的引入将提升设备的自主决策能力和故障预警功能。将越来越多地实现全自动化生产，从材料装载到成品搬运，减少人工干预，提升生产效率和一致性。</w:t>
      </w:r>
    </w:p>
    <w:p w14:paraId="09F9C336">
      <w:pPr>
        <w:pStyle w:val="145"/>
        <w:rPr>
          <w:rFonts w:hint="eastAsia"/>
          <w:lang w:val="en-US" w:eastAsia="zh-CN"/>
        </w:rPr>
      </w:pPr>
      <w:r>
        <w:rPr>
          <w:rFonts w:hint="eastAsia"/>
          <w:lang w:val="en-US" w:eastAsia="zh-CN"/>
        </w:rPr>
        <w:t>高精度与微型化：随着电子产品和医疗设备对高精度线圈的需求增加，数控线圈铺展成型机将朝着更高精度和更小尺寸的方向发展，以满足精密制造的需求。特别是在消费电子和医疗器械领域，对微型线圈的需求增长，推动设备技术向微型化和高精度方向发展。</w:t>
      </w:r>
    </w:p>
    <w:p w14:paraId="4DC2AC35">
      <w:pPr>
        <w:pStyle w:val="145"/>
        <w:rPr>
          <w:rFonts w:hint="eastAsia"/>
          <w:lang w:val="en-US" w:eastAsia="zh-CN"/>
        </w:rPr>
      </w:pPr>
      <w:r>
        <w:rPr>
          <w:rFonts w:hint="eastAsia"/>
          <w:lang w:val="en-US" w:eastAsia="zh-CN"/>
        </w:rPr>
        <w:t>多功能化：未来的设备将集成更多功能，如线圈的自动检测、调整和维护，甚至可能具备快速更换线圈模具的能力，以应对多种生产需求。能够处理不同材料（如不同类型的导线或绝缘材料），以满足不同领域对线圈的多样化需求。</w:t>
      </w:r>
    </w:p>
    <w:p w14:paraId="405552EF">
      <w:pPr>
        <w:pStyle w:val="145"/>
        <w:rPr>
          <w:rFonts w:hint="eastAsia"/>
          <w:lang w:val="en-US" w:eastAsia="zh-CN"/>
        </w:rPr>
      </w:pPr>
      <w:r>
        <w:rPr>
          <w:rFonts w:hint="eastAsia"/>
          <w:lang w:val="en-US" w:eastAsia="zh-CN"/>
        </w:rPr>
        <w:t>数字化与数据驱动：数控线圈铺展成型机将配备更多的数据采集和分析功能，通过实时监控生产数据，优化生产过程和提高产品质量。设备将更广泛地集成物联网技术，实现远程监控、维护和操作，提升生产灵活性和响应速度。</w:t>
      </w:r>
    </w:p>
    <w:p w14:paraId="04711324">
      <w:pPr>
        <w:pStyle w:val="145"/>
        <w:rPr>
          <w:lang w:val="en-US" w:eastAsia="zh-CN"/>
        </w:rPr>
      </w:pPr>
      <w:r>
        <w:rPr>
          <w:rFonts w:hint="eastAsia"/>
          <w:lang w:val="en-US" w:eastAsia="zh-CN"/>
        </w:rPr>
        <w:t>全球化与市场多元化：随着全球化进程的推进，数控线圈铺展成型机制造商将更加注重开拓国际市场，满足全球不同地区的需求。针对不同客户和市场的特殊需求提供定制化解决方案，提升产品的市场竞争力。</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pPr>
      <w:bookmarkStart w:id="13" w:name="_GoBack"/>
      <w:bookmarkEnd w:id="13"/>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3"/>
                    <a:stretch>
                      <a:fillRect/>
                    </a:stretch>
                  </pic:blipFill>
                  <pic:spPr>
                    <a:xfrm>
                      <a:off x="0" y="0"/>
                      <a:ext cx="1219048" cy="552381"/>
                    </a:xfrm>
                    <a:prstGeom prst="rect">
                      <a:avLst/>
                    </a:prstGeom>
                  </pic:spPr>
                </pic:pic>
              </a:graphicData>
            </a:graphic>
          </wp:inline>
        </w:drawing>
      </w:r>
    </w:p>
    <w:p w14:paraId="74EFB881">
      <w:pPr>
        <w:pStyle w:val="145"/>
        <w:rPr>
          <w:sz w:val="15"/>
          <w:szCs w:val="16"/>
          <w:lang w:eastAsia="zh-CN"/>
        </w:rPr>
      </w:pPr>
      <w:r>
        <w:rPr>
          <w:rStyle w:val="68"/>
          <w:rFonts w:ascii="Microsoft YaHei UI" w:hAnsi="Microsoft YaHei UI" w:eastAsia="Microsoft YaHei UI" w:cs="Microsoft YaHei UI"/>
          <w:i w:val="0"/>
          <w:iCs w:val="0"/>
          <w:caps w:val="0"/>
          <w:color w:val="AB1942"/>
          <w:spacing w:val="15"/>
          <w:sz w:val="18"/>
          <w:szCs w:val="18"/>
          <w:shd w:val="clear" w:fill="FFFFFF"/>
        </w:rPr>
        <w:t>QYResearch将持续关注行业动态，为投资者和业内人士提供最新、最全面的市场分析和趋势预测。更多行业资料建议查看</w:t>
      </w:r>
      <w:r>
        <w:rPr>
          <w:rStyle w:val="68"/>
          <w:rFonts w:hint="eastAsia" w:ascii="Microsoft YaHei UI" w:hAnsi="Microsoft YaHei UI" w:eastAsia="Microsoft YaHei UI" w:cs="Microsoft YaHei UI"/>
          <w:i w:val="0"/>
          <w:iCs w:val="0"/>
          <w:caps w:val="0"/>
          <w:color w:val="AB1942"/>
          <w:spacing w:val="15"/>
          <w:sz w:val="18"/>
          <w:szCs w:val="18"/>
          <w:shd w:val="clear" w:fill="FFFFFF"/>
        </w:rPr>
        <w:t>恒州博智研究中心出版的相关报告。</w:t>
      </w:r>
    </w:p>
    <w:p w14:paraId="2273A525">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3AB"/>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288"/>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A41"/>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3AB6"/>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9F7B7C"/>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718"/>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F8C6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47077\Documents\Tencent%20Files\470779361\FileRecv\&#39033;&#30446;\&#25968;&#25511;&#32447;&#22280;&#38138;&#23637;&#25104;&#22411;&#26426;\&#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47077\Documents\Tencent%20Files\470779361\FileRecv\&#39033;&#30446;\&#25968;&#25511;&#32447;&#22280;&#38138;&#23637;&#25104;&#22411;&#26426;\&#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47077\Documents\Tencent%20Files\470779361\FileRecv\&#39033;&#30446;\&#25968;&#25511;&#32447;&#22280;&#38138;&#23637;&#25104;&#22411;&#26426;\&#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47077\Documents\Tencent%20Files\470779361\FileRecv\&#39033;&#30446;\&#25968;&#25511;&#32447;&#22280;&#38138;&#23637;&#25104;&#22411;&#26426;\&#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8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Major Players and Ranking</a:t>
            </a:r>
            <a:endParaRPr lang="en-US"/>
          </a:p>
        </c:rich>
      </c:tx>
      <c:layout>
        <c:manualLayout>
          <c:xMode val="edge"/>
          <c:yMode val="edge"/>
          <c:x val="0.184798556430446"/>
          <c:y val="0.0317460750307235"/>
        </c:manualLayout>
      </c:layout>
      <c:overlay val="0"/>
      <c:spPr>
        <a:noFill/>
        <a:ln>
          <a:noFill/>
        </a:ln>
        <a:effectLst/>
      </c:spPr>
    </c:title>
    <c:autoTitleDeleted val="0"/>
    <c:plotArea>
      <c:layout/>
      <c:barChart>
        <c:barDir val="bar"/>
        <c:grouping val="clustered"/>
        <c:varyColors val="1"/>
        <c:ser>
          <c:idx val="0"/>
          <c:order val="0"/>
          <c:tx>
            <c:strRef>
              <c:f>企业收入!$G$1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企业收入!$F$2:$F$21</c:f>
              <c:strCache>
                <c:ptCount val="11"/>
                <c:pt idx="0">
                  <c:v>CAM Innovation</c:v>
                </c:pt>
                <c:pt idx="1">
                  <c:v>Vincent Industrie (Nippon Rika Group)</c:v>
                </c:pt>
                <c:pt idx="2">
                  <c:v>Heinrich Schümann</c:v>
                </c:pt>
                <c:pt idx="3">
                  <c:v>Zhuzhou South Electromechanical Manufacturing</c:v>
                </c:pt>
                <c:pt idx="4">
                  <c:v>Whitelegg</c:v>
                </c:pt>
                <c:pt idx="5">
                  <c:v>Broomfield Laboratories</c:v>
                </c:pt>
                <c:pt idx="6">
                  <c:v>Rimac Machines</c:v>
                </c:pt>
                <c:pt idx="7">
                  <c:v>Samwoo Engineering</c:v>
                </c:pt>
                <c:pt idx="8">
                  <c:v>Rotary Engineering UK</c:v>
                </c:pt>
                <c:pt idx="9">
                  <c:v>Ridgway Machines</c:v>
                </c:pt>
                <c:pt idx="10">
                  <c:v>Shanghai Minhang Mechanical</c:v>
                </c:pt>
              </c:strCache>
            </c:strRef>
          </c:cat>
          <c:val>
            <c:numRef>
              <c:f>企业收入!$G$2:$G$21</c:f>
              <c:numCache>
                <c:formatCode>0.0%</c:formatCode>
                <c:ptCount val="11"/>
                <c:pt idx="0">
                  <c:v>0.15461288114336</c:v>
                </c:pt>
                <c:pt idx="1">
                  <c:v>0.101519401203565</c:v>
                </c:pt>
                <c:pt idx="2">
                  <c:v>0.0740974939819124</c:v>
                </c:pt>
                <c:pt idx="3">
                  <c:v>0.0688464904713832</c:v>
                </c:pt>
                <c:pt idx="4">
                  <c:v>0.0624285972918475</c:v>
                </c:pt>
                <c:pt idx="5">
                  <c:v>0.0595113731193312</c:v>
                </c:pt>
                <c:pt idx="6">
                  <c:v>0.054260369608802</c:v>
                </c:pt>
                <c:pt idx="7">
                  <c:v>0.0361735797392013</c:v>
                </c:pt>
                <c:pt idx="8">
                  <c:v>0.0344232452356916</c:v>
                </c:pt>
                <c:pt idx="9">
                  <c:v>0.0245046830491364</c:v>
                </c:pt>
                <c:pt idx="10">
                  <c:v>0.0192536795386072</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b9a9e5b1-552a-4059-a247-34a9159e5bfc}"/>
      </c:ext>
    </c:extLst>
  </c:chart>
  <c:spPr>
    <a:solidFill>
      <a:schemeClr val="bg1"/>
    </a:solidFill>
    <a:ln w="9525" cap="flat" cmpd="sng" algn="ctr">
      <a:noFill/>
      <a:round/>
    </a:ln>
    <a:effectLst/>
  </c:spPr>
  <c:txPr>
    <a:bodyPr/>
    <a:lstStyle/>
    <a:p>
      <a:pPr>
        <a:defRPr lang="zh-CN" sz="900">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Fully Automatic Coil Forming and Spreading Machine</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0.847785999412375</c:v>
                </c:pt>
                <c:pt idx="1">
                  <c:v>0.844571029932485</c:v>
                </c:pt>
                <c:pt idx="2">
                  <c:v>0.85534802374577</c:v>
                </c:pt>
                <c:pt idx="3">
                  <c:v>0.852355025143549</c:v>
                </c:pt>
                <c:pt idx="4">
                  <c:v>0.859906026874286</c:v>
                </c:pt>
                <c:pt idx="5">
                  <c:v>0.85141199392894</c:v>
                </c:pt>
                <c:pt idx="6">
                  <c:v>0.857968001254755</c:v>
                </c:pt>
                <c:pt idx="7">
                  <c:v>0.855605998088688</c:v>
                </c:pt>
                <c:pt idx="8">
                  <c:v>0.861584992402146</c:v>
                </c:pt>
                <c:pt idx="9">
                  <c:v>0.85392400989086</c:v>
                </c:pt>
                <c:pt idx="10">
                  <c:v>0.85180801351309</c:v>
                </c:pt>
                <c:pt idx="11">
                  <c:v>0.860336005525271</c:v>
                </c:pt>
              </c:numCache>
            </c:numRef>
          </c:val>
        </c:ser>
        <c:ser>
          <c:idx val="1"/>
          <c:order val="1"/>
          <c:tx>
            <c:strRef>
              <c:f>分类!$R$3</c:f>
              <c:strCache>
                <c:ptCount val="1"/>
                <c:pt idx="0">
                  <c:v>Semi-automatic Coil Forming and Spreading Machine</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0.152214000587625</c:v>
                </c:pt>
                <c:pt idx="1">
                  <c:v>0.155428970067515</c:v>
                </c:pt>
                <c:pt idx="2">
                  <c:v>0.14465197625423</c:v>
                </c:pt>
                <c:pt idx="3">
                  <c:v>0.147644974856451</c:v>
                </c:pt>
                <c:pt idx="4">
                  <c:v>0.140093973125714</c:v>
                </c:pt>
                <c:pt idx="5">
                  <c:v>0.14858800607106</c:v>
                </c:pt>
                <c:pt idx="6">
                  <c:v>0.142031998745245</c:v>
                </c:pt>
                <c:pt idx="7">
                  <c:v>0.144394001911312</c:v>
                </c:pt>
                <c:pt idx="8">
                  <c:v>0.138415007597854</c:v>
                </c:pt>
                <c:pt idx="9">
                  <c:v>0.14607599010914</c:v>
                </c:pt>
                <c:pt idx="10">
                  <c:v>0.14819198648691</c:v>
                </c:pt>
                <c:pt idx="11">
                  <c:v>0.139663994474729</c:v>
                </c:pt>
              </c:numCache>
            </c:numRef>
          </c:val>
        </c:ser>
        <c:ser>
          <c:idx val="2"/>
          <c:order val="2"/>
          <c:tx>
            <c:strRef>
              <c:f>分类!$R$4</c:f>
              <c:strCache>
                <c:ptCount val="1"/>
                <c:pt idx="0">
                  <c:v>Type 3</c:v>
                </c:pt>
              </c:strCache>
            </c:strRef>
          </c:tx>
          <c:spPr>
            <a:solidFill>
              <a:srgbClr val="0070C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分类!$S$4:$AD$4</c:f>
            </c:numRef>
          </c:val>
        </c:ser>
        <c:ser>
          <c:idx val="3"/>
          <c:order val="3"/>
          <c:tx>
            <c:strRef>
              <c:f>分类!$R$5</c:f>
              <c:strCache>
                <c:ptCount val="1"/>
                <c:pt idx="0">
                  <c:v>0</c:v>
                </c:pt>
              </c:strCache>
            </c:strRef>
          </c:tx>
          <c:spPr>
            <a:solidFill>
              <a:srgbClr val="FFC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分类!$S$5:$AD$5</c:f>
            </c:numRef>
          </c:val>
        </c:ser>
        <c:ser>
          <c:idx val="4"/>
          <c:order val="4"/>
          <c:tx>
            <c:strRef>
              <c:f>分类!$R$6</c:f>
              <c:strCache>
                <c:ptCount val="1"/>
                <c:pt idx="0">
                  <c:v>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分类!$S$6:$AD$6</c:f>
            </c:numRef>
          </c:val>
        </c:ser>
        <c:ser>
          <c:idx val="5"/>
          <c:order val="5"/>
          <c:tx>
            <c:strRef>
              <c:f>分类!$R$7</c:f>
              <c:strCache>
                <c:ptCount val="1"/>
                <c:pt idx="0">
                  <c:v>0</c:v>
                </c:pt>
              </c:strCache>
            </c:strRef>
          </c:tx>
          <c:spPr>
            <a:solidFill>
              <a:srgbClr val="C00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分类!$S$7:$AD$7</c:f>
            </c:numRef>
          </c:val>
        </c:ser>
        <c:ser>
          <c:idx val="6"/>
          <c:order val="6"/>
          <c:tx>
            <c:strRef>
              <c:f>分类!$R$8</c:f>
              <c:strCache>
                <c:ptCount val="1"/>
                <c:pt idx="0">
                  <c:v>0</c:v>
                </c:pt>
              </c:strCache>
            </c:strRef>
          </c:tx>
          <c:spPr>
            <a:solidFill>
              <a:srgbClr val="7030A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分类!$S$8:$AD$8</c:f>
            </c:numRef>
          </c:val>
        </c:ser>
        <c:ser>
          <c:idx val="7"/>
          <c:order val="7"/>
          <c:tx>
            <c:strRef>
              <c:f>分类!$R$9</c:f>
              <c:strCache>
                <c:ptCount val="1"/>
                <c:pt idx="0">
                  <c:v>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分类!$S$9:$AD$9</c:f>
            </c:numRef>
          </c:val>
        </c:ser>
        <c:ser>
          <c:idx val="8"/>
          <c:order val="8"/>
          <c:tx>
            <c:strRef>
              <c:f>分类!$R$10</c:f>
              <c:strCache>
                <c:ptCount val="1"/>
                <c:pt idx="0">
                  <c:v>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分类!$S$10:$AD$10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11748c9-055a-4891-8e31-9cd503ecb22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Consumer Electronics</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5.786458</c:v>
                </c:pt>
                <c:pt idx="1">
                  <c:v>4.817902</c:v>
                </c:pt>
                <c:pt idx="2">
                  <c:v>6.110616</c:v>
                </c:pt>
                <c:pt idx="3">
                  <c:v>6.869456</c:v>
                </c:pt>
                <c:pt idx="4">
                  <c:v>8.834974</c:v>
                </c:pt>
                <c:pt idx="5">
                  <c:v>9.532915</c:v>
                </c:pt>
                <c:pt idx="6">
                  <c:v>10.037383</c:v>
                </c:pt>
                <c:pt idx="7">
                  <c:v>11.364298</c:v>
                </c:pt>
                <c:pt idx="8">
                  <c:v>12.949306</c:v>
                </c:pt>
                <c:pt idx="9">
                  <c:v>14.549308</c:v>
                </c:pt>
                <c:pt idx="10">
                  <c:v>16.55531</c:v>
                </c:pt>
                <c:pt idx="11">
                  <c:v>18.96508</c:v>
                </c:pt>
              </c:numCache>
            </c:numRef>
          </c:val>
        </c:ser>
        <c:ser>
          <c:idx val="1"/>
          <c:order val="1"/>
          <c:tx>
            <c:strRef>
              <c:f>应用!$A$3</c:f>
              <c:strCache>
                <c:ptCount val="1"/>
                <c:pt idx="0">
                  <c:v>Automobile</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4.920367</c:v>
                </c:pt>
                <c:pt idx="1">
                  <c:v>3.950911</c:v>
                </c:pt>
                <c:pt idx="2">
                  <c:v>5.095128</c:v>
                </c:pt>
                <c:pt idx="3">
                  <c:v>6.086075</c:v>
                </c:pt>
                <c:pt idx="4">
                  <c:v>6.619306</c:v>
                </c:pt>
                <c:pt idx="5">
                  <c:v>7.661539</c:v>
                </c:pt>
                <c:pt idx="6">
                  <c:v>9.201035</c:v>
                </c:pt>
                <c:pt idx="7">
                  <c:v>10.088329</c:v>
                </c:pt>
                <c:pt idx="8">
                  <c:v>11.282131</c:v>
                </c:pt>
                <c:pt idx="9">
                  <c:v>13.032525</c:v>
                </c:pt>
                <c:pt idx="10">
                  <c:v>14.594533</c:v>
                </c:pt>
                <c:pt idx="11">
                  <c:v>16.775866</c:v>
                </c:pt>
              </c:numCache>
            </c:numRef>
          </c:val>
        </c:ser>
        <c:ser>
          <c:idx val="2"/>
          <c:order val="2"/>
          <c:tx>
            <c:strRef>
              <c:f>应用!$A$4</c:f>
              <c:strCache>
                <c:ptCount val="1"/>
                <c:pt idx="0">
                  <c:v>Other</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1.406338</c:v>
                </c:pt>
                <c:pt idx="1">
                  <c:v>0.832428</c:v>
                </c:pt>
                <c:pt idx="2">
                  <c:v>1.424716</c:v>
                </c:pt>
                <c:pt idx="3">
                  <c:v>1.611426</c:v>
                </c:pt>
                <c:pt idx="4">
                  <c:v>1.685301</c:v>
                </c:pt>
                <c:pt idx="5">
                  <c:v>1.94026</c:v>
                </c:pt>
                <c:pt idx="6">
                  <c:v>2.426369</c:v>
                </c:pt>
                <c:pt idx="7">
                  <c:v>2.921204</c:v>
                </c:pt>
                <c:pt idx="8">
                  <c:v>3.099306</c:v>
                </c:pt>
                <c:pt idx="9">
                  <c:v>3.499791</c:v>
                </c:pt>
                <c:pt idx="10">
                  <c:v>4.179456</c:v>
                </c:pt>
                <c:pt idx="11">
                  <c:v>4.800054</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应用!$B$11:$M$11</c:f>
              <c:numCache>
                <c:formatCode>#,##0_);[Red]\(#,##0\)</c:formatCode>
                <c:ptCount val="12"/>
                <c:pt idx="0">
                  <c:v>12.113163</c:v>
                </c:pt>
                <c:pt idx="1">
                  <c:v>9.601241</c:v>
                </c:pt>
                <c:pt idx="2">
                  <c:v>12.63046</c:v>
                </c:pt>
                <c:pt idx="3">
                  <c:v>14.566957</c:v>
                </c:pt>
                <c:pt idx="4">
                  <c:v>17.139581</c:v>
                </c:pt>
                <c:pt idx="5">
                  <c:v>19.134714</c:v>
                </c:pt>
                <c:pt idx="6">
                  <c:v>21.664787</c:v>
                </c:pt>
                <c:pt idx="7">
                  <c:v>24.373831</c:v>
                </c:pt>
                <c:pt idx="8">
                  <c:v>27.330743</c:v>
                </c:pt>
                <c:pt idx="9">
                  <c:v>31.081624</c:v>
                </c:pt>
                <c:pt idx="10">
                  <c:v>35.329299</c:v>
                </c:pt>
                <c:pt idx="11">
                  <c:v>40.541</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af96c8b-aadd-4009-a446-8c9c1297f85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North America</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3.839475</c:v>
                </c:pt>
                <c:pt idx="1">
                  <c:v>3.196058</c:v>
                </c:pt>
                <c:pt idx="2">
                  <c:v>4.233312</c:v>
                </c:pt>
                <c:pt idx="3">
                  <c:v>5.117651</c:v>
                </c:pt>
                <c:pt idx="4">
                  <c:v>5.257187</c:v>
                </c:pt>
                <c:pt idx="5">
                  <c:v>5.606987</c:v>
                </c:pt>
                <c:pt idx="6">
                  <c:v>5.968616</c:v>
                </c:pt>
                <c:pt idx="7">
                  <c:v>6.403683</c:v>
                </c:pt>
                <c:pt idx="8">
                  <c:v>6.700448</c:v>
                </c:pt>
                <c:pt idx="9">
                  <c:v>7.109795</c:v>
                </c:pt>
                <c:pt idx="10">
                  <c:v>7.623406</c:v>
                </c:pt>
                <c:pt idx="11">
                  <c:v>8.182551</c:v>
                </c:pt>
              </c:numCache>
            </c:numRef>
          </c:val>
        </c:ser>
        <c:ser>
          <c:idx val="1"/>
          <c:order val="1"/>
          <c:tx>
            <c:strRef>
              <c:f>'地区-消费'!$A$3</c:f>
              <c:strCache>
                <c:ptCount val="1"/>
                <c:pt idx="0">
                  <c:v>Europe</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2.432166</c:v>
                </c:pt>
                <c:pt idx="1">
                  <c:v>1.950839</c:v>
                </c:pt>
                <c:pt idx="2">
                  <c:v>2.25721</c:v>
                </c:pt>
                <c:pt idx="3">
                  <c:v>2.541293</c:v>
                </c:pt>
                <c:pt idx="4">
                  <c:v>3.786863</c:v>
                </c:pt>
                <c:pt idx="5">
                  <c:v>3.963123</c:v>
                </c:pt>
                <c:pt idx="6">
                  <c:v>4.173532</c:v>
                </c:pt>
                <c:pt idx="7">
                  <c:v>4.408387</c:v>
                </c:pt>
                <c:pt idx="8">
                  <c:v>4.826075</c:v>
                </c:pt>
                <c:pt idx="9">
                  <c:v>5.238</c:v>
                </c:pt>
                <c:pt idx="10">
                  <c:v>5.5384</c:v>
                </c:pt>
                <c:pt idx="11">
                  <c:v>6.00276</c:v>
                </c:pt>
              </c:numCache>
            </c:numRef>
          </c:val>
        </c:ser>
        <c:ser>
          <c:idx val="2"/>
          <c:order val="2"/>
          <c:tx>
            <c:strRef>
              <c:f>'地区-消费'!$A$4</c:f>
              <c:strCache>
                <c:ptCount val="1"/>
                <c:pt idx="0">
                  <c:v>China</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2.237913</c:v>
                </c:pt>
                <c:pt idx="1">
                  <c:v>1.495988</c:v>
                </c:pt>
                <c:pt idx="2">
                  <c:v>1.773193</c:v>
                </c:pt>
                <c:pt idx="3">
                  <c:v>2.088931</c:v>
                </c:pt>
                <c:pt idx="4">
                  <c:v>2.521358</c:v>
                </c:pt>
                <c:pt idx="5">
                  <c:v>3.170949</c:v>
                </c:pt>
                <c:pt idx="6">
                  <c:v>3.812517</c:v>
                </c:pt>
                <c:pt idx="7">
                  <c:v>4.498578</c:v>
                </c:pt>
                <c:pt idx="8">
                  <c:v>5.177254</c:v>
                </c:pt>
                <c:pt idx="9">
                  <c:v>5.90995</c:v>
                </c:pt>
                <c:pt idx="10">
                  <c:v>7.0934</c:v>
                </c:pt>
                <c:pt idx="11">
                  <c:v>8.726683</c:v>
                </c:pt>
              </c:numCache>
            </c:numRef>
          </c:val>
        </c:ser>
        <c:ser>
          <c:idx val="3"/>
          <c:order val="3"/>
          <c:tx>
            <c:strRef>
              <c:f>'地区-消费'!$A$5</c:f>
              <c:strCache>
                <c:ptCount val="1"/>
                <c:pt idx="0">
                  <c:v>Japan</c:v>
                </c:pt>
              </c:strCache>
            </c:strRef>
          </c:tx>
          <c:spPr>
            <a:solidFill>
              <a:srgbClr val="FFC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1.405762</c:v>
                </c:pt>
                <c:pt idx="1">
                  <c:v>1.208237</c:v>
                </c:pt>
                <c:pt idx="2">
                  <c:v>1.444895</c:v>
                </c:pt>
                <c:pt idx="3">
                  <c:v>1.685824</c:v>
                </c:pt>
                <c:pt idx="4">
                  <c:v>1.855789</c:v>
                </c:pt>
                <c:pt idx="5">
                  <c:v>2.072545</c:v>
                </c:pt>
                <c:pt idx="6">
                  <c:v>2.511072</c:v>
                </c:pt>
                <c:pt idx="7">
                  <c:v>2.957598</c:v>
                </c:pt>
                <c:pt idx="8">
                  <c:v>3.19884</c:v>
                </c:pt>
                <c:pt idx="9">
                  <c:v>3.642301</c:v>
                </c:pt>
                <c:pt idx="10">
                  <c:v>4.29892</c:v>
                </c:pt>
                <c:pt idx="11">
                  <c:v>5.212968</c:v>
                </c:pt>
              </c:numCache>
            </c:numRef>
          </c:val>
        </c:ser>
        <c:ser>
          <c:idx val="4"/>
          <c:order val="4"/>
          <c:tx>
            <c:strRef>
              <c:f>'地区-消费'!$A$6</c:f>
              <c:strCache>
                <c:ptCount val="1"/>
                <c:pt idx="0">
                  <c:v>Southeast Asia</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'地区-消费'!$B$6:$M$6</c:f>
              <c:numCache>
                <c:formatCode>#,##0_);[Red]\(#,##0\)</c:formatCode>
                <c:ptCount val="12"/>
                <c:pt idx="0">
                  <c:v>0.369828</c:v>
                </c:pt>
                <c:pt idx="1">
                  <c:v>0.353535</c:v>
                </c:pt>
                <c:pt idx="2">
                  <c:v>0.517917</c:v>
                </c:pt>
                <c:pt idx="3">
                  <c:v>0.540951</c:v>
                </c:pt>
                <c:pt idx="4">
                  <c:v>0.74316</c:v>
                </c:pt>
                <c:pt idx="5">
                  <c:v>1.000999</c:v>
                </c:pt>
                <c:pt idx="6">
                  <c:v>1.228926</c:v>
                </c:pt>
                <c:pt idx="7">
                  <c:v>1.466535</c:v>
                </c:pt>
                <c:pt idx="8">
                  <c:v>1.915416</c:v>
                </c:pt>
                <c:pt idx="9">
                  <c:v>2.18156</c:v>
                </c:pt>
                <c:pt idx="10">
                  <c:v>2.441263</c:v>
                </c:pt>
                <c:pt idx="11">
                  <c:v>2.949154</c:v>
                </c:pt>
              </c:numCache>
            </c:numRef>
          </c:val>
        </c:ser>
        <c:ser>
          <c:idx val="5"/>
          <c:order val="5"/>
          <c:tx>
            <c:strRef>
              <c:f>'地区-消费'!$A$7</c:f>
              <c:strCache>
                <c:ptCount val="1"/>
                <c:pt idx="0">
                  <c:v>India</c:v>
                </c:pt>
              </c:strCache>
            </c:strRef>
          </c:tx>
          <c:spPr>
            <a:solidFill>
              <a:srgbClr val="C00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'地区-消费'!$B$7:$M$7</c:f>
              <c:numCache>
                <c:formatCode>#,##0_);[Red]\(#,##0\)</c:formatCode>
                <c:ptCount val="12"/>
                <c:pt idx="0">
                  <c:v>0.955804</c:v>
                </c:pt>
                <c:pt idx="1">
                  <c:v>0.64114</c:v>
                </c:pt>
                <c:pt idx="2">
                  <c:v>0.956473</c:v>
                </c:pt>
                <c:pt idx="3">
                  <c:v>1.182377</c:v>
                </c:pt>
                <c:pt idx="4">
                  <c:v>1.379442</c:v>
                </c:pt>
                <c:pt idx="5">
                  <c:v>1.561557</c:v>
                </c:pt>
                <c:pt idx="6">
                  <c:v>1.73796</c:v>
                </c:pt>
                <c:pt idx="7">
                  <c:v>1.950676</c:v>
                </c:pt>
                <c:pt idx="8">
                  <c:v>2.387295</c:v>
                </c:pt>
                <c:pt idx="9">
                  <c:v>2.984976</c:v>
                </c:pt>
                <c:pt idx="10">
                  <c:v>3.35786</c:v>
                </c:pt>
                <c:pt idx="11">
                  <c:v>3.749328</c:v>
                </c:pt>
              </c:numCache>
            </c:numRef>
          </c:val>
        </c:ser>
        <c:ser>
          <c:idx val="6"/>
          <c:order val="6"/>
          <c:tx>
            <c:strRef>
              <c:f>'地区-消费'!$A$8</c:f>
              <c:strCache>
                <c:ptCount val="1"/>
                <c:pt idx="0">
                  <c:v>Others</c:v>
                </c:pt>
              </c:strCache>
            </c:strRef>
          </c:tx>
          <c:spPr>
            <a:solidFill>
              <a:srgbClr val="7030A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'地区-消费'!$B$8:$M$8</c:f>
              <c:numCache>
                <c:formatCode>#,##0_);[Red]\(#,##0\)</c:formatCode>
                <c:ptCount val="12"/>
                <c:pt idx="0">
                  <c:v>0.872215</c:v>
                </c:pt>
                <c:pt idx="1">
                  <c:v>0.755444</c:v>
                </c:pt>
                <c:pt idx="2">
                  <c:v>1.44746</c:v>
                </c:pt>
                <c:pt idx="3">
                  <c:v>1.40993</c:v>
                </c:pt>
                <c:pt idx="4">
                  <c:v>1.595782</c:v>
                </c:pt>
                <c:pt idx="5">
                  <c:v>1.758554</c:v>
                </c:pt>
                <c:pt idx="6">
                  <c:v>2.232164</c:v>
                </c:pt>
                <c:pt idx="7">
                  <c:v>2.688374</c:v>
                </c:pt>
                <c:pt idx="8">
                  <c:v>3.125415</c:v>
                </c:pt>
                <c:pt idx="9">
                  <c:v>4.015042</c:v>
                </c:pt>
                <c:pt idx="10">
                  <c:v>4.97605</c:v>
                </c:pt>
                <c:pt idx="11">
                  <c:v>5.717556</c:v>
                </c:pt>
              </c:numCache>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5efe3a0c-c1d0-42c4-838c-fa19f8549e8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2461</Words>
  <Characters>2829</Characters>
  <Lines>20</Lines>
  <Paragraphs>5</Paragraphs>
  <TotalTime>0</TotalTime>
  <ScaleCrop>false</ScaleCrop>
  <LinksUpToDate>false</LinksUpToDate>
  <CharactersWithSpaces>2849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2024-12-25T05:46:12Z</dcterms:modified>
  <cp:revision>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CFB18C1ADB3C4361AC09D441861F2438_13</vt:lpwstr>
  </property>
</Properties>
</file>